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320" w:right="619" w:hanging="5161"/>
        <w:spacing w:after="0" w:line="375" w:lineRule="auto"/>
        <w:rPr>
          <w:sz w:val="20"/>
          <w:szCs w:val="20"/>
          <w:color w:val="auto"/>
        </w:rPr>
      </w:pPr>
      <w:r>
        <w:rPr>
          <w:rFonts w:ascii="Times New Roman" w:cs="Times New Roman" w:eastAsia="Times New Roman" w:hAnsi="Times New Roman"/>
          <w:sz w:val="17"/>
          <w:szCs w:val="17"/>
          <w:b w:val="1"/>
          <w:bCs w:val="1"/>
          <w:color w:val="auto"/>
        </w:rPr>
        <w:t>As filed with the United States Securities and Exchange Commission on February 10, 2023. Registration No. 333-267501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51095" cy="2476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20955</wp:posOffset>
            </wp:positionV>
            <wp:extent cx="495109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51095" cy="24765"/>
                    </a:xfrm>
                    <a:prstGeom prst="rect">
                      <a:avLst/>
                    </a:prstGeom>
                    <a:noFill/>
                  </pic:spPr>
                </pic:pic>
              </a:graphicData>
            </a:graphic>
          </wp:anchor>
        </w:drawing>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AMENDMENT NO. 3 TO</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S-1</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REGISTRATION STATEMENT</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1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SOUNDHOUND AI, INC.</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200" w:lineRule="exact"/>
        <w:rPr>
          <w:sz w:val="24"/>
          <w:szCs w:val="24"/>
          <w:color w:val="auto"/>
        </w:rPr>
      </w:pPr>
    </w:p>
    <w:tbl>
      <w:tblPr>
        <w:tblLayout w:type="fixed"/>
        <w:tblInd w:w="620" w:type="dxa"/>
        <w:tblCellMar>
          <w:top w:w="0" w:type="dxa"/>
          <w:left w:w="0" w:type="dxa"/>
          <w:bottom w:w="0" w:type="dxa"/>
          <w:right w:w="0" w:type="dxa"/>
        </w:tblCellMar>
      </w:tblPr>
      <w:tr>
        <w:trPr>
          <w:trHeight w:val="228"/>
        </w:trPr>
        <w:tc>
          <w:tcPr>
            <w:tcW w:w="25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7372</w:t>
            </w:r>
          </w:p>
        </w:tc>
        <w:tc>
          <w:tcPr>
            <w:tcW w:w="8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86-1286799</w:t>
            </w:r>
          </w:p>
        </w:tc>
        <w:tc>
          <w:tcPr>
            <w:tcW w:w="0" w:type="dxa"/>
            <w:vAlign w:val="bottom"/>
          </w:tcPr>
          <w:p>
            <w:pPr>
              <w:spacing w:after="0"/>
              <w:rPr>
                <w:sz w:val="1"/>
                <w:szCs w:val="1"/>
                <w:color w:val="auto"/>
              </w:rPr>
            </w:pPr>
          </w:p>
        </w:tc>
      </w:tr>
      <w:tr>
        <w:trPr>
          <w:trHeight w:val="39"/>
        </w:trPr>
        <w:tc>
          <w:tcPr>
            <w:tcW w:w="25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5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(State or other jurisdiction of</w:t>
            </w:r>
          </w:p>
        </w:tc>
        <w:tc>
          <w:tcPr>
            <w:tcW w:w="80" w:type="dxa"/>
            <w:vAlign w:val="bottom"/>
            <w:vMerge w:val="continue"/>
          </w:tcPr>
          <w:p>
            <w:pPr>
              <w:spacing w:after="0"/>
              <w:rPr>
                <w:sz w:val="15"/>
                <w:szCs w:val="15"/>
                <w:color w:val="auto"/>
              </w:rPr>
            </w:pPr>
          </w:p>
        </w:tc>
        <w:tc>
          <w:tcPr>
            <w:tcW w:w="25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(Primary Standard Industrial</w:t>
            </w:r>
          </w:p>
        </w:tc>
        <w:tc>
          <w:tcPr>
            <w:tcW w:w="80" w:type="dxa"/>
            <w:vAlign w:val="bottom"/>
            <w:vMerge w:val="continue"/>
          </w:tcPr>
          <w:p>
            <w:pPr>
              <w:spacing w:after="0"/>
              <w:rPr>
                <w:sz w:val="15"/>
                <w:szCs w:val="15"/>
                <w:color w:val="auto"/>
              </w:rPr>
            </w:pPr>
          </w:p>
        </w:tc>
        <w:tc>
          <w:tcPr>
            <w:tcW w:w="26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(I.R.S. Employer</w:t>
            </w:r>
          </w:p>
        </w:tc>
        <w:tc>
          <w:tcPr>
            <w:tcW w:w="0" w:type="dxa"/>
            <w:vAlign w:val="bottom"/>
          </w:tcPr>
          <w:p>
            <w:pPr>
              <w:spacing w:after="0"/>
              <w:rPr>
                <w:sz w:val="1"/>
                <w:szCs w:val="1"/>
                <w:color w:val="auto"/>
              </w:rPr>
            </w:pPr>
          </w:p>
        </w:tc>
      </w:tr>
      <w:tr>
        <w:trPr>
          <w:trHeight w:val="228"/>
        </w:trPr>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Classification Code Number)</w:t>
            </w: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Identification No.)</w:t>
            </w:r>
          </w:p>
        </w:tc>
        <w:tc>
          <w:tcPr>
            <w:tcW w:w="0" w:type="dxa"/>
            <w:vAlign w:val="bottom"/>
          </w:tcPr>
          <w:p>
            <w:pPr>
              <w:spacing w:after="0"/>
              <w:rPr>
                <w:sz w:val="1"/>
                <w:szCs w:val="1"/>
                <w:color w:val="auto"/>
              </w:rPr>
            </w:pPr>
          </w:p>
        </w:tc>
      </w:tr>
      <w:tr>
        <w:trPr>
          <w:trHeight w:val="395"/>
        </w:trPr>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5400 Betsy Ross Drive</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Santa Clara, CA 95054</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Telephone: (408) 441-3200</w:t>
            </w: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executive offices)</w:t>
      </w:r>
    </w:p>
    <w:p>
      <w:pPr>
        <w:spacing w:after="0" w:line="1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 Keyvan Mohajer</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5400 Betsy Ross Drive</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Santa Clara, CA 95054</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Telephone: (408) 441-3200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(Name, address, including zip code, and telephone number, including area code, of agent for service)</w:t>
      </w:r>
    </w:p>
    <w:p>
      <w:pPr>
        <w:spacing w:after="0" w:line="1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Copies of all communications, including communications sent to agent for service, should be sent to:</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Douglas Ellenoff, Esq.</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Matthew Bernstein, Esq.</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Ellenoff Grossman &amp; Schole LLP</w:t>
      </w:r>
    </w:p>
    <w:p>
      <w:pPr>
        <w:jc w:val="center"/>
        <w:ind w:right="19"/>
        <w:spacing w:after="0" w:line="231" w:lineRule="auto"/>
        <w:rPr>
          <w:sz w:val="20"/>
          <w:szCs w:val="20"/>
          <w:color w:val="auto"/>
        </w:rPr>
      </w:pPr>
      <w:r>
        <w:rPr>
          <w:rFonts w:ascii="Times New Roman" w:cs="Times New Roman" w:eastAsia="Times New Roman" w:hAnsi="Times New Roman"/>
          <w:sz w:val="17"/>
          <w:szCs w:val="17"/>
          <w:b w:val="1"/>
          <w:bCs w:val="1"/>
          <w:color w:val="auto"/>
        </w:rPr>
        <w:t>1345 Avenue of the Americas, 11</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7"/>
          <w:szCs w:val="17"/>
          <w:b w:val="1"/>
          <w:bCs w:val="1"/>
          <w:color w:val="auto"/>
        </w:rPr>
        <w:t xml:space="preserve"> Floor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New York, New York 10105</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Telephone: (212) 370-1300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Fax: (212) 370-7889</w:t>
      </w:r>
    </w:p>
    <w:p>
      <w:pPr>
        <w:spacing w:after="0" w:line="1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29" w:lineRule="exact"/>
        <w:rPr>
          <w:sz w:val="24"/>
          <w:szCs w:val="24"/>
          <w:color w:val="auto"/>
        </w:rPr>
      </w:pPr>
    </w:p>
    <w:p>
      <w:pPr>
        <w:jc w:val="both"/>
        <w:ind w:left="600" w:right="619" w:firstLine="416"/>
        <w:spacing w:after="0" w:line="243" w:lineRule="auto"/>
        <w:rPr>
          <w:sz w:val="20"/>
          <w:szCs w:val="20"/>
          <w:color w:val="auto"/>
        </w:rPr>
      </w:pPr>
      <w:r>
        <w:rPr>
          <w:rFonts w:ascii="Times New Roman" w:cs="Times New Roman" w:eastAsia="Times New Roman" w:hAnsi="Times New Roman"/>
          <w:sz w:val="14"/>
          <w:szCs w:val="14"/>
          <w:color w:val="auto"/>
        </w:rPr>
        <w:t>Approximate date of commencement of proposed sale to the public: As soon as practicable after the effective date of this registration statement.</w:t>
      </w:r>
    </w:p>
    <w:p>
      <w:pPr>
        <w:spacing w:after="0" w:line="12" w:lineRule="exact"/>
        <w:rPr>
          <w:sz w:val="24"/>
          <w:szCs w:val="24"/>
          <w:color w:val="auto"/>
        </w:rPr>
      </w:pPr>
    </w:p>
    <w:p>
      <w:pPr>
        <w:jc w:val="both"/>
        <w:ind w:left="600" w:right="619" w:firstLine="416"/>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jc w:val="both"/>
        <w:ind w:left="600" w:right="619" w:firstLine="416"/>
        <w:spacing w:after="0" w:line="241" w:lineRule="auto"/>
        <w:rPr>
          <w:sz w:val="20"/>
          <w:szCs w:val="20"/>
          <w:color w:val="auto"/>
        </w:rPr>
      </w:pPr>
      <w:r>
        <w:rPr>
          <w:rFonts w:ascii="Times New Roman" w:cs="Times New Roman" w:eastAsia="Times New Roman" w:hAnsi="Times New Roman"/>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p>
    <w:p>
      <w:pPr>
        <w:spacing w:after="0" w:line="1" w:lineRule="exact"/>
        <w:rPr>
          <w:sz w:val="24"/>
          <w:szCs w:val="24"/>
          <w:color w:val="auto"/>
        </w:rPr>
      </w:pPr>
    </w:p>
    <w:p>
      <w:pPr>
        <w:ind w:left="600"/>
        <w:spacing w:after="0" w:line="141" w:lineRule="exact"/>
        <w:rPr>
          <w:sz w:val="20"/>
          <w:szCs w:val="20"/>
          <w:color w:val="auto"/>
        </w:rPr>
      </w:pPr>
      <w:r>
        <w:rPr>
          <w:rFonts w:ascii="MS PGothic" w:cs="MS PGothic" w:eastAsia="MS PGothic" w:hAnsi="MS PGothic"/>
          <w:sz w:val="14"/>
          <w:szCs w:val="14"/>
          <w:color w:val="auto"/>
        </w:rPr>
        <w:t>☐</w:t>
      </w:r>
    </w:p>
    <w:p>
      <w:pPr>
        <w:spacing w:after="0" w:line="45" w:lineRule="exact"/>
        <w:rPr>
          <w:sz w:val="24"/>
          <w:szCs w:val="24"/>
          <w:color w:val="auto"/>
        </w:rPr>
      </w:pPr>
    </w:p>
    <w:p>
      <w:pPr>
        <w:jc w:val="both"/>
        <w:ind w:left="600" w:right="619" w:firstLine="416"/>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 w:lineRule="exact"/>
        <w:rPr>
          <w:sz w:val="24"/>
          <w:szCs w:val="24"/>
          <w:color w:val="auto"/>
        </w:rPr>
      </w:pPr>
    </w:p>
    <w:p>
      <w:pPr>
        <w:jc w:val="both"/>
        <w:ind w:left="600" w:right="619" w:firstLine="416"/>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020"/>
        <w:spacing w:after="0" w:line="161" w:lineRule="exact"/>
        <w:rPr>
          <w:sz w:val="20"/>
          <w:szCs w:val="20"/>
          <w:color w:val="auto"/>
        </w:rPr>
      </w:pPr>
      <w:r>
        <w:rPr>
          <w:rFonts w:ascii="Times New Roman" w:cs="Times New Roman" w:eastAsia="Times New Roman" w:hAnsi="Times New Roman"/>
          <w:sz w:val="14"/>
          <w:szCs w:val="14"/>
          <w:color w:val="auto"/>
        </w:rPr>
        <w:t xml:space="preserve">If delivery of the Prospectus is expected to be made pursuant to Rule 434, check the following box. </w:t>
      </w:r>
      <w:r>
        <w:rPr>
          <w:rFonts w:ascii="MS PGothic" w:cs="MS PGothic" w:eastAsia="MS PGothic" w:hAnsi="MS PGothic"/>
          <w:sz w:val="14"/>
          <w:szCs w:val="14"/>
          <w:color w:val="auto"/>
        </w:rPr>
        <w:t>☐</w:t>
      </w:r>
    </w:p>
    <w:p>
      <w:pPr>
        <w:spacing w:after="0" w:line="47" w:lineRule="exact"/>
        <w:rPr>
          <w:sz w:val="24"/>
          <w:szCs w:val="24"/>
          <w:color w:val="auto"/>
        </w:rPr>
      </w:pPr>
    </w:p>
    <w:p>
      <w:pPr>
        <w:jc w:val="both"/>
        <w:ind w:left="600" w:right="619" w:firstLine="416"/>
        <w:spacing w:after="0" w:line="23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960" w:type="dxa"/>
        <w:tblCellMar>
          <w:top w:w="0" w:type="dxa"/>
          <w:left w:w="0" w:type="dxa"/>
          <w:bottom w:w="0" w:type="dxa"/>
          <w:right w:w="0" w:type="dxa"/>
        </w:tblCellMar>
      </w:tblPr>
      <w:tr>
        <w:trPr>
          <w:trHeight w:val="217"/>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1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23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Accelerated filer</w:t>
            </w:r>
          </w:p>
        </w:tc>
        <w:tc>
          <w:tcPr>
            <w:tcW w:w="220" w:type="dxa"/>
            <w:vAlign w:val="bottom"/>
          </w:tcPr>
          <w:p>
            <w:pPr>
              <w:ind w:left="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4"/>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16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23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3"/>
        </w:trPr>
        <w:tc>
          <w:tcPr>
            <w:tcW w:w="14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3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Emerging growth company</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12" w:lineRule="exact"/>
        <w:rPr>
          <w:sz w:val="24"/>
          <w:szCs w:val="24"/>
          <w:color w:val="auto"/>
        </w:rPr>
      </w:pPr>
    </w:p>
    <w:p>
      <w:pPr>
        <w:jc w:val="both"/>
        <w:ind w:left="600" w:right="619" w:firstLine="416"/>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600" w:right="619" w:firstLine="416"/>
        <w:spacing w:after="0" w:line="227"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388620</wp:posOffset>
            </wp:positionH>
            <wp:positionV relativeFrom="paragraph">
              <wp:posOffset>40005</wp:posOffset>
            </wp:positionV>
            <wp:extent cx="495109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51095" cy="2476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81280</wp:posOffset>
            </wp:positionV>
            <wp:extent cx="495109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51095" cy="2476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344805</wp:posOffset>
            </wp:positionV>
            <wp:extent cx="4951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1" w:name="page2"/>
    <w:bookmarkEnd w:id="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600" w:right="619"/>
        <w:spacing w:after="0" w:line="263" w:lineRule="auto"/>
        <w:rPr>
          <w:sz w:val="20"/>
          <w:szCs w:val="20"/>
          <w:color w:val="auto"/>
        </w:rPr>
      </w:pPr>
      <w:r>
        <w:rPr>
          <w:rFonts w:ascii="Times New Roman" w:cs="Times New Roman" w:eastAsia="Times New Roman" w:hAnsi="Times New Roman"/>
          <w:sz w:val="16"/>
          <w:szCs w:val="16"/>
          <w:b w:val="1"/>
          <w:bCs w:val="1"/>
          <w:color w:val="D223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77" w:lineRule="exact"/>
        <w:rPr>
          <w:sz w:val="20"/>
          <w:szCs w:val="20"/>
          <w:color w:val="auto"/>
        </w:rPr>
      </w:pPr>
    </w:p>
    <w:p>
      <w:pPr>
        <w:ind w:left="600"/>
        <w:spacing w:after="0"/>
        <w:tabs>
          <w:tab w:leader="none" w:pos="6140" w:val="left"/>
        </w:tabs>
        <w:rPr>
          <w:sz w:val="20"/>
          <w:szCs w:val="20"/>
          <w:color w:val="auto"/>
        </w:rPr>
      </w:pPr>
      <w:r>
        <w:rPr>
          <w:rFonts w:ascii="Times New Roman" w:cs="Times New Roman" w:eastAsia="Times New Roman" w:hAnsi="Times New Roman"/>
          <w:sz w:val="17"/>
          <w:szCs w:val="17"/>
          <w:b w:val="1"/>
          <w:bCs w:val="1"/>
          <w:color w:val="D2232A"/>
        </w:rPr>
        <w:t>PRELIMINARY PROSPECTUS SUBJECT TO COMPLETION</w:t>
      </w:r>
      <w:r>
        <w:rPr>
          <w:sz w:val="20"/>
          <w:szCs w:val="20"/>
          <w:color w:val="auto"/>
        </w:rPr>
        <w:tab/>
      </w:r>
      <w:r>
        <w:rPr>
          <w:rFonts w:ascii="Times New Roman" w:cs="Times New Roman" w:eastAsia="Times New Roman" w:hAnsi="Times New Roman"/>
          <w:sz w:val="17"/>
          <w:szCs w:val="17"/>
          <w:b w:val="1"/>
          <w:bCs w:val="1"/>
          <w:color w:val="D2232A"/>
        </w:rPr>
        <w:t>DATED FEBRUARY 10, 2023</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SOUNDHOUND AI, INC.</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25,250,000 Shares of Class A Common Stock</w:t>
      </w:r>
    </w:p>
    <w:p>
      <w:pPr>
        <w:spacing w:after="0" w:line="13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This prospectus relates to the potential offer and sale from time to time by CF Principal Investments LLC (“Cantor” the “Holder”) of up to 25,000,000 shares of Class A common stock, par value $0.0001 per share (the “Class A Shares”, the “Class A Common Stock” or the “Common Stock”) of SoundHound AI, Inc. (“SoundHound AI,” the “Company,” “we,” “us” or “our”), that may be issued by us to the Holder pursuant to a Common Stock Purchase Agreement, dated as of August 16, 2022, by and between us and the Holder (the “Purchase Agreement”) establishing a committed equity facility (the “Facility”). The purchase price of the shares of Common Stock that we elect to sell to Cantor pursuant to the Purchase Agreement will be the volume weighted average price of the Common Stock during the applicable purchase date on which we have timely delivered written notice to Cantor directing it to purchase the shares of Common Stock under the Purchase Agreement and we will receive 97% of the volume weighted average price of the Common Stock so sold.</w:t>
      </w:r>
    </w:p>
    <w:p>
      <w:pPr>
        <w:spacing w:after="0" w:line="99"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We are not selling any securities under this prospectus and will not receive any of the proceeds from the sale of shares of our Class A Common Stock by the Holder. However, we will receive proceeds from our sale to the Holder of up to 25,000,000 Class A Shares at varying purchase prices depending on the market price of our shares of Class A Common Stock at the time of such purchases, pursuant to the terms of the Purchase Agreement, after the date of this prospectus. The purchase price per share that Cantor will pay for shares of Class A Common Stock purchased from us under the Purchase Agreement will fluctuate based on the market price of our Class A Shares at the time we elect to sell shares to Cantor and, further, to the extent that the Company sells shares of Class A Common Stock under the Facility, substantial amounts of Class A Shares could be issued and resold, which would cause dilution and may impact the Company’s stock price. In addition, this prospectus also relates to 250,000 shares of Class A Common Stock which we have agreed to issue to Cantor in connection with the execution of the Purchase Agreement (the “Commitment Shares”) as consideration for its irrevocable commitment to purchase the Class A Shares at our election in our sole discretion, from time to time after the date of this prospectus, upon the terms and subject to the satisfaction of the conditions set forth in the Purchase Agreement. See “The Committed Equity Financing” for a description of the Purchase Agreement and the Facility and “Selling Holder” for additional information regarding Cantor.</w:t>
      </w:r>
    </w:p>
    <w:p>
      <w:pPr>
        <w:spacing w:after="0" w:line="10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Holder may offer, sell or distribute all or a portion of the Class A Shares registered hereby publicly or through private transactions at prevailing market prices or at negotiated prices. We will bear all costs, expenses and fees in connection with the registration of these shares, including with regard to compliance with state securities or “blue sky” laws. The timing and amount of any sale are within the sole discretion of the Holder. The Holder is an underwriter under the Securities Act of 1933, as amended (the “Securities Act”), and any profit on sale of the shares by it and any discounts, commissions or concessions received by it may be deemed to be underwriting discounts and commissions under the Securities Act. Although the Holder is obligated (subject to certain conditions) to purchase shares of our Class A Common Stock under the terms of the Purchase Agreement to extent we choose to sell such shares to it, there can be no assurances that the Holder will sell any or all of the shares purchased under the Purchase Agreement pursuant to this prospectus. The Holder will bear all commissions and discounts, if any, attributable to its sale of shares of Class A Common Stock. See “</w:t>
      </w:r>
      <w:r>
        <w:rPr>
          <w:rFonts w:ascii="Times New Roman" w:cs="Times New Roman" w:eastAsia="Times New Roman" w:hAnsi="Times New Roman"/>
          <w:sz w:val="17"/>
          <w:szCs w:val="17"/>
          <w:i w:val="1"/>
          <w:iCs w:val="1"/>
          <w:color w:val="auto"/>
        </w:rPr>
        <w:t>Plan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Distribution (Conflict of Interest)</w:t>
      </w:r>
      <w:r>
        <w:rPr>
          <w:rFonts w:ascii="Times New Roman" w:cs="Times New Roman" w:eastAsia="Times New Roman" w:hAnsi="Times New Roman"/>
          <w:sz w:val="17"/>
          <w:szCs w:val="17"/>
          <w:color w:val="auto"/>
        </w:rPr>
        <w:t>” beginning on page 118.</w:t>
      </w:r>
    </w:p>
    <w:p>
      <w:pPr>
        <w:spacing w:after="0" w:line="103"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Class A Common Stock is listed on the Global Market of The Nasdaq Stock Market LLC (“Nasdaq”) under the symbol “SOUN.” On January 31, 2023, the last reported sale price of our Class A Common Stock was $1.99 per share.</w:t>
      </w:r>
    </w:p>
    <w:p>
      <w:pPr>
        <w:spacing w:after="0" w:line="82" w:lineRule="exact"/>
        <w:rPr>
          <w:sz w:val="20"/>
          <w:szCs w:val="20"/>
          <w:color w:val="auto"/>
        </w:rPr>
      </w:pPr>
    </w:p>
    <w:p>
      <w:pPr>
        <w:jc w:val="both"/>
        <w:ind w:left="600" w:right="619" w:firstLine="416"/>
        <w:spacing w:after="0" w:line="295" w:lineRule="auto"/>
        <w:rPr>
          <w:sz w:val="20"/>
          <w:szCs w:val="20"/>
          <w:color w:val="auto"/>
        </w:rPr>
      </w:pPr>
      <w:r>
        <w:rPr>
          <w:rFonts w:ascii="Times New Roman" w:cs="Times New Roman" w:eastAsia="Times New Roman" w:hAnsi="Times New Roman"/>
          <w:sz w:val="17"/>
          <w:szCs w:val="17"/>
          <w:b w:val="1"/>
          <w:bCs w:val="1"/>
          <w:color w:val="auto"/>
        </w:rPr>
        <w:t>We are an “emerging growth company” under federal securities laws and are subject to reduced public company reporting requirements.</w:t>
      </w:r>
    </w:p>
    <w:p>
      <w:pPr>
        <w:spacing w:after="0" w:line="65"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beginning on page 15 of this prospectus, in any amendment or supplements to this prospectus.</w:t>
      </w:r>
    </w:p>
    <w:p>
      <w:pPr>
        <w:spacing w:after="0" w:line="82"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84" w:lineRule="exact"/>
        <w:rPr>
          <w:sz w:val="20"/>
          <w:szCs w:val="20"/>
          <w:color w:val="auto"/>
        </w:rPr>
      </w:pPr>
    </w:p>
    <w:tbl>
      <w:tblPr>
        <w:tblLayout w:type="fixed"/>
        <w:tblInd w:w="620" w:type="dxa"/>
        <w:tblCellMar>
          <w:top w:w="0" w:type="dxa"/>
          <w:left w:w="0" w:type="dxa"/>
          <w:bottom w:w="0" w:type="dxa"/>
          <w:right w:w="0" w:type="dxa"/>
        </w:tblCellMar>
      </w:tblPr>
      <w:tr>
        <w:trPr>
          <w:trHeight w:val="226"/>
        </w:trPr>
        <w:tc>
          <w:tcPr>
            <w:tcW w:w="46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The date of this prospectus is</w:t>
            </w:r>
          </w:p>
        </w:tc>
        <w:tc>
          <w:tcPr>
            <w:tcW w:w="3120" w:type="dxa"/>
            <w:vAlign w:val="bottom"/>
          </w:tcPr>
          <w:p>
            <w:pPr>
              <w:jc w:val="right"/>
              <w:ind w:right="2273"/>
              <w:spacing w:after="0"/>
              <w:rPr>
                <w:sz w:val="20"/>
                <w:szCs w:val="20"/>
                <w:color w:val="auto"/>
              </w:rPr>
            </w:pPr>
            <w:r>
              <w:rPr>
                <w:rFonts w:ascii="Times New Roman" w:cs="Times New Roman" w:eastAsia="Times New Roman" w:hAnsi="Times New Roman"/>
                <w:sz w:val="17"/>
                <w:szCs w:val="17"/>
                <w:color w:val="auto"/>
              </w:rPr>
              <w:t>, 2023.</w:t>
            </w:r>
          </w:p>
        </w:tc>
      </w:tr>
      <w:tr>
        <w:trPr>
          <w:trHeight w:val="377"/>
        </w:trPr>
        <w:tc>
          <w:tcPr>
            <w:tcW w:w="46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 w:name="page3"/>
    <w:bookmarkEnd w:id="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1" w:lineRule="exact"/>
        <w:rPr>
          <w:sz w:val="20"/>
          <w:szCs w:val="20"/>
          <w:color w:val="auto"/>
        </w:rPr>
      </w:pPr>
    </w:p>
    <w:tbl>
      <w:tblPr>
        <w:tblLayout w:type="fixed"/>
        <w:tblInd w:w="600" w:type="dxa"/>
        <w:tblCellMar>
          <w:top w:w="0" w:type="dxa"/>
          <w:left w:w="0" w:type="dxa"/>
          <w:bottom w:w="0" w:type="dxa"/>
          <w:right w:w="0" w:type="dxa"/>
        </w:tblCellMar>
      </w:tblPr>
      <w:tr>
        <w:trPr>
          <w:trHeight w:val="253"/>
        </w:trPr>
        <w:tc>
          <w:tcPr>
            <w:tcW w:w="20" w:type="dxa"/>
            <w:vAlign w:val="bottom"/>
            <w:tcBorders>
              <w:bottom w:val="single" w:sz="8" w:color="0000EE"/>
            </w:tcBorders>
          </w:tcPr>
          <w:p>
            <w:pPr>
              <w:spacing w:after="0"/>
              <w:rPr>
                <w:sz w:val="22"/>
                <w:szCs w:val="22"/>
                <w:color w:val="auto"/>
              </w:rPr>
            </w:pPr>
          </w:p>
        </w:tc>
        <w:tc>
          <w:tcPr>
            <w:tcW w:w="2140" w:type="dxa"/>
            <w:vAlign w:val="bottom"/>
            <w:tcBorders>
              <w:bottom w:val="single" w:sz="8" w:color="0000EE"/>
            </w:tcBorders>
            <w:gridSpan w:val="12"/>
            <w:shd w:val="clear" w:color="auto" w:fill="CCEEFF"/>
          </w:tcPr>
          <w:p>
            <w:pPr>
              <w:spacing w:after="0"/>
              <w:rPr>
                <w:sz w:val="20"/>
                <w:szCs w:val="20"/>
                <w:color w:val="auto"/>
              </w:rPr>
            </w:pPr>
            <w:r>
              <w:rPr>
                <w:rFonts w:ascii="Times New Roman" w:cs="Times New Roman" w:eastAsia="Times New Roman" w:hAnsi="Times New Roman"/>
                <w:sz w:val="17"/>
                <w:szCs w:val="17"/>
                <w:color w:val="0000EE"/>
              </w:rPr>
              <w:t>ABOUT THIS PROSPECTUS</w:t>
            </w:r>
          </w:p>
        </w:tc>
        <w:tc>
          <w:tcPr>
            <w:tcW w:w="4780" w:type="dxa"/>
            <w:vAlign w:val="bottom"/>
            <w:tcBorders>
              <w:bottom w:val="single" w:sz="8" w:color="CCEEFF"/>
            </w:tcBorders>
            <w:gridSpan w:val="19"/>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center"/>
              <w:ind w:left="173"/>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MARKET AND INDUSTRY DATA</w:t>
            </w:r>
          </w:p>
        </w:tc>
        <w:tc>
          <w:tcPr>
            <w:tcW w:w="86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5560" w:type="dxa"/>
            <w:vAlign w:val="bottom"/>
            <w:tcBorders>
              <w:bottom w:val="single" w:sz="8" w:color="0000EE"/>
            </w:tcBorders>
            <w:gridSpan w:val="28"/>
            <w:shd w:val="clear" w:color="auto" w:fill="CCEEFF"/>
          </w:tcPr>
          <w:p>
            <w:pPr>
              <w:spacing w:after="0"/>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1360" w:type="dxa"/>
            <w:vAlign w:val="bottom"/>
            <w:tcBorders>
              <w:bottom w:val="single" w:sz="8" w:color="CCEEFF"/>
            </w:tcBorders>
            <w:gridSpan w:val="3"/>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73"/>
              <w:spacing w:after="0"/>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PROSPECTUS SUMMARY</w:t>
            </w:r>
          </w:p>
        </w:tc>
        <w:tc>
          <w:tcPr>
            <w:tcW w:w="86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w w:val="93"/>
              </w:rPr>
              <w:t>6</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1220" w:type="dxa"/>
            <w:vAlign w:val="bottom"/>
            <w:tcBorders>
              <w:bottom w:val="single" w:sz="8" w:color="0000EE"/>
            </w:tcBorders>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THE OFFERING</w:t>
            </w:r>
          </w:p>
        </w:tc>
        <w:tc>
          <w:tcPr>
            <w:tcW w:w="5700" w:type="dxa"/>
            <w:vAlign w:val="bottom"/>
            <w:tcBorders>
              <w:bottom w:val="single" w:sz="8" w:color="CCEEFF"/>
            </w:tcBorders>
            <w:gridSpan w:val="26"/>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RISK FACTORS</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3100" w:type="dxa"/>
            <w:vAlign w:val="bottom"/>
            <w:tcBorders>
              <w:bottom w:val="single" w:sz="8" w:color="0000EE"/>
            </w:tcBorders>
            <w:gridSpan w:val="21"/>
            <w:shd w:val="clear" w:color="auto" w:fill="CCEEFF"/>
          </w:tcPr>
          <w:p>
            <w:pPr>
              <w:spacing w:after="0"/>
              <w:rPr>
                <w:sz w:val="20"/>
                <w:szCs w:val="20"/>
                <w:color w:val="auto"/>
              </w:rPr>
            </w:pPr>
            <w:r>
              <w:rPr>
                <w:rFonts w:ascii="Times New Roman" w:cs="Times New Roman" w:eastAsia="Times New Roman" w:hAnsi="Times New Roman"/>
                <w:sz w:val="17"/>
                <w:szCs w:val="17"/>
                <w:color w:val="0000EE"/>
              </w:rPr>
              <w:t>THE COMMITTED EQUITY FINANCING</w:t>
            </w:r>
          </w:p>
        </w:tc>
        <w:tc>
          <w:tcPr>
            <w:tcW w:w="3820" w:type="dxa"/>
            <w:vAlign w:val="bottom"/>
            <w:tcBorders>
              <w:bottom w:val="single" w:sz="8" w:color="CCEEFF"/>
            </w:tcBorders>
            <w:gridSpan w:val="10"/>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USE OF PROCEEDS</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0000EE"/>
              </w:rPr>
              <w:t>DETERMINATION OF OFFERING PRICE</w:t>
            </w:r>
          </w:p>
        </w:tc>
        <w:tc>
          <w:tcPr>
            <w:tcW w:w="86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vMerge w:val="restart"/>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920" w:type="dxa"/>
            <w:vAlign w:val="bottom"/>
            <w:gridSpan w:val="31"/>
          </w:tcPr>
          <w:p>
            <w:pPr>
              <w:spacing w:after="0" w:line="169" w:lineRule="exact"/>
              <w:rPr>
                <w:sz w:val="20"/>
                <w:szCs w:val="20"/>
                <w:color w:val="auto"/>
              </w:rPr>
            </w:pPr>
            <w:r>
              <w:rPr>
                <w:rFonts w:ascii="Times New Roman" w:cs="Times New Roman" w:eastAsia="Times New Roman" w:hAnsi="Times New Roman"/>
                <w:sz w:val="17"/>
                <w:szCs w:val="17"/>
                <w:color w:val="0000EE"/>
              </w:rPr>
              <w:t>MARKET INFORMATION FOR CLASS A COMMON STOCK AND WARRANTS AND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0000EE"/>
            </w:tcBorders>
          </w:tcPr>
          <w:p>
            <w:pPr>
              <w:spacing w:after="0"/>
              <w:rPr>
                <w:sz w:val="16"/>
                <w:szCs w:val="16"/>
                <w:color w:val="auto"/>
              </w:rPr>
            </w:pPr>
          </w:p>
        </w:tc>
        <w:tc>
          <w:tcPr>
            <w:tcW w:w="6360" w:type="dxa"/>
            <w:vAlign w:val="bottom"/>
            <w:tcBorders>
              <w:top w:val="single" w:sz="8" w:color="0000EE"/>
            </w:tcBorders>
            <w:gridSpan w:val="29"/>
          </w:tcPr>
          <w:p>
            <w:pPr>
              <w:ind w:left="160"/>
              <w:spacing w:after="0" w:line="188" w:lineRule="exact"/>
              <w:rPr>
                <w:sz w:val="20"/>
                <w:szCs w:val="20"/>
                <w:color w:val="auto"/>
              </w:rPr>
            </w:pPr>
            <w:r>
              <w:rPr>
                <w:rFonts w:ascii="Times New Roman" w:cs="Times New Roman" w:eastAsia="Times New Roman" w:hAnsi="Times New Roman"/>
                <w:sz w:val="17"/>
                <w:szCs w:val="17"/>
                <w:color w:val="0000EE"/>
              </w:rPr>
              <w:t>DIVIDEND POLICY</w:t>
            </w:r>
          </w:p>
        </w:tc>
        <w:tc>
          <w:tcPr>
            <w:tcW w:w="560" w:type="dxa"/>
            <w:vAlign w:val="bottom"/>
            <w:gridSpan w:val="2"/>
          </w:tcPr>
          <w:p>
            <w:pPr>
              <w:spacing w:after="0"/>
              <w:rPr>
                <w:sz w:val="16"/>
                <w:szCs w:val="16"/>
                <w:color w:val="auto"/>
              </w:rPr>
            </w:pPr>
          </w:p>
        </w:tc>
        <w:tc>
          <w:tcPr>
            <w:tcW w:w="860" w:type="dxa"/>
            <w:vAlign w:val="bottom"/>
          </w:tcPr>
          <w:p>
            <w:pPr>
              <w:jc w:val="center"/>
              <w:ind w:left="193"/>
              <w:spacing w:after="0" w:line="188" w:lineRule="exact"/>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920" w:type="dxa"/>
            <w:vAlign w:val="bottom"/>
            <w:gridSpan w:val="31"/>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MANAGEMENT’S DISCUSSION AND ANALYSYS OF FINANCIAL CONDITION AND</w:t>
            </w: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0000EE"/>
            </w:tcBorders>
          </w:tcPr>
          <w:p>
            <w:pPr>
              <w:spacing w:after="0"/>
              <w:rPr>
                <w:sz w:val="16"/>
                <w:szCs w:val="16"/>
                <w:color w:val="auto"/>
              </w:rPr>
            </w:pPr>
          </w:p>
        </w:tc>
        <w:tc>
          <w:tcPr>
            <w:tcW w:w="6480" w:type="dxa"/>
            <w:vAlign w:val="bottom"/>
            <w:tcBorders>
              <w:top w:val="single" w:sz="8" w:color="0000EE"/>
            </w:tcBorders>
            <w:gridSpan w:val="30"/>
            <w:shd w:val="clear" w:color="auto" w:fill="CCEEFF"/>
          </w:tcPr>
          <w:p>
            <w:pPr>
              <w:ind w:left="160"/>
              <w:spacing w:after="0" w:line="188" w:lineRule="exact"/>
              <w:rPr>
                <w:sz w:val="20"/>
                <w:szCs w:val="20"/>
                <w:color w:val="auto"/>
              </w:rPr>
            </w:pPr>
            <w:r>
              <w:rPr>
                <w:rFonts w:ascii="Times New Roman" w:cs="Times New Roman" w:eastAsia="Times New Roman" w:hAnsi="Times New Roman"/>
                <w:sz w:val="17"/>
                <w:szCs w:val="17"/>
                <w:color w:val="0000EE"/>
              </w:rPr>
              <w:t>RESULTS OF OPERATIONS OF ATSP</w:t>
            </w:r>
          </w:p>
        </w:tc>
        <w:tc>
          <w:tcPr>
            <w:tcW w:w="4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jc w:val="center"/>
              <w:ind w:left="193"/>
              <w:spacing w:after="0" w:line="188" w:lineRule="exact"/>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920" w:type="dxa"/>
            <w:vAlign w:val="bottom"/>
            <w:gridSpan w:val="31"/>
          </w:tcPr>
          <w:p>
            <w:pPr>
              <w:spacing w:after="0" w:line="169" w:lineRule="exact"/>
              <w:rPr>
                <w:sz w:val="20"/>
                <w:szCs w:val="20"/>
                <w:color w:val="auto"/>
              </w:rPr>
            </w:pPr>
            <w:r>
              <w:rPr>
                <w:rFonts w:ascii="Times New Roman" w:cs="Times New Roman" w:eastAsia="Times New Roman" w:hAnsi="Times New Roman"/>
                <w:sz w:val="17"/>
                <w:szCs w:val="17"/>
                <w:color w:val="0000EE"/>
              </w:rPr>
              <w:t>MANAGEMENT’S DISCUSSION AND ANALYSYS OF FINANCIAL CONDITION AND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0000EE"/>
            </w:tcBorders>
          </w:tcPr>
          <w:p>
            <w:pPr>
              <w:spacing w:after="0"/>
              <w:rPr>
                <w:sz w:val="16"/>
                <w:szCs w:val="16"/>
                <w:color w:val="auto"/>
              </w:rPr>
            </w:pPr>
          </w:p>
        </w:tc>
        <w:tc>
          <w:tcPr>
            <w:tcW w:w="6480" w:type="dxa"/>
            <w:vAlign w:val="bottom"/>
            <w:tcBorders>
              <w:top w:val="single" w:sz="8" w:color="0000EE"/>
            </w:tcBorders>
            <w:gridSpan w:val="30"/>
          </w:tcPr>
          <w:p>
            <w:pPr>
              <w:ind w:left="160"/>
              <w:spacing w:after="0" w:line="188" w:lineRule="exact"/>
              <w:rPr>
                <w:sz w:val="20"/>
                <w:szCs w:val="20"/>
                <w:color w:val="auto"/>
              </w:rPr>
            </w:pPr>
            <w:r>
              <w:rPr>
                <w:rFonts w:ascii="Times New Roman" w:cs="Times New Roman" w:eastAsia="Times New Roman" w:hAnsi="Times New Roman"/>
                <w:sz w:val="17"/>
                <w:szCs w:val="17"/>
                <w:color w:val="0000EE"/>
              </w:rPr>
              <w:t>RESULTS OF OPERATIONS OF SOUNDHOUND AI</w:t>
            </w:r>
          </w:p>
        </w:tc>
        <w:tc>
          <w:tcPr>
            <w:tcW w:w="440" w:type="dxa"/>
            <w:vAlign w:val="bottom"/>
          </w:tcPr>
          <w:p>
            <w:pPr>
              <w:spacing w:after="0"/>
              <w:rPr>
                <w:sz w:val="16"/>
                <w:szCs w:val="16"/>
                <w:color w:val="auto"/>
              </w:rPr>
            </w:pPr>
          </w:p>
        </w:tc>
        <w:tc>
          <w:tcPr>
            <w:tcW w:w="860" w:type="dxa"/>
            <w:vAlign w:val="bottom"/>
          </w:tcPr>
          <w:p>
            <w:pPr>
              <w:jc w:val="center"/>
              <w:ind w:left="193"/>
              <w:spacing w:after="0" w:line="188" w:lineRule="exact"/>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0000EE"/>
              </w:rPr>
              <w:t>BUSINESS</w:t>
            </w:r>
          </w:p>
        </w:tc>
        <w:tc>
          <w:tcPr>
            <w:tcW w:w="86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MANAGEMENT</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2340" w:type="dxa"/>
            <w:vAlign w:val="bottom"/>
            <w:tcBorders>
              <w:bottom w:val="single" w:sz="8" w:color="0000EE"/>
            </w:tcBorders>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EXECUTIVE COMPENSATION</w:t>
            </w:r>
          </w:p>
        </w:tc>
        <w:tc>
          <w:tcPr>
            <w:tcW w:w="4580" w:type="dxa"/>
            <w:vAlign w:val="bottom"/>
            <w:tcBorders>
              <w:bottom w:val="single" w:sz="8" w:color="CCEEFF"/>
            </w:tcBorders>
            <w:gridSpan w:val="16"/>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DIRECTOR COMPENSATION</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3700" w:type="dxa"/>
            <w:vAlign w:val="bottom"/>
            <w:tcBorders>
              <w:bottom w:val="single" w:sz="8" w:color="0000EE"/>
            </w:tcBorders>
            <w:gridSpan w:val="23"/>
            <w:shd w:val="clear" w:color="auto" w:fill="CCEEFF"/>
          </w:tcPr>
          <w:p>
            <w:pPr>
              <w:spacing w:after="0"/>
              <w:rPr>
                <w:sz w:val="20"/>
                <w:szCs w:val="20"/>
                <w:color w:val="auto"/>
              </w:rPr>
            </w:pPr>
            <w:r>
              <w:rPr>
                <w:rFonts w:ascii="Times New Roman" w:cs="Times New Roman" w:eastAsia="Times New Roman" w:hAnsi="Times New Roman"/>
                <w:sz w:val="17"/>
                <w:szCs w:val="17"/>
                <w:color w:val="0000EE"/>
              </w:rPr>
              <w:t>EXECUTIVE COMPENSTION ARRANGEMENTS</w:t>
            </w:r>
          </w:p>
        </w:tc>
        <w:tc>
          <w:tcPr>
            <w:tcW w:w="3220" w:type="dxa"/>
            <w:vAlign w:val="bottom"/>
            <w:tcBorders>
              <w:bottom w:val="single" w:sz="8" w:color="CCEEFF"/>
            </w:tcBorders>
            <w:gridSpan w:val="8"/>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CERTAIN RELATIONSHIPS AND RELATED PARTY TRANSACTIONS</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1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2280" w:type="dxa"/>
            <w:vAlign w:val="bottom"/>
            <w:tcBorders>
              <w:bottom w:val="single" w:sz="8" w:color="0000EE"/>
            </w:tcBorders>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PRINCIPAL STOCKHOLDERS</w:t>
            </w:r>
          </w:p>
        </w:tc>
        <w:tc>
          <w:tcPr>
            <w:tcW w:w="4640" w:type="dxa"/>
            <w:vAlign w:val="bottom"/>
            <w:tcBorders>
              <w:bottom w:val="single" w:sz="8" w:color="CCEEFF"/>
            </w:tcBorders>
            <w:gridSpan w:val="17"/>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SELLING STOCKHOLDER</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9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0000EE"/>
              </w:rPr>
              <w:t>PLAN OF DISTRIBUTION (CONFLICT OF INTEREST)</w:t>
            </w:r>
          </w:p>
        </w:tc>
        <w:tc>
          <w:tcPr>
            <w:tcW w:w="86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195"/>
        </w:trPr>
        <w:tc>
          <w:tcPr>
            <w:tcW w:w="4100" w:type="dxa"/>
            <w:vAlign w:val="bottom"/>
            <w:tcBorders>
              <w:top w:val="single" w:sz="8" w:color="0000EE"/>
            </w:tcBorders>
            <w:gridSpan w:val="26"/>
          </w:tcPr>
          <w:p>
            <w:pPr>
              <w:spacing w:after="0"/>
              <w:rPr>
                <w:sz w:val="20"/>
                <w:szCs w:val="20"/>
                <w:color w:val="auto"/>
              </w:rPr>
            </w:pPr>
            <w:r>
              <w:rPr>
                <w:rFonts w:ascii="Times New Roman" w:cs="Times New Roman" w:eastAsia="Times New Roman" w:hAnsi="Times New Roman"/>
                <w:sz w:val="17"/>
                <w:szCs w:val="17"/>
                <w:color w:val="0000EE"/>
              </w:rPr>
              <w:t>DESCRIPTION OF CAPITAL STOCK</w:t>
            </w:r>
          </w:p>
        </w:tc>
        <w:tc>
          <w:tcPr>
            <w:tcW w:w="2840" w:type="dxa"/>
            <w:vAlign w:val="bottom"/>
            <w:tcBorders>
              <w:top w:val="single" w:sz="8" w:color="CCEEFF"/>
            </w:tcBorders>
            <w:gridSpan w:val="6"/>
          </w:tcPr>
          <w:p>
            <w:pPr>
              <w:spacing w:after="0"/>
              <w:rPr>
                <w:sz w:val="16"/>
                <w:szCs w:val="16"/>
                <w:color w:val="auto"/>
              </w:rPr>
            </w:pPr>
          </w:p>
        </w:tc>
        <w:tc>
          <w:tcPr>
            <w:tcW w:w="860" w:type="dxa"/>
            <w:vAlign w:val="bottom"/>
            <w:tcBorders>
              <w:top w:val="single" w:sz="8" w:color="CCEEFF"/>
            </w:tcBorders>
          </w:tcPr>
          <w:p>
            <w:pPr>
              <w:jc w:val="center"/>
              <w:ind w:left="193"/>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5320" w:type="dxa"/>
            <w:vAlign w:val="bottom"/>
            <w:tcBorders>
              <w:bottom w:val="single" w:sz="8" w:color="0000EE"/>
            </w:tcBorders>
            <w:gridSpan w:val="27"/>
            <w:shd w:val="clear" w:color="auto" w:fill="CCEEFF"/>
          </w:tcPr>
          <w:p>
            <w:pPr>
              <w:spacing w:after="0"/>
              <w:rPr>
                <w:sz w:val="20"/>
                <w:szCs w:val="20"/>
                <w:color w:val="auto"/>
              </w:rPr>
            </w:pPr>
            <w:r>
              <w:rPr>
                <w:rFonts w:ascii="Times New Roman" w:cs="Times New Roman" w:eastAsia="Times New Roman" w:hAnsi="Times New Roman"/>
                <w:sz w:val="17"/>
                <w:szCs w:val="17"/>
                <w:color w:val="0000EE"/>
              </w:rPr>
              <w:t>SECURITIES ACT RESTRICTIONS ON RESALE OF OUR SECURITIES</w:t>
            </w:r>
          </w:p>
        </w:tc>
        <w:tc>
          <w:tcPr>
            <w:tcW w:w="1600" w:type="dxa"/>
            <w:vAlign w:val="bottom"/>
            <w:tcBorders>
              <w:bottom w:val="single" w:sz="8" w:color="CCEEFF"/>
            </w:tcBorders>
            <w:gridSpan w:val="4"/>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LEGAL MATTERS</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0000EE"/>
              </w:rPr>
              <w:t>EXPERTS</w:t>
            </w:r>
          </w:p>
        </w:tc>
        <w:tc>
          <w:tcPr>
            <w:tcW w:w="86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WHERE YOU CAN FIND MORE INFORMATION</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0000EE"/>
              </w:rPr>
              <w:t>INDEX TO FINANCIAL STATEMENTS</w:t>
            </w:r>
          </w:p>
        </w:tc>
        <w:tc>
          <w:tcPr>
            <w:tcW w:w="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F-1</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 w:name="page4"/>
    <w:bookmarkEnd w:id="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S-1 that we filed with the Securities and Exchange Commission (the “SEC”). Our registration of the securities covered by this prospectus does not mean that either we or the Holder will issue, offer or sell, as applicable, any of the securities registered hereunder. Under this registration statement, the Holder may, from time to time, sell the securities offered by it described in this prospectus. We will not receive any proceeds from the sale by the Holder of the securities offered by them described in this prospectus. However, we will receive proceeds from our sale to the Holder of up to 25,000,000 shares of Class A Common Stock, which will fluctuate based on the market price of our shares of Class A Common Stock at the time we elect to sell shares to Cantor pursuant to the terms of the Purchase Agreement, after the date of this prospectus.</w:t>
      </w:r>
    </w:p>
    <w:p>
      <w:pPr>
        <w:spacing w:after="0" w:line="115"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Neither we nor the Holder have authorized anyone to provide you with any information other than that provided in this prospectus and any applicable prospectus supplement. Neither we nor the Holder can provide any assurance as to the reliability of any other information that others may give you. Neither we nor the Holder are making an offer of these securities in any jurisdiction where the offer is not permitted. You should not assume that the information in this prospectus, any applicable prospectus supplement is accurate as of any date other than the date of the applicable document. Since the date of this prospectus our business, financial condition, results of operations and prospects may have changed.</w:t>
      </w:r>
    </w:p>
    <w:p>
      <w:pPr>
        <w:spacing w:after="0" w:line="110"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“Where You Can Find More Information.”</w:t>
      </w:r>
    </w:p>
    <w:p>
      <w:pPr>
        <w:spacing w:after="0" w:line="9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On April 26, 2022, pursuant to the merger agreement (the “Merger Agreement”) dated as of November 15, 2021 by and among Archimedes Tech SPAC Partners Co. (“ATSP”), ATSPC Merger Sub, Inc. and SoundHound, Inc., the parties consummated the merger of ATSPC Merger Sub, Inc. with and into SoundHound, Inc., with SoundHound, Inc. continuing as the surviving corporation (the “Merger”), as well as the other transactions described in the Merger Agreement (the Merger and such other transactions, the “Business Combination”). As a result of the Business Combination, SoundHound, Inc. became a wholly owned subsidiary of ATSP and ATSP changed its name to “SoundHound AI, Inc.” SoundHound AI currently owns 100% of the outstanding common stock of SoundHound, Inc.</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Frequently Used Terms</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Unless otherwise stated in this prospectus, the terms, “we,” “us,” “our” “the Company” or “SoundHound</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AI” refer to, a Delaware corporation. Further, in this document:</w:t>
      </w:r>
    </w:p>
    <w:p>
      <w:pPr>
        <w:spacing w:after="0" w:line="137" w:lineRule="exact"/>
        <w:rPr>
          <w:sz w:val="20"/>
          <w:szCs w:val="20"/>
          <w:color w:val="auto"/>
        </w:rPr>
      </w:pPr>
    </w:p>
    <w:p>
      <w:pPr>
        <w:jc w:val="both"/>
        <w:ind w:left="1440" w:right="619" w:hanging="418"/>
        <w:spacing w:after="0" w:line="274" w:lineRule="auto"/>
        <w:tabs>
          <w:tab w:leader="none" w:pos="143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“Amended Charter” means the Second Amended &amp; Restated Certificate of Incorporation of the Company, which took effect upon the filing thereof in the State of Delaware. Among other things, pursuant to the Amended Charter, ATSP changed its name to SoundHound AI, Inc.</w:t>
      </w:r>
    </w:p>
    <w:p>
      <w:pPr>
        <w:spacing w:after="0" w:line="84" w:lineRule="exact"/>
        <w:rPr>
          <w:rFonts w:ascii="Times New Roman" w:cs="Times New Roman" w:eastAsia="Times New Roman" w:hAnsi="Times New Roman"/>
          <w:sz w:val="17"/>
          <w:szCs w:val="17"/>
          <w:color w:val="auto"/>
        </w:rPr>
      </w:pPr>
    </w:p>
    <w:p>
      <w:pPr>
        <w:ind w:left="1440" w:right="639" w:hanging="418"/>
        <w:spacing w:after="0" w:line="293" w:lineRule="auto"/>
        <w:tabs>
          <w:tab w:leader="none" w:pos="143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“Amended Bylaws” means the Amended &amp; Restated Bylaws of the Company, which took effect upon the effectiveness of the Amended Charter.</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“ATSP” means Archimedes Tech SPAC Partners Co.</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means the board of directors of the Company.</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Combination” means the merger consummated pursuant to the Merger Agreement.</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Common Stock” or “Class A Shares” mean the Class A common stock, $0.0001 par value per share, of the Company.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 w:name="page5"/>
    <w:bookmarkEnd w:id="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1440" w:right="619" w:hanging="418"/>
        <w:spacing w:after="0" w:line="262"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B Common Stock” or “Class B Shares” mean the Class B common stock, $0.0001 par value per share, of the Company, issued at the closing to the SoundHound Founders, having the rights and terms set forth in the Amended Charter, which are generally the same as the rights and terms as shares of Class A Common Stock, except that each share of Class B Common Stock is entitled to ten votes per share and except that shares of Class B Common Stock may be converted into, or under some circumstances shall be mandatorily converted into, shares of Class A Common Stock.</w:t>
      </w:r>
    </w:p>
    <w:p>
      <w:pPr>
        <w:spacing w:after="0" w:line="109"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“Code” means the Internal Revenue Code of 1986, as amended.</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“Continental” means Continental Stock Transfer &amp; Trust Company, our transfer agent and warrant agent.</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Act” means the Securities Exchange Act of 1934, as amended.</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“Founder Shares” means the 3,325,000 outstanding shares of common stock of ATSP initially purchased by the Sponsor for an aggregate purchase price of $25,000 on January 4, 2021.</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“GAAP” means accounting principles generally accepted in the United States of America.</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 Stockholders” means the Sponsor and other initial holders of common stock of ATSP and Private Units, excluding the holders of the representative shares issued to EarlyBirdCapital, Inc.</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“IPO” refers to the initial public offering of 13,300,000 Units of the Company consummated in March 2021, inclusive of the partial exercise of the over-allotment option.</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means the United States Internal Revenue Service.</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SoundHound” means SoundHound, Inc., prior to the consummation of the Business Combination.</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Agreement” means that certain Merger Agreement, dated as of November 15, 2021, by and among ATSP, ATSPC Merger Sub and SoundHound, Inc., as it may be amended or supplemented.</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“Organizational Documents” means organizational or governing documents of an applicable entity.</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“Sponsor” means Archimedes Tech SPAC Sponsors LLC.</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 w:name="page6"/>
    <w:bookmarkEnd w:id="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MARKET AND INDUSTRY DATA</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This prospectus includes industry position and industry data and forecasts that SoundHound AI obtained or derived from internal company reports, independent third party publications and other industry data. Some data are also based on good faith estimates, which are derived from internal company analyses or review of internal company reports as well as the independent sources referred to above.</w:t>
      </w:r>
    </w:p>
    <w:p>
      <w:pPr>
        <w:spacing w:after="0" w:line="105"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Although SoundHound AI believes that the information on which it has based these estimates of industry position and industry data are generally reliable, the accuracy and completeness of this information is not guaranteed and SoundHound AI has not independently verified any of the data from third-party sources nor have they ascertained the underlying economic assumptions relied upon therein. Statements as to industry position are based on market data currently available. While SoundHound AI is not aware of any misstatements regarding the industry data presented herein, these estimates involve risks and uncertainties and are subject to change based on various factors, including those discussed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this prospectus.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 w:name="page7"/>
    <w:bookmarkEnd w:id="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44"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This prospectus and any accompanying prospectus supplement contains forward-looking statements within the meaning of Section 27A of the Securities Act and Section 21E of the Securities Exchange Act of 1934, as amended (the “Exchange Act”), that are forward-looking and as such are not historical facts. These forward-looking statements include, without limitation, statements regarding the benefits of the Business Combination, future financial performance, business strategies, expansion plans, future operations, future operating results, estimated revenues, losses, projected costs, prospects, plans and objectives of management. These forward-looking statements are based on our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prospectus and any accompanying prospectus supplement, words such as “outlook,” “believes,” “expects,” “potential,” “continues,” “may,” “will,” “should,” “would,” “could,” “seeks,” “approximately,” “predicts,” “intends,” “plans,” “estimates,” “anticipates,” “projects” or the negative version of these words or other comparable words or phrases, may identify forward-looking statements, but the absence of these words does not mean that a statement is not forward-looking. The following factors among others, could cause actual results and future events to differ materially from those set forth or contemplated in the forward-looking statements:</w:t>
      </w:r>
    </w:p>
    <w:p>
      <w:pPr>
        <w:spacing w:after="0" w:line="330" w:lineRule="exact"/>
        <w:rPr>
          <w:sz w:val="20"/>
          <w:szCs w:val="20"/>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maintain the listing of SoundHound AI’s Class A Common Stock on the Nasdaq Global Market;</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execution of our business strategy, including launching new product offerings and expanding information and technology capabilities, particularly following our recent restructuring efforts;</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opportunity and our ability to acquire new customers and retain existing customers;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impact of our growth initiatives on our future financial performance;</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recognize the anticipated benefits of the Business Combination, which may be affected by, among other things, competition and the ability of SoundHound AI to manage its growth;</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SoundHound AI to protect intellectual property and trade secrets;</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obtain additional capital, including equity or debt financing, on terms that are acceptable to SoundHound AI, if at all, particularly in light of inflationary pressures and resulting increases in the cost of borrowing;</w:t>
      </w:r>
    </w:p>
    <w:p>
      <w:pPr>
        <w:spacing w:after="0" w:line="97"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the listing of our securities on the Nasdaq Global Market;</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laws or regulations and extensive and evolving government regulations that impact the Company’s operations and business;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attract or maintain a qualified workforce, particularly following our recent restructuring efforts;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of product service failures that could lead SoundHound AI customers to use competitors’ services;</w:t>
      </w:r>
    </w:p>
    <w:p>
      <w:pPr>
        <w:spacing w:after="0" w:line="68"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investigations, claims, disputes, enforcement actions, litigation and/or other regulatory or legal proceedings, including with respect to our AI technology;</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the COVID-19 pandemic or any similar public health developments on SoundHound AI’s business;</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uncertainty of our estimates of market opportunity and forecasts of market growth;</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SoundHound AI may be adversely affected by other economic, business, and/or competitive factors; and</w:t>
      </w:r>
    </w:p>
    <w:p>
      <w:pPr>
        <w:spacing w:after="0" w:line="79"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risks and uncertainties described under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this prospectus.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 w:name="page8"/>
    <w:bookmarkEnd w:id="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Moreover, we operate in a very competitive and rapidly changing environment. New risks and uncertainties emerge from time to time and it is not possible for us to predict all such risk factors, nor can we assess the effect of all such risk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prove incorrect, actual results may vary in material respects from those projected in these forward-looking statements.</w:t>
      </w:r>
    </w:p>
    <w:p>
      <w:pPr>
        <w:spacing w:after="0" w:line="11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forward-looking statements made by us in this prospectus and any accompanying prospectus supplement speak only as of the date of this prospectus and the accompanying prospectus supplement. Except to the extent required under the federal securities laws and rules and regulations of the SEC, we disclaim any obligation to update any forward-looking statement to reflect events or circumstances after the date on which the statement is made or to reflect the occurrence of unanticipated events. In light of these risks and uncertainties, there is no assurance that the events or results suggested by the forward-looking statements will in fact occur, and you should not place undue reliance on these forward-looking statements.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 w:name="page9"/>
    <w:bookmarkEnd w:id="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83381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55540" cy="833818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SUMMARY</w:t>
      </w:r>
    </w:p>
    <w:p>
      <w:pPr>
        <w:spacing w:after="0" w:line="155" w:lineRule="exact"/>
        <w:rPr>
          <w:sz w:val="20"/>
          <w:szCs w:val="20"/>
          <w:color w:val="auto"/>
        </w:rPr>
      </w:pPr>
    </w:p>
    <w:p>
      <w:pPr>
        <w:jc w:val="both"/>
        <w:ind w:left="700" w:right="69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contained elsewhere in this prospectus, and does not contain all of the information that you should consider before investing in our Class A Common Stock. This summary is qualified in its entirety by, and should be read in conjunction with, the more detailed information appearing elsewhere in this prospectus. You should read this entire prospectus carefully, including the information set forth in the sections titled “Risk Factors” and “Management’s Discussion and Analysis of Financial Condition and Results of Operations” and our financial statements and related notes thereto included elsewhere in this prospectus before making an investment decision. Unless the context requires otherwise, references in this prospectus to “we,” “us,” “our,” “our company,” the “Company” or similar terminology refer to SoundHound AI, Inc.</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57" w:lineRule="exact"/>
        <w:rPr>
          <w:sz w:val="20"/>
          <w:szCs w:val="20"/>
          <w:color w:val="auto"/>
        </w:rPr>
      </w:pPr>
    </w:p>
    <w:p>
      <w:pPr>
        <w:jc w:val="both"/>
        <w:ind w:left="700" w:right="719" w:firstLine="416"/>
        <w:spacing w:after="0" w:line="253" w:lineRule="auto"/>
        <w:rPr>
          <w:sz w:val="20"/>
          <w:szCs w:val="20"/>
          <w:color w:val="auto"/>
        </w:rPr>
      </w:pPr>
      <w:r>
        <w:rPr>
          <w:rFonts w:ascii="Times New Roman" w:cs="Times New Roman" w:eastAsia="Times New Roman" w:hAnsi="Times New Roman"/>
          <w:sz w:val="17"/>
          <w:szCs w:val="17"/>
          <w:color w:val="auto"/>
        </w:rPr>
        <w:t>SoundHound AI is a leading innovator of conversational intelligence, offering an independent Voice AI platform that enables businesses across industries to deliver high quality conversational experiences to their customers. Built on proprietary Speech-to-Meaning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and Deep Meaning Understanding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technologies developed over the past 16 years, our advanced Voice AI platform provides exceptional speed and accuracy.</w:t>
      </w:r>
    </w:p>
    <w:p>
      <w:pPr>
        <w:spacing w:after="0" w:line="101" w:lineRule="exact"/>
        <w:rPr>
          <w:sz w:val="20"/>
          <w:szCs w:val="20"/>
          <w:color w:val="auto"/>
        </w:rPr>
      </w:pPr>
    </w:p>
    <w:p>
      <w:pPr>
        <w:jc w:val="both"/>
        <w:ind w:left="700" w:right="699" w:firstLine="416"/>
        <w:spacing w:after="0" w:line="264" w:lineRule="auto"/>
        <w:rPr>
          <w:sz w:val="20"/>
          <w:szCs w:val="20"/>
          <w:color w:val="auto"/>
        </w:rPr>
      </w:pPr>
      <w:r>
        <w:rPr>
          <w:rFonts w:ascii="Times New Roman" w:cs="Times New Roman" w:eastAsia="Times New Roman" w:hAnsi="Times New Roman"/>
          <w:sz w:val="17"/>
          <w:szCs w:val="17"/>
          <w:color w:val="auto"/>
        </w:rPr>
        <w:t>We envision a future where people interact with products on a daily basis through voice-enabled AI. Our technology provides a conversational voice-enabled user interface, allowing a more natural and more productive way of interacting with the products and services we use. SoundHound AI is also committed to enabling product creators to design, customize, differentiate, innovate, and monetize the voice interfaces to their own products and services, as opposed to outsourcing to a third-party assistant.</w:t>
      </w:r>
    </w:p>
    <w:p>
      <w:pPr>
        <w:spacing w:after="0" w:line="107"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More often than not, we currently interact with voice-enabled third-party assistants using halted speech patterns, consciously dividing queries into limited, broken, and unnatural instructions. By contrast, using SoundHound AI,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“internet of things”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15"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SoundHound AI’s technology is currently being used globally by customers that include Hyundai, Mercedes-Benz, Pandora, Deutsche Telekom, Snap, VIZIO, KIA, and Stellantis. We have seen significant inflection in customer adoption of our technology, as measured through monthly queries on our Houndify platform, which doubled over the first six months of 2021, are now in excess of 100 million queries per month and surpassed 1 billion annual queries in 2021 (for the nine months ended September 30, 2022, queries were over 100% greater than during the same period in 2021). Our current customers, which in many cases have contractual obligations that average multiple years (often between three to five years), span multiple industries and geographies, and together have an estimated combined reach of over two billion end users. We consider our long-term customers our “partners” and, by growing these strategic relationships, SoundHound AI’s revenues have grown by more than 50% year over year each fiscal year over the past three years. The cumulative value of contracts with our existing partners has already exceeded $300M.</w:t>
      </w:r>
    </w:p>
    <w:p>
      <w:pPr>
        <w:spacing w:after="0" w:line="161" w:lineRule="exact"/>
        <w:rPr>
          <w:sz w:val="20"/>
          <w:szCs w:val="20"/>
          <w:color w:val="auto"/>
        </w:rPr>
      </w:pPr>
    </w:p>
    <w:p>
      <w:pPr>
        <w:jc w:val="both"/>
        <w:ind w:left="700" w:right="699" w:firstLine="416"/>
        <w:spacing w:after="0" w:line="253" w:lineRule="auto"/>
        <w:rPr>
          <w:sz w:val="20"/>
          <w:szCs w:val="20"/>
          <w:color w:val="auto"/>
        </w:rPr>
      </w:pPr>
      <w:r>
        <w:rPr>
          <w:rFonts w:ascii="Times New Roman" w:cs="Times New Roman" w:eastAsia="Times New Roman" w:hAnsi="Times New Roman"/>
          <w:sz w:val="17"/>
          <w:szCs w:val="17"/>
          <w:color w:val="auto"/>
        </w:rPr>
        <w:t>We support our customers by providing them access to Houndify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 an open-access platform that allows developers to leverage SoundHound AI’s Voice AI technology and a library of over 100 content domains, including commonly used domains for points of interest, weather, flight status, sports, and more. To ensure that our content domains continue to evolve and grow, our platform is built on our breakthrough</w:t>
      </w:r>
    </w:p>
    <w:p>
      <w:pPr>
        <w:spacing w:after="0" w:line="36" w:lineRule="exact"/>
        <w:rPr>
          <w:sz w:val="20"/>
          <w:szCs w:val="20"/>
          <w:color w:val="auto"/>
        </w:rPr>
      </w:pPr>
    </w:p>
    <w:p>
      <w:pPr>
        <w:jc w:val="both"/>
        <w:ind w:left="700" w:right="699"/>
        <w:spacing w:after="0" w:line="253" w:lineRule="auto"/>
        <w:rPr>
          <w:sz w:val="20"/>
          <w:szCs w:val="20"/>
          <w:color w:val="auto"/>
        </w:rPr>
      </w:pPr>
      <w:r>
        <w:rPr>
          <w:rFonts w:ascii="Times New Roman" w:cs="Times New Roman" w:eastAsia="Times New Roman" w:hAnsi="Times New Roman"/>
          <w:sz w:val="17"/>
          <w:szCs w:val="17"/>
          <w:color w:val="auto"/>
        </w:rPr>
        <w:t>Collective AI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 an architecture for connecting domain knowledge, which encourages collaboration and contribution among developers, is always learning, and is greater than the sum of its parts. This architecture allows us to improve the understanding capability of our platform super-linearly and even exponentially based on linear contributions because of how the domains interact with one another. They can be inter-connected and can learn from each other and, as developers contribute to the platform, its understanding capability can grow exponentially.</w:t>
      </w:r>
    </w:p>
    <w:p>
      <w:pPr>
        <w:spacing w:after="0" w:line="118" w:lineRule="exact"/>
        <w:rPr>
          <w:sz w:val="20"/>
          <w:szCs w:val="20"/>
          <w:color w:val="auto"/>
        </w:rPr>
      </w:pPr>
    </w:p>
    <w:p>
      <w:pPr>
        <w:jc w:val="both"/>
        <w:ind w:left="700" w:right="699" w:firstLine="416"/>
        <w:spacing w:after="0" w:line="267" w:lineRule="auto"/>
        <w:rPr>
          <w:sz w:val="20"/>
          <w:szCs w:val="20"/>
          <w:color w:val="auto"/>
        </w:rPr>
      </w:pPr>
      <w:r>
        <w:rPr>
          <w:rFonts w:ascii="Times New Roman" w:cs="Times New Roman" w:eastAsia="Times New Roman" w:hAnsi="Times New Roman"/>
          <w:sz w:val="17"/>
          <w:szCs w:val="17"/>
          <w:color w:val="auto"/>
        </w:rPr>
        <w:t>Our technology is backed by SoundHound AI’s investments in intellectual property, with over 250 patents granted or pending, spanning multiple fields including speech recognition, natural language, machine learning, monetization, and more. We have achieved this critical momentum in part thanks to a leadership team with deep expertise and proven ability to attract and retain talent.</w:t>
      </w:r>
    </w:p>
    <w:p>
      <w:pPr>
        <w:sectPr>
          <w:pgSz w:w="11900" w:h="16838" w:orient="portrait"/>
          <w:cols w:equalWidth="0" w:num="1">
            <w:col w:w="9019"/>
          </w:cols>
          <w:pgMar w:left="1440" w:top="264" w:right="1440" w:bottom="1440" w:gutter="0" w:footer="0" w:header="0"/>
          <w:type w:val="continuous"/>
        </w:sect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26670</wp:posOffset>
            </wp:positionV>
            <wp:extent cx="49510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9" w:name="page10"/>
    <w:bookmarkEnd w:id="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8428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55540" cy="8428990"/>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4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Mission</w:t>
      </w:r>
    </w:p>
    <w:p>
      <w:pPr>
        <w:spacing w:after="0" w:line="157" w:lineRule="exact"/>
        <w:rPr>
          <w:sz w:val="20"/>
          <w:szCs w:val="20"/>
          <w:color w:val="auto"/>
        </w:rPr>
      </w:pPr>
    </w:p>
    <w:p>
      <w:pPr>
        <w:jc w:val="both"/>
        <w:ind w:left="700" w:right="699" w:firstLine="416"/>
        <w:spacing w:after="0" w:line="274" w:lineRule="auto"/>
        <w:rPr>
          <w:sz w:val="20"/>
          <w:szCs w:val="20"/>
          <w:color w:val="auto"/>
        </w:rPr>
      </w:pPr>
      <w:r>
        <w:rPr>
          <w:rFonts w:ascii="Times New Roman" w:cs="Times New Roman" w:eastAsia="Times New Roman" w:hAnsi="Times New Roman"/>
          <w:sz w:val="17"/>
          <w:szCs w:val="17"/>
          <w:color w:val="auto"/>
        </w:rPr>
        <w:t>SoundHound AI’s mission is to voice-enable the world with conversational intelligence through an independent AI platform enabling humans to interact with products and services like they interact with each other — by speaking naturally.</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Opportunity</w:t>
      </w:r>
    </w:p>
    <w:p>
      <w:pPr>
        <w:spacing w:after="0" w:line="157" w:lineRule="exact"/>
        <w:rPr>
          <w:sz w:val="20"/>
          <w:szCs w:val="20"/>
          <w:color w:val="auto"/>
        </w:rPr>
      </w:pPr>
    </w:p>
    <w:p>
      <w:pPr>
        <w:jc w:val="both"/>
        <w:ind w:left="700" w:right="699" w:firstLine="416"/>
        <w:spacing w:after="0" w:line="261" w:lineRule="auto"/>
        <w:rPr>
          <w:sz w:val="20"/>
          <w:szCs w:val="20"/>
          <w:color w:val="auto"/>
        </w:rPr>
      </w:pPr>
      <w:r>
        <w:rPr>
          <w:rFonts w:ascii="Times New Roman" w:cs="Times New Roman" w:eastAsia="Times New Roman" w:hAnsi="Times New Roman"/>
          <w:sz w:val="17"/>
          <w:szCs w:val="17"/>
          <w:color w:val="auto"/>
        </w:rPr>
        <w:t>Industry sources predict that 90% of new vehicles globally will have voice assistants by 2028 and that there will be 75 billion connected devices worldwide by 2025. The number of devices with their own voice assistant is expected to overtake the world’s population within four years. Additionally, across industries, 94% of large companies expect to use Voice AI within two years, according to a Pindrop Security, Inc. study, indicating the imperative most companies feel to provide a voice user interface to their products and services. These and other trends are adding up to exponential growth for Voice AI in a variety of markets, including IoT, automotive, retail, hospitality, enterprise, healthcare, contact center, and banking and finance.</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Vision</w:t>
      </w:r>
    </w:p>
    <w:p>
      <w:pPr>
        <w:spacing w:after="0" w:line="144"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We aim to change the way people talk to voice assistants by making computers better than humans in language understanding. As a result, SoundHound AI can make humans more productive and help make the world a better place. Our vision further includes empowering billions of devices around the world using our technology, with innovation and monetization opportunities for the product creators that integrate the Houndify platform. It means product creators can not only use Voice AI to make their product better they can also generate incremental recurring revenues from customer interactions. 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spacing w:after="0" w:line="3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Products</w:t>
      </w:r>
    </w:p>
    <w:p>
      <w:pPr>
        <w:spacing w:after="0" w:line="155" w:lineRule="exact"/>
        <w:rPr>
          <w:sz w:val="20"/>
          <w:szCs w:val="20"/>
          <w:color w:val="auto"/>
        </w:rPr>
      </w:pPr>
    </w:p>
    <w:p>
      <w:pPr>
        <w:jc w:val="both"/>
        <w:ind w:left="700" w:right="69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Houndify platform, SoundHound Ai’s Voice AI platform, </w:t>
      </w:r>
      <w:r>
        <w:rPr>
          <w:rFonts w:ascii="Times New Roman" w:cs="Times New Roman" w:eastAsia="Times New Roman" w:hAnsi="Times New Roman"/>
          <w:sz w:val="17"/>
          <w:szCs w:val="17"/>
          <w:color w:val="auto"/>
        </w:rPr>
        <w:t>combines advanced AI with engineering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expertise to help brands build conversational voice assistants. From proprietary components to customizable and scalable solutions, we offer tools to build a highly accurate and responsive voice user interface. The suite of Houndify tools, includes Application Programming Interfaces (“API”) for text and voice queries, support for custom commands, extensive library of content domains, inclusive Software Development Kit platforms, collaboration capabilities, diagnostic tools, and built-in analytics. Houndify provides a web API that takes in text queries or audio and returns actionable JavaScript Object Notation to anyone with an internet connection wanting to add Voice AI to any product or application.</w:t>
      </w:r>
    </w:p>
    <w:p>
      <w:pPr>
        <w:spacing w:after="0" w:line="106" w:lineRule="exact"/>
        <w:rPr>
          <w:sz w:val="20"/>
          <w:szCs w:val="20"/>
          <w:color w:val="auto"/>
        </w:rPr>
      </w:pPr>
    </w:p>
    <w:p>
      <w:pPr>
        <w:jc w:val="both"/>
        <w:ind w:left="700" w:right="69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Automatic Speech Recognition, </w:t>
      </w:r>
      <w:r>
        <w:rPr>
          <w:rFonts w:ascii="Times New Roman" w:cs="Times New Roman" w:eastAsia="Times New Roman" w:hAnsi="Times New Roman"/>
          <w:sz w:val="17"/>
          <w:szCs w:val="17"/>
          <w:color w:val="auto"/>
        </w:rPr>
        <w:t>our highly optimized, tunable, and scalable ASR engine, supports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vocabulary sizes containing millions of words. Houndify’s machine learning infrastructure allows us to tune the engine to achieve optimal Computer Processing Unit (“CPU”) performance while delivering high accuracy rates. 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93" w:lineRule="exact"/>
        <w:rPr>
          <w:sz w:val="20"/>
          <w:szCs w:val="20"/>
          <w:color w:val="auto"/>
        </w:rPr>
      </w:pPr>
    </w:p>
    <w:p>
      <w:pPr>
        <w:jc w:val="both"/>
        <w:ind w:left="700" w:right="699" w:firstLine="416"/>
        <w:spacing w:after="0" w:line="258" w:lineRule="auto"/>
        <w:rPr>
          <w:sz w:val="20"/>
          <w:szCs w:val="20"/>
          <w:color w:val="auto"/>
        </w:rPr>
      </w:pPr>
      <w:r>
        <w:rPr>
          <w:rFonts w:ascii="Times New Roman" w:cs="Times New Roman" w:eastAsia="Times New Roman" w:hAnsi="Times New Roman"/>
          <w:sz w:val="17"/>
          <w:szCs w:val="17"/>
          <w:i w:val="1"/>
          <w:iCs w:val="1"/>
          <w:color w:val="auto"/>
        </w:rPr>
        <w:t>Natural Language Understanding (“NLU”)</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o</w:t>
      </w:r>
      <w:r>
        <w:rPr>
          <w:rFonts w:ascii="Times New Roman" w:cs="Times New Roman" w:eastAsia="Times New Roman" w:hAnsi="Times New Roman"/>
          <w:sz w:val="17"/>
          <w:szCs w:val="17"/>
          <w:color w:val="auto"/>
        </w:rPr>
        <w:t>ur proprietary Speech-to-Meaning technology, tracks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 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 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 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ectPr>
          <w:pgSz w:w="11900" w:h="16838" w:orient="portrait"/>
          <w:cols w:equalWidth="0" w:num="1">
            <w:col w:w="9019"/>
          </w:cols>
          <w:pgMar w:left="1440" w:top="264" w:right="1440"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26670</wp:posOffset>
            </wp:positionV>
            <wp:extent cx="49510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0" w:name="page11"/>
    <w:bookmarkEnd w:id="1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8074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55540" cy="807402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335" w:lineRule="exact"/>
        <w:rPr>
          <w:sz w:val="20"/>
          <w:szCs w:val="20"/>
          <w:color w:val="auto"/>
        </w:rPr>
      </w:pPr>
    </w:p>
    <w:p>
      <w:pPr>
        <w:jc w:val="both"/>
        <w:ind w:left="700" w:right="699" w:firstLine="416"/>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Wake Words </w:t>
      </w:r>
      <w:r>
        <w:rPr>
          <w:rFonts w:ascii="Times New Roman" w:cs="Times New Roman" w:eastAsia="Times New Roman" w:hAnsi="Times New Roman"/>
          <w:sz w:val="17"/>
          <w:szCs w:val="17"/>
          <w:color w:val="auto"/>
        </w:rPr>
        <w:t>are the entry point into branded voice experiences, allowing users to invoke the assistant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literally speaking the company’s name. Examples range from “Hey Pandora” in a mobile app to “Hey Peugeot” within a vehicle. 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315"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Custom Domains, </w:t>
      </w:r>
      <w:r>
        <w:rPr>
          <w:rFonts w:ascii="Times New Roman" w:cs="Times New Roman" w:eastAsia="Times New Roman" w:hAnsi="Times New Roman"/>
          <w:sz w:val="17"/>
          <w:szCs w:val="17"/>
          <w:color w:val="auto"/>
        </w:rPr>
        <w:t>a library of over 100 public domains, is available with a free Houndify account.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Houndify public domains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 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 For example, an automotive manufacturer can make helpful updates about the car’s user manual over time. In this way, SoundHound AI becomes a long-term “partner” to its customers, helping companies create the domains that they need in order to improve brand value for their own customers or end users.</w:t>
      </w:r>
    </w:p>
    <w:p>
      <w:pPr>
        <w:spacing w:after="0" w:line="96" w:lineRule="exact"/>
        <w:rPr>
          <w:sz w:val="20"/>
          <w:szCs w:val="20"/>
          <w:color w:val="auto"/>
        </w:rPr>
      </w:pPr>
    </w:p>
    <w:p>
      <w:pPr>
        <w:jc w:val="both"/>
        <w:ind w:left="700" w:right="699" w:firstLine="416"/>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Text-to-speech (“TTS”). </w:t>
      </w:r>
      <w:r>
        <w:rPr>
          <w:rFonts w:ascii="Times New Roman" w:cs="Times New Roman" w:eastAsia="Times New Roman" w:hAnsi="Times New Roman"/>
          <w:sz w:val="17"/>
          <w:szCs w:val="17"/>
          <w:color w:val="auto"/>
        </w:rPr>
        <w:t>A high-quality TTS can help companies create a unique voice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differentiates them from the competition. Brands can fully express their personality by choosing the gender, tone, and personality that will become their vocal identity. 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315" w:lineRule="exact"/>
        <w:rPr>
          <w:sz w:val="20"/>
          <w:szCs w:val="20"/>
          <w:color w:val="auto"/>
        </w:rPr>
      </w:pPr>
    </w:p>
    <w:p>
      <w:pPr>
        <w:jc w:val="both"/>
        <w:ind w:left="700" w:right="699" w:firstLine="41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Edge (Embedded) is a </w:t>
      </w:r>
      <w:r>
        <w:rPr>
          <w:rFonts w:ascii="Times New Roman" w:cs="Times New Roman" w:eastAsia="Times New Roman" w:hAnsi="Times New Roman"/>
          <w:sz w:val="17"/>
          <w:szCs w:val="17"/>
          <w:color w:val="auto"/>
        </w:rPr>
        <w:t>fully-embedded voice solution for brands seeking the convenience of a voice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user interface without the privacy or connectivity concerns of the internet. Edge includes full access to custom commands and the ability to instantly update commands during development. During the three and nine months ended September 30, 2022, we recognized $5.3 million of licensing revenue from our Houndify Edge solution, which we delivered to a customer during the three months ended September 30, 2022.</w:t>
      </w:r>
    </w:p>
    <w:p>
      <w:pPr>
        <w:spacing w:after="0" w:line="105" w:lineRule="exact"/>
        <w:rPr>
          <w:sz w:val="20"/>
          <w:szCs w:val="20"/>
          <w:color w:val="auto"/>
        </w:rPr>
      </w:pPr>
    </w:p>
    <w:p>
      <w:pPr>
        <w:jc w:val="both"/>
        <w:ind w:left="700" w:right="719" w:firstLine="416"/>
        <w:spacing w:after="0" w:line="267" w:lineRule="auto"/>
        <w:rPr>
          <w:sz w:val="20"/>
          <w:szCs w:val="20"/>
          <w:color w:val="auto"/>
        </w:rPr>
      </w:pPr>
      <w:r>
        <w:rPr>
          <w:rFonts w:ascii="Times New Roman" w:cs="Times New Roman" w:eastAsia="Times New Roman" w:hAnsi="Times New Roman"/>
          <w:sz w:val="17"/>
          <w:szCs w:val="17"/>
          <w:color w:val="auto"/>
        </w:rPr>
        <w:t xml:space="preserve">To harness the capabilities of full cloud connectivity with the reliability of embedded voice technology. </w:t>
      </w:r>
      <w:r>
        <w:rPr>
          <w:rFonts w:ascii="Times New Roman" w:cs="Times New Roman" w:eastAsia="Times New Roman" w:hAnsi="Times New Roman"/>
          <w:sz w:val="17"/>
          <w:szCs w:val="17"/>
          <w:i w:val="1"/>
          <w:iCs w:val="1"/>
          <w:color w:val="auto"/>
        </w:rPr>
        <w:t>Houndify Edge Hybrid</w:t>
      </w:r>
      <w:r>
        <w:rPr>
          <w:rFonts w:ascii="Times New Roman" w:cs="Times New Roman" w:eastAsia="Times New Roman" w:hAnsi="Times New Roman"/>
          <w:sz w:val="17"/>
          <w:szCs w:val="17"/>
          <w:color w:val="auto"/>
        </w:rPr>
        <w:t xml:space="preserve"> solutions are designed to ensure that devices are always-on and responsive to commands. Allows for over-the-air product updates and a broader voice experience with the level of cloud-connectivity that best matches the product and its users.</w:t>
      </w:r>
    </w:p>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Competitive Advantage</w:t>
      </w:r>
    </w:p>
    <w:p>
      <w:pPr>
        <w:spacing w:after="0" w:line="144"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The majority of participants in the Voice AI industry can be characterized as either “big tech” companies (meaning large corporations offering Voice AI as an extension of other services) and “legacy vendors” (meaning long-time Voice-AI industry participants with older technologies).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 Many “legacy vendors” offer dated technologies at a high price.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spacing w:after="0" w:line="112" w:lineRule="exact"/>
        <w:rPr>
          <w:sz w:val="20"/>
          <w:szCs w:val="20"/>
          <w:color w:val="auto"/>
        </w:rPr>
      </w:pPr>
    </w:p>
    <w:p>
      <w:pPr>
        <w:jc w:val="both"/>
        <w:ind w:left="700" w:right="699" w:firstLine="416"/>
        <w:spacing w:after="0" w:line="267" w:lineRule="auto"/>
        <w:rPr>
          <w:sz w:val="20"/>
          <w:szCs w:val="20"/>
          <w:color w:val="auto"/>
        </w:rPr>
      </w:pPr>
      <w:r>
        <w:rPr>
          <w:rFonts w:ascii="Times New Roman" w:cs="Times New Roman" w:eastAsia="Times New Roman" w:hAnsi="Times New Roman"/>
          <w:sz w:val="17"/>
          <w:szCs w:val="17"/>
          <w:color w:val="auto"/>
        </w:rPr>
        <w:t>There is currently a high barrier to entry into Voice AI and 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Revenue Model</w:t>
      </w:r>
    </w:p>
    <w:p>
      <w:pPr>
        <w:spacing w:after="0" w:line="157" w:lineRule="exact"/>
        <w:rPr>
          <w:sz w:val="20"/>
          <w:szCs w:val="20"/>
          <w:color w:val="auto"/>
        </w:rPr>
      </w:pPr>
    </w:p>
    <w:p>
      <w:pPr>
        <w:jc w:val="both"/>
        <w:ind w:left="700" w:right="699" w:firstLine="416"/>
        <w:spacing w:after="0" w:line="267" w:lineRule="auto"/>
        <w:rPr>
          <w:sz w:val="20"/>
          <w:szCs w:val="20"/>
          <w:color w:val="auto"/>
        </w:rPr>
      </w:pPr>
      <w:r>
        <w:rPr>
          <w:rFonts w:ascii="Times New Roman" w:cs="Times New Roman" w:eastAsia="Times New Roman" w:hAnsi="Times New Roman"/>
          <w:sz w:val="17"/>
          <w:szCs w:val="17"/>
          <w:color w:val="auto"/>
        </w:rPr>
        <w:t>We have identified three pillars for revenue growth: Royalties, Subscription, and Monetization, and all three pillars contribute to our current revenues today. While the majority of current revenues come from royalties, over time we expect our revenues from subscription and monetization pillars to increase and eventually represent a larger portion of our overall revenues.</w:t>
      </w:r>
    </w:p>
    <w:p>
      <w:pPr>
        <w:sectPr>
          <w:pgSz w:w="11900" w:h="16838" w:orient="portrait"/>
          <w:cols w:equalWidth="0" w:num="1">
            <w:col w:w="9019"/>
          </w:cols>
          <w:pgMar w:left="1440" w:top="264" w:right="1440" w:bottom="1440" w:gutter="0" w:footer="0" w:header="0"/>
          <w:type w:val="continuous"/>
        </w:sect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26670</wp:posOffset>
            </wp:positionV>
            <wp:extent cx="49510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1" w:name="page12"/>
    <w:bookmarkEnd w:id="1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8074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55540" cy="807402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335" w:lineRule="exact"/>
        <w:rPr>
          <w:sz w:val="20"/>
          <w:szCs w:val="20"/>
          <w:color w:val="auto"/>
        </w:rPr>
      </w:pPr>
    </w:p>
    <w:p>
      <w:pPr>
        <w:jc w:val="both"/>
        <w:ind w:left="700" w:right="699" w:firstLine="416"/>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Royalties: </w:t>
      </w:r>
      <w:r>
        <w:rPr>
          <w:rFonts w:ascii="Times New Roman" w:cs="Times New Roman" w:eastAsia="Times New Roman" w:hAnsi="Times New Roman"/>
          <w:sz w:val="17"/>
          <w:szCs w:val="17"/>
          <w:color w:val="auto"/>
        </w:rPr>
        <w:t>This involves voice-enabling a product. The product creator pays us a royalty based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volume, usage, or duration. SoundHound AI collects royalties when Houndify is integrated into a product such as a car, smart speaker, or appliance.</w:t>
      </w:r>
    </w:p>
    <w:p>
      <w:pPr>
        <w:spacing w:after="0" w:line="95" w:lineRule="exact"/>
        <w:rPr>
          <w:sz w:val="20"/>
          <w:szCs w:val="20"/>
          <w:color w:val="auto"/>
        </w:rPr>
      </w:pPr>
    </w:p>
    <w:p>
      <w:pPr>
        <w:jc w:val="both"/>
        <w:ind w:left="700" w:right="699" w:firstLine="416"/>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Subscription: </w:t>
      </w:r>
      <w:r>
        <w:rPr>
          <w:rFonts w:ascii="Times New Roman" w:cs="Times New Roman" w:eastAsia="Times New Roman" w:hAnsi="Times New Roman"/>
          <w:sz w:val="17"/>
          <w:szCs w:val="17"/>
          <w:color w:val="auto"/>
        </w:rPr>
        <w:t>This involves voice-enabling a service that doesn’t rely on a physical product.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Examples include when SoundHound AI enables customer service or food ordering for restaurants or content management, appointments, or voice commerce, we generate subscription revenue from the service providers.</w:t>
      </w:r>
    </w:p>
    <w:p>
      <w:pPr>
        <w:spacing w:after="0" w:line="297" w:lineRule="exact"/>
        <w:rPr>
          <w:sz w:val="20"/>
          <w:szCs w:val="20"/>
          <w:color w:val="auto"/>
        </w:rPr>
      </w:pPr>
    </w:p>
    <w:p>
      <w:pPr>
        <w:jc w:val="both"/>
        <w:ind w:left="700" w:right="69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Monetization: </w:t>
      </w:r>
      <w:r>
        <w:rPr>
          <w:rFonts w:ascii="Times New Roman" w:cs="Times New Roman" w:eastAsia="Times New Roman" w:hAnsi="Times New Roman"/>
          <w:sz w:val="17"/>
          <w:szCs w:val="17"/>
          <w:color w:val="auto"/>
        </w:rPr>
        <w:t>This pillar creates an ecosystem that enables monetization services in products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 from both pillar one and pillar two. When users of a voice-enabled product access the voice-enabled monetization, this creates new leads and transactions. SoundHound AI generates monetization revenue for generating these leads and transactions, and will share revenue with the product creators. Through September 30, 2022, we have not generated revenue from leads and transactions on voice-enabled products from voice-enabled services other than from the SoundHound AI music identification app. Going forward, SoundHound AI expects monetization revenue to be generated through a combination of advertising revenue from the music identification app and from leads and transactions on voice-enabled products from voice-enabled services.</w:t>
      </w:r>
    </w:p>
    <w:p>
      <w:pPr>
        <w:spacing w:after="0" w:line="3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Sales and Marketing</w:t>
      </w:r>
    </w:p>
    <w:p>
      <w:pPr>
        <w:spacing w:after="0" w:line="157"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We employ Account-Based Marketing (“ABM”) leveraging leading-edge platforms supported by fully-current Marketing Automation tools to capture and nurture business leads through to Marketing Qualified Leads (“MQL”), Sales Accepted Leads (“SAL”), and Sales Qualified Leads (“SQL”) ultimately to drive towards return-on-investment-positive marketing expenditures. We also sees strategic partnerships as the foundation for our ongoing growth and success. Our deep collaboration with leading companies across industries has allowed our technology to reach millions of customers. Largely through our existing customer base, query volume doubled in the first half of 2021 and exceeded 1 billion at the end of 2021, with over 100 million queries per month. Additionally, traffic has experienced over 100% growth through the first three quarters of 2022, compared to the same period in 2021. Information provided to us by our strategic partners suggests that our customers’ products have a reach of over a billion users. Our sales and marketing efforts may be impacted by our Restructuring Plan, see “</w:t>
      </w:r>
      <w:r>
        <w:rPr>
          <w:rFonts w:ascii="Times New Roman" w:cs="Times New Roman" w:eastAsia="Times New Roman" w:hAnsi="Times New Roman"/>
          <w:sz w:val="17"/>
          <w:szCs w:val="17"/>
          <w:i w:val="1"/>
          <w:iCs w:val="1"/>
          <w:color w:val="auto"/>
        </w:rPr>
        <w:t>Prospectus Summary — Recent Developments</w:t>
      </w:r>
      <w:r>
        <w:rPr>
          <w:rFonts w:ascii="Times New Roman" w:cs="Times New Roman" w:eastAsia="Times New Roman" w:hAnsi="Times New Roman"/>
          <w:sz w:val="17"/>
          <w:szCs w:val="17"/>
          <w:color w:val="auto"/>
        </w:rPr>
        <w:t>” herein.</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Intellectual Property</w:t>
      </w:r>
    </w:p>
    <w:p>
      <w:pPr>
        <w:spacing w:after="0" w:line="157" w:lineRule="exact"/>
        <w:rPr>
          <w:sz w:val="20"/>
          <w:szCs w:val="20"/>
          <w:color w:val="auto"/>
        </w:rPr>
      </w:pPr>
    </w:p>
    <w:p>
      <w:pPr>
        <w:jc w:val="both"/>
        <w:ind w:left="700" w:right="699" w:firstLine="416"/>
        <w:spacing w:after="0" w:line="262" w:lineRule="auto"/>
        <w:rPr>
          <w:sz w:val="20"/>
          <w:szCs w:val="20"/>
          <w:color w:val="auto"/>
        </w:rPr>
      </w:pPr>
      <w:r>
        <w:rPr>
          <w:rFonts w:ascii="Times New Roman" w:cs="Times New Roman" w:eastAsia="Times New Roman" w:hAnsi="Times New Roman"/>
          <w:sz w:val="17"/>
          <w:szCs w:val="17"/>
          <w:color w:val="auto"/>
        </w:rPr>
        <w:t>SoundHound AI’s intellectual property portfolio includes over 250 granted or pending patents. These patents cover areas such as speech recognition, natural language understanding, machine learning, human interfaces, and others, including monetization and advertising. Out of our over 250 granted and pending patents, more than 40 of these patents are in conversational monetization. Because we predict that search traffic will change from keyword-based queries to conversational interactions, we have a large number of patents in the area of conversational advertising.</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i w:val="1"/>
          <w:iCs w:val="1"/>
          <w:color w:val="auto"/>
        </w:rPr>
        <w:t>Restructuring Plan</w:t>
      </w:r>
    </w:p>
    <w:p>
      <w:pPr>
        <w:spacing w:after="0" w:line="144" w:lineRule="exact"/>
        <w:rPr>
          <w:sz w:val="20"/>
          <w:szCs w:val="20"/>
          <w:color w:val="auto"/>
        </w:rPr>
      </w:pPr>
    </w:p>
    <w:p>
      <w:pPr>
        <w:jc w:val="both"/>
        <w:ind w:left="700" w:right="699" w:firstLine="416"/>
        <w:spacing w:after="0" w:line="262" w:lineRule="auto"/>
        <w:rPr>
          <w:sz w:val="20"/>
          <w:szCs w:val="20"/>
          <w:color w:val="auto"/>
        </w:rPr>
      </w:pPr>
      <w:r>
        <w:rPr>
          <w:rFonts w:ascii="Times New Roman" w:cs="Times New Roman" w:eastAsia="Times New Roman" w:hAnsi="Times New Roman"/>
          <w:sz w:val="17"/>
          <w:szCs w:val="17"/>
          <w:color w:val="auto"/>
        </w:rPr>
        <w:t>On January 5, 2023, SoundHound AI announced a restructuring plan (the “Restructuring Plan”) intended to reduce operating costs, improve operating margins, improve cash flows and accelerate SoundHound AI’s path to profitability. The Restructuring Plan includes a reduction of SoundHound AI’s current workforce by approximately 40% and select office space reductions within certain markets. Decisions regarding the elimination of employees are subject to local law and consultation requirements in certain countries, as well as SoundHound AI’s business needs.</w:t>
      </w:r>
    </w:p>
    <w:p>
      <w:pPr>
        <w:spacing w:after="0" w:line="110" w:lineRule="exact"/>
        <w:rPr>
          <w:sz w:val="20"/>
          <w:szCs w:val="20"/>
          <w:color w:val="auto"/>
        </w:rPr>
      </w:pPr>
    </w:p>
    <w:p>
      <w:pPr>
        <w:jc w:val="both"/>
        <w:ind w:left="700" w:right="699" w:firstLine="416"/>
        <w:spacing w:after="0" w:line="261" w:lineRule="auto"/>
        <w:rPr>
          <w:sz w:val="20"/>
          <w:szCs w:val="20"/>
          <w:color w:val="auto"/>
        </w:rPr>
      </w:pPr>
      <w:r>
        <w:rPr>
          <w:rFonts w:ascii="Times New Roman" w:cs="Times New Roman" w:eastAsia="Times New Roman" w:hAnsi="Times New Roman"/>
          <w:sz w:val="17"/>
          <w:szCs w:val="17"/>
          <w:color w:val="auto"/>
        </w:rPr>
        <w:t>SoundHound AI estimates that it will incur approximately $4.5 million to $5.5 million in charges in connection with the Restructuring Plan, of which the majority is expected to be incurred in the first quarter of 2023. These charges consist primarily of $4.4 million to $5.2 million in charges related to severance payments, employee benefits and share-based compensation; and $0.1 million to $0.3 million in exit charges associated with the office space reductions. Of the aggregate amount of charges that SoundHound AI estimates it will incur in connection with the Restructuring Plan, SoundHound AI expects that approximately $2.0 million to $3.0 million will be in cash expenditures.</w:t>
      </w:r>
    </w:p>
    <w:p>
      <w:pPr>
        <w:sectPr>
          <w:pgSz w:w="11900" w:h="16838" w:orient="portrait"/>
          <w:cols w:equalWidth="0" w:num="1">
            <w:col w:w="9019"/>
          </w:cols>
          <w:pgMar w:left="1440" w:top="264" w:right="1440"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26670</wp:posOffset>
            </wp:positionV>
            <wp:extent cx="49510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2" w:name="page13"/>
    <w:bookmarkEnd w:id="1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82061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55540" cy="820610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337" w:lineRule="exact"/>
        <w:rPr>
          <w:sz w:val="20"/>
          <w:szCs w:val="20"/>
          <w:color w:val="auto"/>
        </w:rPr>
      </w:pPr>
    </w:p>
    <w:p>
      <w:pPr>
        <w:jc w:val="both"/>
        <w:ind w:left="700" w:right="699" w:firstLine="416"/>
        <w:spacing w:after="0" w:line="274" w:lineRule="auto"/>
        <w:rPr>
          <w:sz w:val="20"/>
          <w:szCs w:val="20"/>
          <w:color w:val="auto"/>
        </w:rPr>
      </w:pPr>
      <w:r>
        <w:rPr>
          <w:rFonts w:ascii="Times New Roman" w:cs="Times New Roman" w:eastAsia="Times New Roman" w:hAnsi="Times New Roman"/>
          <w:sz w:val="17"/>
          <w:szCs w:val="17"/>
          <w:color w:val="auto"/>
        </w:rPr>
        <w:t>The estimates of the charges and expenditures that SoundHound AI expects to incur in connection with the Restructuring Plan, and the timing thereof, are subject to a number of assumptions, including local law requirements in various jurisdictions, and actual amounts may differ materially from estimates.</w:t>
      </w:r>
    </w:p>
    <w:p>
      <w:pPr>
        <w:spacing w:after="0" w:line="16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i w:val="1"/>
          <w:iCs w:val="1"/>
          <w:color w:val="auto"/>
        </w:rPr>
        <w:t>Financing</w:t>
      </w:r>
    </w:p>
    <w:p>
      <w:pPr>
        <w:spacing w:after="0" w:line="157"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On or around January 20, 2023 (the “PIPE Closing Date”), SoundHound AI entered into Preferred Stock Purchase Agreements with certain investors pursuant to which the Company issued and sold to the investors an aggregate of 835,011 shares of its newly designated Series A Convertible Preferred Stock, par value $0.0001 per share (the “Series A Preferred Stock”) for an aggregate issue price of approximately $25 million (the “Transaction”). On January 20, 2023, in connection with the Transaction, the Company filed a Certificate of Designations of Preferences, Rights and Limitations of the Series A Preferred Stock with the Secretary of State of the State of Delaware (the “Certificate of Designations”), designating 1,000,000 shares of Series A Preferred Stock with an original issue price of $30.00 per share, which became effective with the Secretary of State of the State of Delaware upon filing.</w:t>
      </w:r>
    </w:p>
    <w:p>
      <w:pPr>
        <w:spacing w:after="0" w:line="102"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The Series A Preferred Stock is entitled to dividends payable as an increase in the Liquidation Preference (as defined in the Certificate of Designations) for such share at the rate of 14% per annum, accreting semi-annually to Liquidation Preference on January 1 and July 1 of each year, beginning on the first such date after the filing of the Certificate of Designations (the “PIK Dividends”). The Liquidation Preference per share of Preferred Stock is initially equal to the original issue price per share. The Company may also elect to pay any dividend in cash in lieu of accretion to Liquidation Preference if permitted under the agreements and instruments governing its outstanding indebtedness at such time. The Series A Preferred Stock will also be entitled to customary dividends and distributions when and if paid on shares of Common Stock, subject to restrictions under agreements or instruments governing the Company’s indebtedness.</w:t>
      </w:r>
    </w:p>
    <w:p>
      <w:pPr>
        <w:spacing w:after="0" w:line="115" w:lineRule="exact"/>
        <w:rPr>
          <w:sz w:val="20"/>
          <w:szCs w:val="20"/>
          <w:color w:val="auto"/>
        </w:rPr>
      </w:pPr>
    </w:p>
    <w:p>
      <w:pPr>
        <w:jc w:val="both"/>
        <w:ind w:left="700" w:right="699" w:firstLine="416"/>
        <w:spacing w:after="0" w:line="256" w:lineRule="auto"/>
        <w:rPr>
          <w:sz w:val="20"/>
          <w:szCs w:val="20"/>
          <w:color w:val="auto"/>
        </w:rPr>
      </w:pPr>
      <w:r>
        <w:rPr>
          <w:rFonts w:ascii="Times New Roman" w:cs="Times New Roman" w:eastAsia="Times New Roman" w:hAnsi="Times New Roman"/>
          <w:sz w:val="17"/>
          <w:szCs w:val="17"/>
          <w:color w:val="auto"/>
        </w:rPr>
        <w:t>Each share of Series A Preferred Stock is convertible, at the option of the holder thereof, at any time on or after May 2, 2023 into such number of shares of Common Stock equal to the Liquidation Preference per share at the time of conversion divided by $1.00 (the “Conversion Price”) (the “Conversion Ratio”). In addition, each share of Series A Preferred Stock will automatically convert into shares of Common Stock at the Conversion Ratio on or after January 20, 2024 if and when the daily volume-weighted average closing price per share of Common Stock is at least 2.5 times the Conversion Price for each of any 90 trading days during any 120 consecutive trading day period, which 120-trading day period may commence (but may not end) prior to January 20, 2024. While the shares of Series A Preferred Stock issued on the PIPE Closing Date on an as-converted to Common Stock basis represents approximately 15% of the total shares of common stock outstanding prior to the Transaction (including shares of Class B Common Stock), as a result of the PIK Dividends that accumulate over time, the maximum potential issuance of shares of Common Stock upon conversion of Series A Preferred Stock may exceed 20% of the total shares of common stock outstanding (including shares of Class B Common Stock). As a result, to comply with applicable listing rules of Nasdaq, stockholders holding the majority of the voting power of the Company’s outstanding Common Stock approved the issuance of any Common Stock from time to time upon conversion of the Series A Preferred Stock that would equal 20% or more of the total shares of Common Stock outstanding (including shares of Class B Common Stock) or that would result in a change of control (as defined in Nasdaq listing rules). Such stockholders also approved the issuance and sale of shares of Preferred Stock and any future issuances of shares of Common Stock from time to time upon conversion of Preferred Stock to certain of the Company’s directors and officers who participated in the Transaction, in accordance with Nasdaq listing rules. The Company will also promptly file with the Securities and Exchange Commission and mail an information statement in accordance with Rule 14c-2 under the Securities Exchange Act of 1934, as amended, relating to such stockholder approvals. Any conversion of Series A Preferred Stock described above is subject to the lapse of a 20-day period following the mailing of the information statement.</w:t>
      </w:r>
    </w:p>
    <w:p>
      <w:pPr>
        <w:spacing w:after="0" w:line="128"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The holders of Series A Preferred Stock will not be entitled to vote on any matter presented to the stockholders of the Company prior to conversion of such shares into Common Stock. However, certain matters require the approval of a majority of the then-outstanding shares of Series A Preferred Stock, voting as a separate class, including to (i) amend the Company’s organizational documents in a matter that materially and adversely affects the powers, preferences or rights of the Series A Preferred Stock, (ii) create, issue, or authorize the creation or issuance of, increase the authorized amount of, or obligate itself to issue shares of, any class or series of capital stock of the Company, or any obligation or security convertible into or evidencing a right to purchase, any class or series of capital stock, unless such class or series of capital stock ranks junior to the Series A Preferred Stock; (iii) increase the authorized number of shares of Series A Preferred Stock; (iv) reclassify, alter or amend any class of capital stock that ranks junior or pari passu to the</w:t>
      </w:r>
    </w:p>
    <w:p>
      <w:pPr>
        <w:sectPr>
          <w:pgSz w:w="11900" w:h="16838" w:orient="portrait"/>
          <w:cols w:equalWidth="0" w:num="1">
            <w:col w:w="9019"/>
          </w:cols>
          <w:pgMar w:left="1440" w:top="264" w:right="1440" w:bottom="1440" w:gutter="0" w:footer="0" w:header="0"/>
          <w:type w:val="continuous"/>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3" w:name="page14"/>
    <w:bookmarkEnd w:id="1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8032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55540" cy="8032750"/>
                    </a:xfrm>
                    <a:prstGeom prst="rect">
                      <a:avLst/>
                    </a:prstGeom>
                    <a:noFill/>
                  </pic:spPr>
                </pic:pic>
              </a:graphicData>
            </a:graphic>
          </wp:anchor>
        </w:drawing>
      </w:r>
    </w:p>
    <w:p>
      <w:pPr>
        <w:spacing w:after="0" w:line="317" w:lineRule="exact"/>
        <w:rPr>
          <w:sz w:val="20"/>
          <w:szCs w:val="20"/>
          <w:color w:val="auto"/>
        </w:rPr>
      </w:pPr>
    </w:p>
    <w:p>
      <w:pPr>
        <w:jc w:val="both"/>
        <w:ind w:left="700" w:right="699"/>
        <w:spacing w:after="0" w:line="264" w:lineRule="auto"/>
        <w:rPr>
          <w:sz w:val="20"/>
          <w:szCs w:val="20"/>
          <w:color w:val="auto"/>
        </w:rPr>
      </w:pPr>
      <w:r>
        <w:rPr>
          <w:rFonts w:ascii="Times New Roman" w:cs="Times New Roman" w:eastAsia="Times New Roman" w:hAnsi="Times New Roman"/>
          <w:sz w:val="17"/>
          <w:szCs w:val="17"/>
          <w:color w:val="auto"/>
        </w:rPr>
        <w:t>Series A Preferred Stock if such action would render such class to be senior to the Series A Preferred Stock or, with respect to junior capital stock, pari passu with the Series A Preferred Stock; (v) purchase or redeem for cash any shares of capital stock of the Company, subject to certain exceptions; and (vi) incur any secured debt as a result of which the Company’s aggregate principal amount of secured debt outstanding would exceed the greater of $75,000,000 or 20% of the Company’s enterprise value.</w:t>
      </w:r>
    </w:p>
    <w:p>
      <w:pPr>
        <w:spacing w:after="0" w:line="107" w:lineRule="exact"/>
        <w:rPr>
          <w:sz w:val="20"/>
          <w:szCs w:val="20"/>
          <w:color w:val="auto"/>
        </w:rPr>
      </w:pPr>
    </w:p>
    <w:p>
      <w:pPr>
        <w:jc w:val="both"/>
        <w:ind w:left="700" w:right="699" w:firstLine="416"/>
        <w:spacing w:after="0" w:line="258" w:lineRule="auto"/>
        <w:rPr>
          <w:sz w:val="20"/>
          <w:szCs w:val="20"/>
          <w:color w:val="auto"/>
        </w:rPr>
      </w:pPr>
      <w:r>
        <w:rPr>
          <w:rFonts w:ascii="Times New Roman" w:cs="Times New Roman" w:eastAsia="Times New Roman" w:hAnsi="Times New Roman"/>
          <w:sz w:val="17"/>
          <w:szCs w:val="17"/>
          <w:color w:val="auto"/>
        </w:rPr>
        <w:t>The Series A Preferred Stock will have preference over the Common Stock and the Class B Common Stock, as well as any additional Junior Stock (as defined in the Certificate of Designations) designated and issued in the future, with respect to distribution of assets or available proceeds, as applicable, in the event of any voluntary or involuntary liquidation, dissolution or winding up of the Company or a merger or consolidation that results in a change in control of the Company or the sale or transfer of all or substantially all assets of the Company (each a “Liquidation Event”). However, the Series A Preferred Stock will rank junior to indebtedness of the Company. Upon a Liquidation Event, the holders of shares of Series A Preferred Stock will be entitled to receive, before any payment is made to holders of any Junior Stock and after payments to satisfy and discharge indebtedness, an amount per share equal to the greater of (i) 2.5 times the Liquidation Preference accumulated at such time (less any prior conversions) or (ii) such amount per share as would have been payable had all shares then-outstanding of Series A Preferred Stock been converted into Common Stock immediately prior to such Liquidation Event.</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Initial Public Offering</w:t>
      </w:r>
    </w:p>
    <w:p>
      <w:pPr>
        <w:spacing w:after="0" w:line="144" w:lineRule="exact"/>
        <w:rPr>
          <w:sz w:val="20"/>
          <w:szCs w:val="20"/>
          <w:color w:val="auto"/>
        </w:rPr>
      </w:pPr>
    </w:p>
    <w:p>
      <w:pPr>
        <w:jc w:val="both"/>
        <w:ind w:left="700" w:right="699" w:firstLine="416"/>
        <w:spacing w:after="0" w:line="262" w:lineRule="auto"/>
        <w:rPr>
          <w:sz w:val="20"/>
          <w:szCs w:val="20"/>
          <w:color w:val="auto"/>
        </w:rPr>
      </w:pPr>
      <w:r>
        <w:rPr>
          <w:rFonts w:ascii="Times New Roman" w:cs="Times New Roman" w:eastAsia="Times New Roman" w:hAnsi="Times New Roman"/>
          <w:sz w:val="17"/>
          <w:szCs w:val="17"/>
          <w:color w:val="auto"/>
        </w:rPr>
        <w:t>The Company was incorporated in Delaware on September 15, 2020 and was formed for the purpose of entering into a merger, share exchange, asset acquisition, stock purchase, recapitalization, reorganization or other similar business combination with one or more businesses or entities. On March 15, 2021, the Company closed its IPO. Following the closing of the IPO and the underwriters’ partial exercise of over-allotment option on March 19, 2021, $133,000,000 from the net proceeds of the sale of the public units in the IPO and the sale of the Private Units was placed in a trust account maintained by Continental, acting as trustee.</w:t>
      </w:r>
    </w:p>
    <w:p>
      <w:pPr>
        <w:spacing w:after="0" w:line="3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Business Combination</w:t>
      </w:r>
    </w:p>
    <w:p>
      <w:pPr>
        <w:spacing w:after="0" w:line="157"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On November 15, 2021, a Merger Agreement was signed by and among ATSP, ATSPC Merger Sub, Inc. and SoundHound, Inc., which provided for the merger of ATSP Merger Sub, Inc. with and into SoundHound, Inc., with SoundHound, Inc. continuing as the surviving corporation (the “Merger”), as well as the other transactions described in the Merger Agreement (the Merger and such other transactions, the “Business Combination”). On April 26, 2022, the parties consummated the Business Combination as well as the other transactions contemplated by the Merger Agreement. As a result of the Merger, the Company owns 100% of the outstanding common stock of SoundHound, Inc. In connection with the closing of the Business Combination, the Company changed its name from “Archimedes Tech SPAC Partners Co.” to “SoundHound AI, Inc.” In connection with the Business Combination, each share of common stock of ATSP was redesignated as Class A Common Stock.</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Implications of Being an Emerging Growth Company and a Smaller Reporting Company</w:t>
      </w:r>
    </w:p>
    <w:p>
      <w:pPr>
        <w:spacing w:after="0" w:line="157" w:lineRule="exact"/>
        <w:rPr>
          <w:sz w:val="20"/>
          <w:szCs w:val="20"/>
          <w:color w:val="auto"/>
        </w:rPr>
      </w:pPr>
    </w:p>
    <w:p>
      <w:pPr>
        <w:jc w:val="both"/>
        <w:ind w:left="700" w:right="699" w:firstLine="416"/>
        <w:spacing w:after="0" w:line="274" w:lineRule="auto"/>
        <w:rPr>
          <w:sz w:val="20"/>
          <w:szCs w:val="20"/>
          <w:color w:val="auto"/>
        </w:rPr>
      </w:pPr>
      <w:r>
        <w:rPr>
          <w:rFonts w:ascii="Times New Roman" w:cs="Times New Roman" w:eastAsia="Times New Roman" w:hAnsi="Times New Roman"/>
          <w:sz w:val="17"/>
          <w:szCs w:val="17"/>
          <w:color w:val="auto"/>
        </w:rPr>
        <w:t>We qualify as an “emerging growth company,” as defined in the JOBS Act. For as long as we remain an emerging growth company, we may take advantage of certain exemptions from various reporting requirements that are applicable to other public companies. These provisions include, but are not limited to:</w:t>
      </w:r>
    </w:p>
    <w:p>
      <w:pPr>
        <w:spacing w:after="0" w:line="84" w:lineRule="exact"/>
        <w:rPr>
          <w:sz w:val="20"/>
          <w:szCs w:val="20"/>
          <w:color w:val="auto"/>
        </w:rPr>
      </w:pPr>
    </w:p>
    <w:p>
      <w:pPr>
        <w:jc w:val="both"/>
        <w:ind w:left="1520" w:right="699" w:hanging="412"/>
        <w:spacing w:after="0" w:line="274" w:lineRule="auto"/>
        <w:tabs>
          <w:tab w:leader="none" w:pos="15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permitted to have only two years of audited financial statements and only two years of related selected financial data and management’s discussion and analysis of financial condition and results of operations disclosure;</w:t>
      </w:r>
    </w:p>
    <w:p>
      <w:pPr>
        <w:spacing w:after="0" w:line="97" w:lineRule="exact"/>
        <w:rPr>
          <w:rFonts w:ascii="Times New Roman" w:cs="Times New Roman" w:eastAsia="Times New Roman" w:hAnsi="Times New Roman"/>
          <w:sz w:val="17"/>
          <w:szCs w:val="17"/>
          <w:color w:val="auto"/>
        </w:rPr>
      </w:pPr>
    </w:p>
    <w:p>
      <w:pPr>
        <w:jc w:val="both"/>
        <w:ind w:left="1520" w:right="719" w:hanging="412"/>
        <w:spacing w:after="0" w:line="274" w:lineRule="auto"/>
        <w:tabs>
          <w:tab w:leader="none" w:pos="15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exemption from compliance with the auditor attestation requirement in the assessment of our internal control over financial reporting pursuant to Section 404 of the Sarbanes-Oxley Act of 2002, as amended, or the Sarbanes-Oxley Act;</w:t>
      </w:r>
    </w:p>
    <w:p>
      <w:pPr>
        <w:spacing w:after="0" w:line="97" w:lineRule="exact"/>
        <w:rPr>
          <w:rFonts w:ascii="Times New Roman" w:cs="Times New Roman" w:eastAsia="Times New Roman" w:hAnsi="Times New Roman"/>
          <w:sz w:val="17"/>
          <w:szCs w:val="17"/>
          <w:color w:val="auto"/>
        </w:rPr>
      </w:pPr>
    </w:p>
    <w:p>
      <w:pPr>
        <w:ind w:left="1520" w:right="699" w:hanging="412"/>
        <w:spacing w:after="0" w:line="293" w:lineRule="auto"/>
        <w:tabs>
          <w:tab w:leader="none" w:pos="15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disclosure about executive compensation arrangements in our periodic reports, registration statements and proxy statements; and</w:t>
      </w:r>
    </w:p>
    <w:p>
      <w:pPr>
        <w:spacing w:after="0" w:line="68" w:lineRule="exact"/>
        <w:rPr>
          <w:rFonts w:ascii="Times New Roman" w:cs="Times New Roman" w:eastAsia="Times New Roman" w:hAnsi="Times New Roman"/>
          <w:sz w:val="17"/>
          <w:szCs w:val="17"/>
          <w:color w:val="auto"/>
        </w:rPr>
      </w:pPr>
    </w:p>
    <w:p>
      <w:pPr>
        <w:ind w:left="1520" w:right="719" w:hanging="412"/>
        <w:spacing w:after="0" w:line="293" w:lineRule="auto"/>
        <w:tabs>
          <w:tab w:leader="none" w:pos="15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exemptions from the requirements to seek non-binding advisory votes on executive compensation or golden parachute arrangements.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 w:name="page15"/>
    <w:bookmarkEnd w:id="1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8074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55540" cy="807402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337" w:lineRule="exact"/>
        <w:rPr>
          <w:sz w:val="20"/>
          <w:szCs w:val="20"/>
          <w:color w:val="auto"/>
        </w:rPr>
      </w:pPr>
    </w:p>
    <w:p>
      <w:pPr>
        <w:jc w:val="both"/>
        <w:ind w:left="700" w:right="699" w:firstLine="416"/>
        <w:spacing w:after="0" w:line="262" w:lineRule="auto"/>
        <w:rPr>
          <w:sz w:val="20"/>
          <w:szCs w:val="20"/>
          <w:color w:val="auto"/>
        </w:rPr>
      </w:pPr>
      <w:r>
        <w:rPr>
          <w:rFonts w:ascii="Times New Roman" w:cs="Times New Roman" w:eastAsia="Times New Roman" w:hAnsi="Times New Roman"/>
          <w:sz w:val="17"/>
          <w:szCs w:val="17"/>
          <w:color w:val="auto"/>
        </w:rPr>
        <w:t>In addition, the JOBS Act permits emerging growth companies to take advantage of an extended transition period to comply with new or revised accounting standards applicable to public companies. We are not choosing to “opt out” of this provision. We will remain an emerging growth company until the earliest of</w:t>
      </w:r>
    </w:p>
    <w:p>
      <w:pPr>
        <w:spacing w:after="0" w:line="2" w:lineRule="exact"/>
        <w:rPr>
          <w:sz w:val="20"/>
          <w:szCs w:val="20"/>
          <w:color w:val="auto"/>
        </w:rPr>
      </w:pPr>
    </w:p>
    <w:p>
      <w:pPr>
        <w:jc w:val="both"/>
        <w:ind w:left="700" w:right="699" w:hanging="8"/>
        <w:spacing w:after="0" w:line="257" w:lineRule="auto"/>
        <w:tabs>
          <w:tab w:leader="none" w:pos="91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last day of the fiscal year following the fifth anniversary of the completion of our IPO, (ii) the last day of the first fiscal year in which our annual gross revenues exceed $1.235 billion, (iii) the date on which we have, during the immediately preceding three-year period, issued more than $1.0 billion in non-convertible debt securities and (iv) the end of any fiscal year in which the market value of our common stock held by non-affiliates exceeds $700 million as of the end of the second quarter of that fiscal year. We have elected to take advantage of certain of the reduced disclosure obligations in the registration statement of which this prospectus forms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12"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We are also a “smaller reporting company” as defined in the Securities Exchange Act of 1934, as amended, or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more than $700 million measured on the last business day of our second fiscal quarter.</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Summary of Risks Factors</w:t>
      </w:r>
    </w:p>
    <w:p>
      <w:pPr>
        <w:spacing w:after="0" w:line="144" w:lineRule="exact"/>
        <w:rPr>
          <w:sz w:val="20"/>
          <w:szCs w:val="20"/>
          <w:color w:val="auto"/>
        </w:rPr>
      </w:pPr>
    </w:p>
    <w:p>
      <w:pPr>
        <w:jc w:val="both"/>
        <w:ind w:left="700" w:right="699" w:firstLine="416"/>
        <w:spacing w:after="0" w:line="264" w:lineRule="auto"/>
        <w:rPr>
          <w:sz w:val="20"/>
          <w:szCs w:val="20"/>
          <w:color w:val="auto"/>
        </w:rPr>
      </w:pPr>
      <w:r>
        <w:rPr>
          <w:rFonts w:ascii="Times New Roman" w:cs="Times New Roman" w:eastAsia="Times New Roman" w:hAnsi="Times New Roman"/>
          <w:sz w:val="17"/>
          <w:szCs w:val="17"/>
          <w:color w:val="auto"/>
        </w:rPr>
        <w:t>Our business is subject to a number of risks, including risks that may prevent us from achieving our business objectives or may adversely affect our business, financial condition, results of operations, cash flows and prospects that you should consider before making a decision to invest in our Class A Common Stock. These risks are discussed more fully in “Risk Factors” beginning on page 15 of this prospectus. These risks include, but are not limited to, the following:</w:t>
      </w:r>
    </w:p>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the Committed Equity Financing</w:t>
      </w:r>
    </w:p>
    <w:p>
      <w:pPr>
        <w:spacing w:after="0" w:line="159" w:lineRule="exact"/>
        <w:rPr>
          <w:sz w:val="20"/>
          <w:szCs w:val="20"/>
          <w:color w:val="auto"/>
        </w:rPr>
      </w:pPr>
    </w:p>
    <w:p>
      <w:pPr>
        <w:jc w:val="both"/>
        <w:ind w:left="1520" w:right="699" w:hanging="412"/>
        <w:spacing w:after="0" w:line="274" w:lineRule="auto"/>
        <w:tabs>
          <w:tab w:leader="none" w:pos="15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not possible to predict the actual number of shares of Class A Common Stock, if any, we will sell under the Purchase Agreement to Cantor, or the actual gross proceeds resulting from those sales.</w:t>
      </w:r>
    </w:p>
    <w:p>
      <w:pPr>
        <w:spacing w:after="0" w:line="97" w:lineRule="exact"/>
        <w:rPr>
          <w:rFonts w:ascii="Times New Roman" w:cs="Times New Roman" w:eastAsia="Times New Roman" w:hAnsi="Times New Roman"/>
          <w:sz w:val="17"/>
          <w:szCs w:val="17"/>
          <w:color w:val="auto"/>
        </w:rPr>
      </w:pPr>
    </w:p>
    <w:p>
      <w:pPr>
        <w:ind w:left="1520" w:right="699" w:hanging="412"/>
        <w:spacing w:after="0" w:line="293" w:lineRule="auto"/>
        <w:tabs>
          <w:tab w:leader="none" w:pos="15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Investors who buy shares of Class A Common Stock from the Holder at different times will likely pay different prices.</w:t>
      </w:r>
    </w:p>
    <w:p>
      <w:pPr>
        <w:spacing w:after="0" w:line="68" w:lineRule="exact"/>
        <w:rPr>
          <w:rFonts w:ascii="Times New Roman" w:cs="Times New Roman" w:eastAsia="Times New Roman" w:hAnsi="Times New Roman"/>
          <w:sz w:val="17"/>
          <w:szCs w:val="17"/>
          <w:color w:val="auto"/>
        </w:rPr>
      </w:pPr>
    </w:p>
    <w:p>
      <w:pPr>
        <w:jc w:val="both"/>
        <w:ind w:left="1520" w:right="699" w:hanging="412"/>
        <w:spacing w:after="0" w:line="274" w:lineRule="auto"/>
        <w:tabs>
          <w:tab w:leader="none" w:pos="15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engaged in multiple transactions and offerings of our securities. Future resales and/or issuances of Class A Shares, including pursuant to this prospectus may cause the market price of our shares to drop significantly.</w:t>
      </w:r>
    </w:p>
    <w:p>
      <w:pPr>
        <w:spacing w:after="0" w:line="97" w:lineRule="exact"/>
        <w:rPr>
          <w:rFonts w:ascii="Times New Roman" w:cs="Times New Roman" w:eastAsia="Times New Roman" w:hAnsi="Times New Roman"/>
          <w:sz w:val="17"/>
          <w:szCs w:val="17"/>
          <w:color w:val="auto"/>
        </w:rPr>
      </w:pPr>
    </w:p>
    <w:p>
      <w:pPr>
        <w:jc w:val="both"/>
        <w:ind w:left="1520" w:right="719" w:hanging="412"/>
        <w:spacing w:after="0" w:line="274" w:lineRule="auto"/>
        <w:tabs>
          <w:tab w:leader="none" w:pos="15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use proceeds from sales of shares of our Class A Common Stock made pursuant to the Purchase Agreement in ways with which you may not agree or in ways which may not yield a significant return.</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SoundHound AI’s Business</w:t>
      </w:r>
    </w:p>
    <w:p>
      <w:pPr>
        <w:spacing w:after="0" w:line="159" w:lineRule="exact"/>
        <w:rPr>
          <w:sz w:val="20"/>
          <w:szCs w:val="20"/>
          <w:color w:val="auto"/>
        </w:rPr>
      </w:pPr>
    </w:p>
    <w:p>
      <w:pPr>
        <w:ind w:left="1520" w:right="719" w:hanging="412"/>
        <w:spacing w:after="0" w:line="293" w:lineRule="auto"/>
        <w:tabs>
          <w:tab w:leader="none" w:pos="15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Voice AI market is a relatively new and rapidly changing market, and we may be unable to compete successfully.</w:t>
      </w:r>
    </w:p>
    <w:p>
      <w:pPr>
        <w:spacing w:after="0" w:line="68" w:lineRule="exact"/>
        <w:rPr>
          <w:rFonts w:ascii="Times New Roman" w:cs="Times New Roman" w:eastAsia="Times New Roman" w:hAnsi="Times New Roman"/>
          <w:sz w:val="17"/>
          <w:szCs w:val="17"/>
          <w:color w:val="auto"/>
        </w:rPr>
      </w:pPr>
    </w:p>
    <w:p>
      <w:pPr>
        <w:ind w:left="1520" w:right="719" w:hanging="412"/>
        <w:spacing w:after="0" w:line="293" w:lineRule="auto"/>
        <w:tabs>
          <w:tab w:leader="none" w:pos="15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SoundHound AI does not maintain a customer base that will generate a recurring stream of revenues, its operating results may be adversely affected.</w:t>
      </w:r>
    </w:p>
    <w:p>
      <w:pPr>
        <w:spacing w:after="0" w:line="81" w:lineRule="exact"/>
        <w:rPr>
          <w:rFonts w:ascii="Times New Roman" w:cs="Times New Roman" w:eastAsia="Times New Roman" w:hAnsi="Times New Roman"/>
          <w:sz w:val="17"/>
          <w:szCs w:val="17"/>
          <w:color w:val="auto"/>
        </w:rPr>
      </w:pPr>
    </w:p>
    <w:p>
      <w:pPr>
        <w:ind w:left="1520" w:right="699" w:hanging="412"/>
        <w:spacing w:after="0" w:line="293" w:lineRule="auto"/>
        <w:tabs>
          <w:tab w:leader="none" w:pos="15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SoundHound AI fails to grow its business as anticipated, particularly in light of the Restructuring Plan, its revenues and gross margin will be adversely affected.</w:t>
      </w:r>
    </w:p>
    <w:p>
      <w:pPr>
        <w:spacing w:after="0" w:line="81" w:lineRule="exact"/>
        <w:rPr>
          <w:rFonts w:ascii="Times New Roman" w:cs="Times New Roman" w:eastAsia="Times New Roman" w:hAnsi="Times New Roman"/>
          <w:sz w:val="17"/>
          <w:szCs w:val="17"/>
          <w:color w:val="auto"/>
        </w:rPr>
      </w:pPr>
    </w:p>
    <w:p>
      <w:pPr>
        <w:jc w:val="both"/>
        <w:ind w:left="1520" w:right="699" w:hanging="412"/>
        <w:spacing w:after="0" w:line="274" w:lineRule="auto"/>
        <w:tabs>
          <w:tab w:leader="none" w:pos="15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SoundHound AI does not successfully anticipate market needs, enhance its existing products, execute on delivering quality products and services, or develop new products and services, it may not be able to compete effectively and its ability to generate revenues will suffer.</w:t>
      </w:r>
    </w:p>
    <w:p>
      <w:pPr>
        <w:sectPr>
          <w:pgSz w:w="11900" w:h="16838" w:orient="portrait"/>
          <w:cols w:equalWidth="0" w:num="1">
            <w:col w:w="9019"/>
          </w:cols>
          <w:pgMar w:left="1440" w:top="264" w:right="1440" w:bottom="1440" w:gutter="0" w:footer="0" w:header="0"/>
          <w:type w:val="continuous"/>
        </w:sect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5" w:name="page16"/>
    <w:bookmarkEnd w:id="1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5301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55540" cy="5301615"/>
                    </a:xfrm>
                    <a:prstGeom prst="rect">
                      <a:avLst/>
                    </a:prstGeom>
                    <a:noFill/>
                  </pic:spPr>
                </pic:pic>
              </a:graphicData>
            </a:graphic>
          </wp:anchor>
        </w:drawing>
      </w:r>
    </w:p>
    <w:p>
      <w:pPr>
        <w:spacing w:after="0" w:line="317" w:lineRule="exact"/>
        <w:rPr>
          <w:sz w:val="20"/>
          <w:szCs w:val="20"/>
          <w:color w:val="auto"/>
        </w:rPr>
      </w:pPr>
    </w:p>
    <w:p>
      <w:pPr>
        <w:jc w:val="both"/>
        <w:ind w:left="1520" w:right="719" w:hanging="412"/>
        <w:spacing w:after="0" w:line="274"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alleged failure to comply with data privacy laws and regulations could damage SoundHound AI’s reputation, result in government action and have an adverse impact on its operating results.</w:t>
      </w:r>
    </w:p>
    <w:p>
      <w:pPr>
        <w:spacing w:after="0" w:line="97" w:lineRule="exact"/>
        <w:rPr>
          <w:rFonts w:ascii="Times New Roman" w:cs="Times New Roman" w:eastAsia="Times New Roman" w:hAnsi="Times New Roman"/>
          <w:sz w:val="17"/>
          <w:szCs w:val="17"/>
          <w:color w:val="auto"/>
        </w:rPr>
      </w:pPr>
    </w:p>
    <w:p>
      <w:pPr>
        <w:jc w:val="both"/>
        <w:ind w:left="1520" w:right="699" w:hanging="412"/>
        <w:spacing w:after="0" w:line="274"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attract and retain key personnel in the future, particularly in light of our Restructuring Plan, could harm SoundHound AI’s business and negatively affect our ability to successfully grow our business.</w:t>
      </w:r>
    </w:p>
    <w:p>
      <w:pPr>
        <w:spacing w:after="0" w:line="84" w:lineRule="exact"/>
        <w:rPr>
          <w:rFonts w:ascii="Times New Roman" w:cs="Times New Roman" w:eastAsia="Times New Roman" w:hAnsi="Times New Roman"/>
          <w:sz w:val="17"/>
          <w:szCs w:val="17"/>
          <w:color w:val="auto"/>
        </w:rPr>
      </w:pPr>
    </w:p>
    <w:p>
      <w:pPr>
        <w:ind w:left="1520" w:right="699" w:hanging="412"/>
        <w:spacing w:after="0" w:line="293"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SoundHound AI’s use of open source technology could impose limitations on its ability to commercialize its software.</w:t>
      </w:r>
    </w:p>
    <w:p>
      <w:pPr>
        <w:spacing w:after="0" w:line="81" w:lineRule="exact"/>
        <w:rPr>
          <w:rFonts w:ascii="Times New Roman" w:cs="Times New Roman" w:eastAsia="Times New Roman" w:hAnsi="Times New Roman"/>
          <w:sz w:val="17"/>
          <w:szCs w:val="17"/>
          <w:color w:val="auto"/>
        </w:rPr>
      </w:pPr>
    </w:p>
    <w:p>
      <w:pPr>
        <w:ind w:left="1520" w:right="699" w:hanging="412"/>
        <w:spacing w:after="0" w:line="293"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Unauthorized use of SoundHound AI’s proprietary technology and intellectual property could adversely affect its business and results of operations.</w:t>
      </w:r>
    </w:p>
    <w:p>
      <w:pPr>
        <w:spacing w:after="0" w:line="81" w:lineRule="exact"/>
        <w:rPr>
          <w:rFonts w:ascii="Times New Roman" w:cs="Times New Roman" w:eastAsia="Times New Roman" w:hAnsi="Times New Roman"/>
          <w:sz w:val="17"/>
          <w:szCs w:val="17"/>
          <w:color w:val="auto"/>
        </w:rPr>
      </w:pPr>
    </w:p>
    <w:p>
      <w:pPr>
        <w:jc w:val="both"/>
        <w:ind w:left="1520" w:right="699" w:hanging="412"/>
        <w:spacing w:after="0" w:line="274"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applicable anti-corruption legislation and other governmental laws and regulations, including consumer and data privacy laws, could result in fines, criminal penalties and materially adversely affect its business, financial condition and results of operations.</w:t>
      </w:r>
    </w:p>
    <w:p>
      <w:pPr>
        <w:spacing w:after="0" w:line="84" w:lineRule="exact"/>
        <w:rPr>
          <w:rFonts w:ascii="Times New Roman" w:cs="Times New Roman" w:eastAsia="Times New Roman" w:hAnsi="Times New Roman"/>
          <w:sz w:val="17"/>
          <w:szCs w:val="17"/>
          <w:color w:val="auto"/>
        </w:rPr>
      </w:pPr>
    </w:p>
    <w:p>
      <w:pPr>
        <w:jc w:val="both"/>
        <w:ind w:left="1520" w:right="699" w:hanging="412"/>
        <w:spacing w:after="0" w:line="274"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continuation or worsening of the COVID-19 pandemic, or other similar public health developments, could have an adverse effect on business, results of operations, and financial condition.</w:t>
      </w:r>
    </w:p>
    <w:p>
      <w:pPr>
        <w:spacing w:after="0" w:line="97" w:lineRule="exact"/>
        <w:rPr>
          <w:rFonts w:ascii="Times New Roman" w:cs="Times New Roman" w:eastAsia="Times New Roman" w:hAnsi="Times New Roman"/>
          <w:sz w:val="17"/>
          <w:szCs w:val="17"/>
          <w:color w:val="auto"/>
        </w:rPr>
      </w:pPr>
    </w:p>
    <w:p>
      <w:pPr>
        <w:ind w:left="1520" w:hanging="412"/>
        <w:spacing w:after="0"/>
        <w:tabs>
          <w:tab w:leader="none" w:pos="15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management has limited experience in operating a public company.</w:t>
      </w:r>
    </w:p>
    <w:p>
      <w:pPr>
        <w:spacing w:after="0" w:line="155" w:lineRule="exact"/>
        <w:rPr>
          <w:rFonts w:ascii="Times New Roman" w:cs="Times New Roman" w:eastAsia="Times New Roman" w:hAnsi="Times New Roman"/>
          <w:sz w:val="17"/>
          <w:szCs w:val="17"/>
          <w:color w:val="auto"/>
        </w:rPr>
      </w:pPr>
    </w:p>
    <w:p>
      <w:pPr>
        <w:jc w:val="both"/>
        <w:ind w:left="1520" w:right="699" w:hanging="412"/>
        <w:spacing w:after="0" w:line="285"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an uncertain regulatory environment and may from time to time be subject to governmental investigations or other inquiries by state, federal and local governmental authorities.</w:t>
      </w:r>
    </w:p>
    <w:p>
      <w:pPr>
        <w:spacing w:after="0" w:line="3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Securities</w:t>
      </w:r>
    </w:p>
    <w:p>
      <w:pPr>
        <w:spacing w:after="0" w:line="146" w:lineRule="exact"/>
        <w:rPr>
          <w:sz w:val="20"/>
          <w:szCs w:val="20"/>
          <w:color w:val="auto"/>
        </w:rPr>
      </w:pPr>
    </w:p>
    <w:p>
      <w:pPr>
        <w:ind w:left="1520" w:right="699" w:hanging="412"/>
        <w:spacing w:after="0" w:line="293" w:lineRule="auto"/>
        <w:tabs>
          <w:tab w:leader="none" w:pos="15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our securities is likely to be highly volatile, and you may lose some or all of your investment.</w:t>
      </w:r>
    </w:p>
    <w:p>
      <w:pPr>
        <w:spacing w:after="0" w:line="81" w:lineRule="exact"/>
        <w:rPr>
          <w:rFonts w:ascii="Times New Roman" w:cs="Times New Roman" w:eastAsia="Times New Roman" w:hAnsi="Times New Roman"/>
          <w:sz w:val="17"/>
          <w:szCs w:val="17"/>
          <w:color w:val="auto"/>
        </w:rPr>
      </w:pPr>
    </w:p>
    <w:p>
      <w:pPr>
        <w:ind w:left="1520" w:hanging="412"/>
        <w:spacing w:after="0"/>
        <w:tabs>
          <w:tab w:leader="none" w:pos="15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our share price could subject us to securities class action litigation.</w:t>
      </w:r>
    </w:p>
    <w:p>
      <w:pPr>
        <w:spacing w:after="0" w:line="2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57" w:lineRule="exact"/>
        <w:rPr>
          <w:sz w:val="20"/>
          <w:szCs w:val="20"/>
          <w:color w:val="auto"/>
        </w:rPr>
      </w:pPr>
    </w:p>
    <w:p>
      <w:pPr>
        <w:jc w:val="both"/>
        <w:ind w:left="700" w:right="699" w:firstLine="416"/>
        <w:spacing w:after="0" w:line="267" w:lineRule="auto"/>
        <w:rPr>
          <w:sz w:val="20"/>
          <w:szCs w:val="20"/>
          <w:color w:val="auto"/>
        </w:rPr>
      </w:pPr>
      <w:r>
        <w:rPr>
          <w:rFonts w:ascii="Times New Roman" w:cs="Times New Roman" w:eastAsia="Times New Roman" w:hAnsi="Times New Roman"/>
          <w:sz w:val="17"/>
          <w:szCs w:val="17"/>
          <w:color w:val="auto"/>
        </w:rPr>
        <w:t xml:space="preserve">We were incorporated in Delaware on September 15, 2020 under the name Archimedes Tech SPAC Partners Co. Our principal executive offices are located at 5400 Betsy Ross Drive, Santa Clara, CA 95054, and our telephone number is (408) 441-3200. Our corporate website address is </w:t>
      </w:r>
      <w:r>
        <w:rPr>
          <w:rFonts w:ascii="Times New Roman" w:cs="Times New Roman" w:eastAsia="Times New Roman" w:hAnsi="Times New Roman"/>
          <w:sz w:val="17"/>
          <w:szCs w:val="17"/>
          <w:i w:val="1"/>
          <w:iCs w:val="1"/>
          <w:color w:val="auto"/>
        </w:rPr>
        <w:t>www.soundhound.com</w:t>
      </w:r>
      <w:r>
        <w:rPr>
          <w:rFonts w:ascii="Times New Roman" w:cs="Times New Roman" w:eastAsia="Times New Roman" w:hAnsi="Times New Roman"/>
          <w:sz w:val="17"/>
          <w:szCs w:val="17"/>
          <w:color w:val="auto"/>
        </w:rPr>
        <w:t>. The information contained on or accessible through our website is not a part of this prospectus.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 w:name="page17"/>
    <w:bookmarkEnd w:id="1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66878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55540" cy="6687820"/>
                    </a:xfrm>
                    <a:prstGeom prst="rect">
                      <a:avLst/>
                    </a:prstGeom>
                    <a:noFill/>
                  </pic:spPr>
                </pic:pic>
              </a:graphicData>
            </a:graphic>
          </wp:anchor>
        </w:drawing>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9019"/>
          </w:cols>
          <w:pgMar w:left="1440" w:top="264" w:right="1440" w:bottom="1440" w:gutter="0" w:footer="0" w:header="0"/>
        </w:sectPr>
      </w:pP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Issuer</w:t>
      </w:r>
    </w:p>
    <w:p>
      <w:pPr>
        <w:spacing w:after="0" w:line="207" w:lineRule="exact"/>
        <w:rPr>
          <w:sz w:val="20"/>
          <w:szCs w:val="20"/>
          <w:color w:val="auto"/>
        </w:rPr>
      </w:pPr>
    </w:p>
    <w:p>
      <w:pPr>
        <w:ind w:left="860" w:hanging="172"/>
        <w:spacing w:after="0" w:line="295" w:lineRule="auto"/>
        <w:rPr>
          <w:sz w:val="20"/>
          <w:szCs w:val="20"/>
          <w:color w:val="auto"/>
        </w:rPr>
      </w:pPr>
      <w:r>
        <w:rPr>
          <w:rFonts w:ascii="Times New Roman" w:cs="Times New Roman" w:eastAsia="Times New Roman" w:hAnsi="Times New Roman"/>
          <w:sz w:val="17"/>
          <w:szCs w:val="17"/>
          <w:i w:val="1"/>
          <w:iCs w:val="1"/>
          <w:color w:val="auto"/>
        </w:rPr>
        <w:t>Shares of Class A Common Stock Offered by the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Use of Proceeds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SoundHound AI, Inc.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25,250,000 shares, consisting of:</w:t>
      </w:r>
    </w:p>
    <w:p>
      <w:pPr>
        <w:spacing w:after="0" w:line="181" w:lineRule="exact"/>
        <w:rPr>
          <w:sz w:val="20"/>
          <w:szCs w:val="20"/>
          <w:color w:val="auto"/>
        </w:rPr>
      </w:pPr>
    </w:p>
    <w:p>
      <w:pPr>
        <w:jc w:val="both"/>
        <w:ind w:right="719"/>
        <w:spacing w:after="0" w:line="267" w:lineRule="auto"/>
        <w:rPr>
          <w:sz w:val="20"/>
          <w:szCs w:val="20"/>
          <w:color w:val="auto"/>
        </w:rPr>
      </w:pPr>
      <w:r>
        <w:rPr>
          <w:rFonts w:ascii="Times New Roman" w:cs="Times New Roman" w:eastAsia="Times New Roman" w:hAnsi="Times New Roman"/>
          <w:sz w:val="17"/>
          <w:szCs w:val="17"/>
          <w:color w:val="auto"/>
        </w:rPr>
        <w:t>The Commitment Shares, which are the 250,000 Class A Shares that we issued to Cantor in consideration for its irrevocable commitment to purchase Class A Shares at our election under the Purchase Agreement; and</w:t>
      </w:r>
    </w:p>
    <w:p>
      <w:pPr>
        <w:spacing w:after="0" w:line="144" w:lineRule="exact"/>
        <w:rPr>
          <w:sz w:val="20"/>
          <w:szCs w:val="20"/>
          <w:color w:val="auto"/>
        </w:rPr>
      </w:pPr>
    </w:p>
    <w:p>
      <w:pPr>
        <w:jc w:val="both"/>
        <w:ind w:right="719"/>
        <w:spacing w:after="0" w:line="271" w:lineRule="auto"/>
        <w:rPr>
          <w:sz w:val="20"/>
          <w:szCs w:val="20"/>
          <w:color w:val="auto"/>
        </w:rPr>
      </w:pPr>
      <w:r>
        <w:rPr>
          <w:rFonts w:ascii="Times New Roman" w:cs="Times New Roman" w:eastAsia="Times New Roman" w:hAnsi="Times New Roman"/>
          <w:sz w:val="17"/>
          <w:szCs w:val="17"/>
          <w:color w:val="auto"/>
        </w:rPr>
        <w:t>Up to 25,000,000 Class A Shares that we may elect, in our sole discretion, to issue and sell to Cantor, from time to time from and after the Commencement Date under the Purchase Agreement.</w:t>
      </w:r>
    </w:p>
    <w:p>
      <w:pPr>
        <w:spacing w:after="0" w:line="338" w:lineRule="exact"/>
        <w:rPr>
          <w:sz w:val="20"/>
          <w:szCs w:val="20"/>
          <w:color w:val="auto"/>
        </w:rPr>
      </w:pPr>
    </w:p>
    <w:p>
      <w:pPr>
        <w:jc w:val="both"/>
        <w:ind w:right="719"/>
        <w:spacing w:after="0" w:line="259" w:lineRule="auto"/>
        <w:rPr>
          <w:sz w:val="20"/>
          <w:szCs w:val="20"/>
          <w:color w:val="auto"/>
        </w:rPr>
      </w:pPr>
      <w:r>
        <w:rPr>
          <w:rFonts w:ascii="Times New Roman" w:cs="Times New Roman" w:eastAsia="Times New Roman" w:hAnsi="Times New Roman"/>
          <w:sz w:val="17"/>
          <w:szCs w:val="17"/>
          <w:color w:val="auto"/>
        </w:rPr>
        <w:t>We will not receive any proceeds from any sale of shares of our Class A Common Stock by the Holder. However, we will receive 97% of the VWAP (as such term is defined in the Purchase Agreement) of the Common A Shares sold to the Holder pursuant to the Common Stock Purchase Agreement, as of each applicable date the Holder purchases Class A Shares from us, after the date of this prospectus. We intend to use any proceeds from the Facility for working capital and general corporate purposes. See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The Committed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Equity Financing</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3560" w:space="260"/>
            <w:col w:w="5199"/>
          </w:cols>
          <w:pgMar w:left="1440" w:top="264" w:right="1440" w:bottom="1440" w:gutter="0" w:footer="0" w:header="0"/>
          <w:type w:val="continuous"/>
        </w:sectPr>
      </w:pPr>
    </w:p>
    <w:p>
      <w:pPr>
        <w:spacing w:after="0" w:line="160"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840" w:type="dxa"/>
            <w:vAlign w:val="bottom"/>
          </w:tcPr>
          <w:p>
            <w:pPr>
              <w:ind w:left="80"/>
              <w:spacing w:after="0"/>
              <w:rPr>
                <w:sz w:val="20"/>
                <w:szCs w:val="20"/>
                <w:color w:val="auto"/>
              </w:rPr>
            </w:pPr>
            <w:r>
              <w:rPr>
                <w:rFonts w:ascii="Times New Roman" w:cs="Times New Roman" w:eastAsia="Times New Roman" w:hAnsi="Times New Roman"/>
                <w:sz w:val="17"/>
                <w:szCs w:val="17"/>
                <w:i w:val="1"/>
                <w:iCs w:val="1"/>
                <w:color w:val="auto"/>
              </w:rPr>
              <w:t>Conflict of Interest</w:t>
            </w: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Cantor is an affiliate of Cantor Fitzgerald &amp; Co. (“CF&amp;CO”) a</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FINRA member. CF&amp;CO is expected to act as an executing</w:t>
            </w:r>
          </w:p>
        </w:tc>
      </w:tr>
      <w:tr>
        <w:trPr>
          <w:trHeight w:val="206"/>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broker for the sale of the shares of our Class A Common Stock</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sold  by  Cantor  pursuant  to  the  Facility.  See  “</w:t>
            </w:r>
            <w:r>
              <w:rPr>
                <w:rFonts w:ascii="Times New Roman" w:cs="Times New Roman" w:eastAsia="Times New Roman" w:hAnsi="Times New Roman"/>
                <w:sz w:val="17"/>
                <w:szCs w:val="17"/>
                <w:i w:val="1"/>
                <w:iCs w:val="1"/>
                <w:color w:val="auto"/>
              </w:rPr>
              <w:t>Plan  of</w:t>
            </w:r>
          </w:p>
        </w:tc>
      </w:tr>
      <w:tr>
        <w:trPr>
          <w:trHeight w:val="228"/>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i w:val="1"/>
                <w:iCs w:val="1"/>
                <w:color w:val="auto"/>
              </w:rPr>
              <w:t>Distribution (Conflict of Interest)</w:t>
            </w:r>
            <w:r>
              <w:rPr>
                <w:rFonts w:ascii="Times New Roman" w:cs="Times New Roman" w:eastAsia="Times New Roman" w:hAnsi="Times New Roman"/>
                <w:sz w:val="17"/>
                <w:szCs w:val="17"/>
                <w:color w:val="auto"/>
              </w:rPr>
              <w:t>.”</w:t>
            </w:r>
          </w:p>
        </w:tc>
      </w:tr>
      <w:tr>
        <w:trPr>
          <w:trHeight w:val="371"/>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The receipt by Cantor of all the proceeds from sales of shares of</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our Class A Common Stock to the public made through CF&amp;CO</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results in a “conflict of interest” under Rule 5121 of the</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Financial  Industry  Regulatory  Authority,  Inc.  (“FINRA”).</w:t>
            </w:r>
          </w:p>
        </w:tc>
      </w:tr>
      <w:tr>
        <w:trPr>
          <w:trHeight w:val="206"/>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Accordingly, such sales will be conducted in compliance with</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FINRA Rule 5121. See “</w:t>
            </w:r>
            <w:r>
              <w:rPr>
                <w:rFonts w:ascii="Times New Roman" w:cs="Times New Roman" w:eastAsia="Times New Roman" w:hAnsi="Times New Roman"/>
                <w:sz w:val="17"/>
                <w:szCs w:val="17"/>
                <w:i w:val="1"/>
                <w:iCs w:val="1"/>
                <w:color w:val="auto"/>
              </w:rPr>
              <w:t>Plan of Distribution (Conflict of</w:t>
            </w:r>
          </w:p>
        </w:tc>
      </w:tr>
      <w:tr>
        <w:trPr>
          <w:trHeight w:val="228"/>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i w:val="1"/>
                <w:iCs w:val="1"/>
                <w:color w:val="auto"/>
              </w:rPr>
              <w:t>Interest)</w:t>
            </w:r>
            <w:r>
              <w:rPr>
                <w:rFonts w:ascii="Times New Roman" w:cs="Times New Roman" w:eastAsia="Times New Roman" w:hAnsi="Times New Roman"/>
                <w:sz w:val="17"/>
                <w:szCs w:val="17"/>
                <w:color w:val="auto"/>
              </w:rPr>
              <w:t>.”</w:t>
            </w:r>
          </w:p>
        </w:tc>
      </w:tr>
      <w:tr>
        <w:trPr>
          <w:trHeight w:val="371"/>
        </w:trPr>
        <w:tc>
          <w:tcPr>
            <w:tcW w:w="20" w:type="dxa"/>
            <w:vAlign w:val="bottom"/>
          </w:tcPr>
          <w:p>
            <w:pPr>
              <w:spacing w:after="0"/>
              <w:rPr>
                <w:sz w:val="24"/>
                <w:szCs w:val="24"/>
                <w:color w:val="auto"/>
              </w:rPr>
            </w:pPr>
          </w:p>
        </w:tc>
        <w:tc>
          <w:tcPr>
            <w:tcW w:w="2840" w:type="dxa"/>
            <w:vAlign w:val="bottom"/>
          </w:tcPr>
          <w:p>
            <w:pPr>
              <w:ind w:left="80"/>
              <w:spacing w:after="0"/>
              <w:rPr>
                <w:sz w:val="20"/>
                <w:szCs w:val="20"/>
                <w:color w:val="auto"/>
              </w:rPr>
            </w:pPr>
            <w:r>
              <w:rPr>
                <w:rFonts w:ascii="Times New Roman" w:cs="Times New Roman" w:eastAsia="Times New Roman" w:hAnsi="Times New Roman"/>
                <w:sz w:val="17"/>
                <w:szCs w:val="17"/>
                <w:i w:val="1"/>
                <w:iCs w:val="1"/>
                <w:color w:val="auto"/>
              </w:rPr>
              <w:t>Risk Factors</w:t>
            </w: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the other information included in this</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prospectus for a discussion of factors you should consider</w:t>
            </w:r>
          </w:p>
        </w:tc>
      </w:tr>
      <w:tr>
        <w:trPr>
          <w:trHeight w:val="226"/>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before investing in our securities.</w:t>
            </w:r>
          </w:p>
        </w:tc>
      </w:tr>
      <w:tr>
        <w:trPr>
          <w:trHeight w:val="371"/>
        </w:trPr>
        <w:tc>
          <w:tcPr>
            <w:tcW w:w="20" w:type="dxa"/>
            <w:vAlign w:val="bottom"/>
          </w:tcPr>
          <w:p>
            <w:pPr>
              <w:spacing w:after="0"/>
              <w:rPr>
                <w:sz w:val="24"/>
                <w:szCs w:val="24"/>
                <w:color w:val="auto"/>
              </w:rPr>
            </w:pPr>
          </w:p>
        </w:tc>
        <w:tc>
          <w:tcPr>
            <w:tcW w:w="2840" w:type="dxa"/>
            <w:vAlign w:val="bottom"/>
          </w:tcPr>
          <w:p>
            <w:pPr>
              <w:ind w:left="80"/>
              <w:spacing w:after="0"/>
              <w:rPr>
                <w:sz w:val="20"/>
                <w:szCs w:val="20"/>
                <w:color w:val="auto"/>
              </w:rPr>
            </w:pPr>
            <w:r>
              <w:rPr>
                <w:rFonts w:ascii="Times New Roman" w:cs="Times New Roman" w:eastAsia="Times New Roman" w:hAnsi="Times New Roman"/>
                <w:sz w:val="17"/>
                <w:szCs w:val="17"/>
                <w:i w:val="1"/>
                <w:iCs w:val="1"/>
                <w:color w:val="auto"/>
              </w:rPr>
              <w:t>Market for Class A Common Stock</w:t>
            </w: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Our Class A Common Stock is currently traded on the Nasdaq</w:t>
            </w:r>
          </w:p>
        </w:tc>
      </w:tr>
      <w:tr>
        <w:trPr>
          <w:trHeight w:val="226"/>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Global Market under the symbol “SOUN.”</w:t>
            </w:r>
          </w:p>
        </w:tc>
      </w:tr>
      <w:tr>
        <w:trPr>
          <w:trHeight w:val="399"/>
        </w:trPr>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373"/>
        </w:trPr>
        <w:tc>
          <w:tcPr>
            <w:tcW w:w="2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Pr>
          <w:p>
            <w:pPr>
              <w:spacing w:after="0"/>
              <w:rPr>
                <w:sz w:val="24"/>
                <w:szCs w:val="24"/>
                <w:color w:val="auto"/>
              </w:rPr>
            </w:pPr>
          </w:p>
        </w:tc>
      </w:tr>
    </w:tbl>
    <w:p>
      <w:pPr>
        <w:sectPr>
          <w:pgSz w:w="11900" w:h="16838" w:orient="portrait"/>
          <w:cols w:equalWidth="0" w:num="1">
            <w:col w:w="9019"/>
          </w:cols>
          <w:pgMar w:left="1440" w:top="264" w:right="1440" w:bottom="1440" w:gutter="0" w:footer="0" w:header="0"/>
          <w:type w:val="continuous"/>
        </w:sectPr>
      </w:pPr>
    </w:p>
    <w:bookmarkStart w:id="17" w:name="page18"/>
    <w:bookmarkEnd w:id="1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4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Investing in our securities involves a high degree of risk. You should carefully consider the following information about these risks, together with the other information appearing elsewhere in this prospectus, including our financial statements, the notes thereto and the section entitled “Management’s Discussion and Analysis of Financial Condition and Results of Operations,” before deciding to invest in our securities. The occurrence of any of the following risks could have a material adverse effect on our business, reputation, financial condition, results of operations and future growth prospects, as well as our ability to accomplish our strategic objectives. As a result, the trading price of our securities could decline and you could lose all or part of your investment. Additional risks and uncertainties not presently known to us or that we currently deem immaterial may also impair our business operations and the market price of our securities.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Related to the Committed Equity Financing</w:t>
      </w:r>
    </w:p>
    <w:p>
      <w:pPr>
        <w:spacing w:after="0" w:line="21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It is not possible to predict the actual number of shares of Class A Common Stock, if any, we will sell under the Purchase Agreement to Cantor, or the actual gross proceeds resulting from those sales.</w:t>
      </w:r>
    </w:p>
    <w:p>
      <w:pPr>
        <w:spacing w:after="0" w:line="7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August 16, 2022, we entered into the Purchase Agreement with Cantor, pursuant to which Cantor has committed to purchase up to 25,000,000 shares of our Class A Common Stock, subject to certain limitations and conditions set forth in the Purchase Agreement. The shares of Class A Common Stock that may be issued under the Purchase Agreement may be sold by us to Cantor at our discretion from time to time until the first day of the month next following the 36-month period commencing on the date of this prospectus.</w:t>
      </w:r>
    </w:p>
    <w:p>
      <w:pPr>
        <w:spacing w:after="0" w:line="1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generally have the right to control the timing and amount of any sales of shares to Cantor under the Purchase Agreement. Sales of shares, if any, to Cantor under the Purchase Agreement will depend upon market conditions and other factors to be determined by us. We may ultimately decide to sell to Cantor all, some or none of the shares of Class A Common Stock that may be available for us to sell to Cantor pursuant to the Purchase Agreement.</w:t>
      </w:r>
    </w:p>
    <w:p>
      <w:pPr>
        <w:spacing w:after="0" w:line="9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Because the purchase price per share to be paid by Cantor for the shares of Class A Common Stock that we may elect to sell to Cantor under the Purchase Agreement, if any, will fluctuate based on the market prices of our Class A Common Stock at the time we elect to sell shares to Cantor pursuant to the Purchase Agreement, if any, it is not possible for us to predict, as of the date of this prospectus and prior to any such sales, the purchase price per share that Cantor will pay for shares of Class A Common Stock purchased from us under the Purchase Agreement, or the aggregate gross proceeds that we will receive from those purchases by Cantor under the Purchase Agreement.</w:t>
      </w:r>
    </w:p>
    <w:p>
      <w:pPr>
        <w:spacing w:after="0" w:line="110"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Because the market price of our Class A Common Stock may fluctuate from time to time after the date of this prospectus and, as a result, the actual purchase prices to be paid by Cantor for shares of our Class A Common Stock that we direct it to purchase under the Purchase Agreement, if any, also may fluctuate significantly based on the market price of our Class A Common Stock.</w:t>
      </w:r>
    </w:p>
    <w:p>
      <w:pPr>
        <w:spacing w:after="0" w:line="105" w:lineRule="exact"/>
        <w:rPr>
          <w:sz w:val="20"/>
          <w:szCs w:val="20"/>
          <w:color w:val="auto"/>
        </w:rPr>
      </w:pPr>
    </w:p>
    <w:p>
      <w:pPr>
        <w:jc w:val="both"/>
        <w:ind w:left="600" w:right="619" w:firstLine="416"/>
        <w:spacing w:after="0" w:line="266" w:lineRule="auto"/>
        <w:rPr>
          <w:sz w:val="20"/>
          <w:szCs w:val="20"/>
          <w:color w:val="auto"/>
        </w:rPr>
      </w:pPr>
      <w:r>
        <w:rPr>
          <w:rFonts w:ascii="Times New Roman" w:cs="Times New Roman" w:eastAsia="Times New Roman" w:hAnsi="Times New Roman"/>
          <w:sz w:val="17"/>
          <w:szCs w:val="17"/>
          <w:color w:val="auto"/>
        </w:rPr>
        <w:t>The number of shares of Class A Common Stock ultimately offered for sale by Cantor is dependent upon the number of shares, if any, we ultimately elect to sell to Cantor under the Purchase Agreement. However, even if we elect to sell shares of Class A Common Stock to Cantor pursuant to the Purchase Agreement, Cantor may resell all, some or none of such shares at any time or from time to time in its sole discretion and at different prices.</w:t>
      </w:r>
    </w:p>
    <w:p>
      <w:pPr>
        <w:spacing w:after="0" w:line="377"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Investors who buy shares of Class A Common Stock from the Holder at different times will likely pay different prices.</w:t>
      </w:r>
    </w:p>
    <w:p>
      <w:pPr>
        <w:spacing w:after="0" w:line="6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Pursuant to the Stock Purchase Agreement, we will have discretion, to vary the timing, price and number of shares sold to Cantor. If and when we elect to sell shares of Class A Common Stock to Cantor pursuant to the Purchase Agreement, after Cantor has acquired such shares, Cantor may resell all, some or none of such shares at any time or from time to time in its sole discretion and at different prices. As a result, investors who purchase shares from Cantor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Cantor in this offering as a result of future sales made by us to Cantor at prices lower than the prices such investors paid for their shares in this offering. In addition, if we sell a substantial number of shares to Cantor under the Purchase Agreement, or if investors expect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 w:name="page19"/>
    <w:bookmarkEnd w:id="1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that we will do so, the actual sales of shares or the mere existence of our arrangement with Cantor may make it more difficult for us to sell equity or equity-related securities in the future at a time and at a price that we might otherwise wish to effect such sales.</w:t>
      </w:r>
    </w:p>
    <w:p>
      <w:pPr>
        <w:spacing w:after="0" w:line="158"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are engaged in multiple transactions and offerings of our securities. Future resales and/or issuances of Class A Shares, including pursuant to this prospectus may cause the market price of our shares to drop significantly.</w:t>
      </w:r>
    </w:p>
    <w:p>
      <w:pPr>
        <w:spacing w:after="0" w:line="9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To the extent we sell Class A Shares under the Facility, substantial amounts of Class A Shares will be issued and available for resale by Cantor, which would cause dilution and represent a significant portion of our public float and may result in substantial decreases to the price of our Class A Common Stock. After Cantor has acquired shares under the Facility, Cantor may resell all, some or none of such Common Shares at any time or from time to time in its discretion and at different prices. If all of the 25,250,000 Class A Shares offered for resale by Cantor under this prospectus were issued and outstanding as of January 27, 2023, such Class A Shares would represent approximately 13.6% of the total number of our Class A Shares outstanding, after giving effect to such issuance.</w:t>
      </w:r>
    </w:p>
    <w:p>
      <w:pPr>
        <w:spacing w:after="0" w:line="112"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In addition to this prospectus covering the resale by Cantor of up to 25,250,000 shares of Class A Common Stock, we currently have an effective registration statement for (a) the offer and resale of an aggregate of up to 56,348,404 shares of Class A Shares held by certain selling securityholders, including (i) certain shares issued to investors in a previous private placement (the “PIPE Shares”) issued at $10.00 per share, (ii) securities held by our officers, directors and their affiliates which were originally issued as (1) Founder Shares in connection with ATSP’s IPO for approximately $0.009 per share and (2) as part of placement units in connection with ATSP’s IPO at a price of $10.00 per placement unit, and (iii) shares of Class A Common Stock exercisable under options held by certain selling securityholders which were assumed by us and converted into options of SoundHound AI in connection with the Business Combination and have an weighted average exercise price of $3.05 per share after giving effect to the Business Combination, (b) the resale by certain of our affiliates from time to time of up to 40,396,600 Class A Shares issuable upon conversion of Class B Shares issued pursuant to the Merger Agreement in connection with the Business Combination as merger consideration at an acquiror share value of $0.0073 per share, (c) the resale from time to time of up to 174,750 warrants issued in a previous private placement (the “Placement Warrants”), each exercisable for one share of Class A Common Stock at a price of $11.50, subject to adjustment, which were originally issued as part of placement units in connection with ATSP’s IPO at a price of $10.00 per placement unit and (d) the issuance by us of up to 3,457,996 Class A Shares upon the exercise of outstanding warrants to purchase our Class A Shares at an exercise price of $11.50, which were originally issued as part of the units in connection with ATSP’s IPO at a price of $10.00 per unit. We also recently closed the Transaction and issued shares of Series A Preferred Stock which are currently convertible into shares of Class A Common Stock equal to approximately 15% of the total shares of common stock outstanding prior to the Transaction (including shares of Class B Common Stock) and which can be convertible into a greater number of shares of Class A Common Stock as the shares of Series A Preferred Stock accrue dividends.</w:t>
      </w:r>
    </w:p>
    <w:p>
      <w:pPr>
        <w:spacing w:after="0" w:line="30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In connection with the Business Combination, our chief executive officer and certain of our other stockholders agreed that, subject to certain exceptions, they will not, during the period beginning at the effective time of the Business Combination and the date that is 1 year after the date of the Business Combination (subject to early release if the Company consummates a liquidation, merger, share exchange or other similar transaction with an unaffiliated third party), directly or indirectly, offer, sell, contract to sell, pledge, grant any option to purchase, make any short sale, or otherwise dispose of any shares of common stock, or any options or warrants to purchase any shares of common stock, or any securities convertible into, exchangeable for, or that represent the right to receive shares of common stock, or any interest in any of the foregoing.</w:t>
      </w:r>
    </w:p>
    <w:p>
      <w:pPr>
        <w:spacing w:after="0" w:line="11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Upon the expiration or waiver of the lock-up described above, shares held by these stockholders will be eligible for resale, potentially subject to, in the case of stockholders who are our affiliates, volume, manner of sale, and other limitations under Rule 144 promulgated under the Securities Act.</w:t>
      </w:r>
    </w:p>
    <w:p>
      <w:pPr>
        <w:spacing w:after="0" w:line="97"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In addition, shares of our Class A Common Stock issuable upon exercise or vesting of incentive awards under our incentive plans are, once issued, eligible for sale in the public market, subject to any lock-up agreements and, in some cases, limitations on volume and manner of sale applicable to affiliates under Rule 144. Furthermore, shares of our Class A Common Stock reserved for future issuance under SoundHound AI, Inc. 2022 Incentive Award Plan and SoundHound AI, Inc. 2022 ESPP may become available for sale in future.</w:t>
      </w:r>
    </w:p>
    <w:p>
      <w:pPr>
        <w:spacing w:after="0" w:line="306"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market price of shares of our Class A Common Stock could drop significantly if the holders of the shares described above sell them or are perceived by the market as intending to sell them. These factors could also make it more difficult for us to raise additional funds through future offerings of shares of our Class A Common Stock or other securities.</w:t>
      </w:r>
    </w:p>
    <w:p>
      <w:pPr>
        <w:sectPr>
          <w:pgSz w:w="11900" w:h="16838" w:orient="portrait"/>
          <w:cols w:equalWidth="0" w:num="1">
            <w:col w:w="9019"/>
          </w:cols>
          <w:pgMar w:left="1440" w:top="264"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9" w:name="page20"/>
    <w:bookmarkEnd w:id="1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use proceeds from sales of shares of our Class A Common Stock made pursuant to the Purchase Agreement in ways with which you may not agree or in ways which may not yield a significant return.</w:t>
      </w:r>
    </w:p>
    <w:p>
      <w:pPr>
        <w:spacing w:after="0" w:line="6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We will have broad discretion over the use of proceeds from sales of shares of our Class A Common Stock made pursuant to the Purchase Agreement, as described in the section entitled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 and you will not have the opportunity, as part of your investment decision, to assess whether the proceeds are being used appropriately. In addition, the ultimate use of the net proceeds may vary from the currently intended uses. The net proceeds may be used for corporate purposes that do not increase our operating results or enhance the value of our Class A Shares.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Related to SoundHound AI’s Business</w:t>
      </w:r>
    </w:p>
    <w:p>
      <w:pPr>
        <w:spacing w:after="0" w:line="21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The market in which SoundHound AI operates is highly competitive and rapidly changing and SoundHound AI may be unable to compete successfully.</w:t>
      </w:r>
    </w:p>
    <w:p>
      <w:pPr>
        <w:spacing w:after="0" w:line="7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There are a number of companies that develop or may develop products that compete in the Voice AI market. The market for SoundHound AI’s products and technologies is characterized by intense competition, evolving industry and regulatory standards, emerging business and distribution models, disruptive software technology developments, short product and service life cycles, price sensitivity on the part of customers, and frequent new product introductions, including alternatives to certain of SoundHound AI’s products from other vendors which may be offered at significantly lower costs or free of charge. Current and potential competitors have established, or may establish, cooperative relationships among themselves or with third parties to increase the ability of their technologies to address the needs of SoundHound AI’s current and prospective customers. Furthermore, current or prospective customers may decide to develop competing products or to establish, strategic relationships with SoundHound AI’s competitors.</w:t>
      </w:r>
    </w:p>
    <w:p>
      <w:pPr>
        <w:spacing w:after="0" w:line="112"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Competition in the Voice AI market could adversely affect SoundHound AI’s operating results by reducing the volume of the products and technologies SoundHound AI licenses or sells, the prices SoundHound AI can charge or the obligations of SoundHound AI to incur expenses or capital costs associated with the development, acquisition or promotion of new products or technologies. Some of SoundHound AI’s current or potential competitors are large technology companies that have significantly greater financial, technical and marketing resources than SoundHound AI does, and others are smaller specialized companies that possess specialized expertise or regional focus and may have greater price flexibility than SoundHound AI does in connection with their business models. These competitors may be able to respond more rapidly than SoundHound AI can to new or emerging technologies or changes in customer requirements, or may decide to offer products at low or unsustainable cost to win new business or to retain their existing clients. They may also devote greater resources to the development, promotion and sale of their products than SoundHound AI does, and in certain cases may be able to include or combine their competitive products or technologies with other of their products or technologies in a manner whereby the competitive functionality is available at lower cost or free of charge within the larger offering. To the extent they do so, the penetration of SoundHound AI’s products, and therefore its revenue, may be adversely affected. SoundHound AI’s large competitors may also have greater access to customer data, which provides them with a competitive advantage in developing new products and technologies. SoundHound AI’s success depends substantially upon its ability to enhance its products and technologies, to develop and introduce, on a timely and cost-effective basis, new products and technologies that meet changing customer requirements and incorporate technological enhancements, and to maintain SoundHound AI’s alignment with the technologies and market strategies of its customers, which change and advance over time. If SoundHound AI is unable to develop new products and enhance functionalities or technologies to adapt to these changes and maintain SoundHound AI’s alignment with its customers, its business will suffer.</w:t>
      </w:r>
    </w:p>
    <w:p>
      <w:pPr>
        <w:spacing w:after="0" w:line="381"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Adverse conditions in the Voice AI market or the global economy more generally could have adverse effects on SoundHound AI’s results of operations.</w:t>
      </w:r>
    </w:p>
    <w:p>
      <w:pPr>
        <w:spacing w:after="0" w:line="6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SoundHound AI’s business depends on, and is directly affected by, the global Voice AI market, as well as the global economy more generally, including global economic trends affecting the automotive, internet of things (“IoT”), mobile application, call center, semiconductor device maker and restaurant and hospitality industries. For example, SoundHound AI’s largest customers are currently in the automotive industry, and automotive production and sales are highly cyclical and depend on general economic conditions and other factors, including consumer spending and preferences, changes in interest rate levels and credit availability, consumer confidence, fuel costs, fuel availability,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 w:name="page21"/>
    <w:bookmarkEnd w:id="2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environmental impact, governmental incentives and regulatory requirements, and political volatility, especially in energy-producing countries and growth markets. Such factors may also negatively impact consumer demand for products, including automobiles, that incorporate or use SoundHound AI products or technologies. In addition, global production and sales trends can be affected by SoundHound AI’s customers’ ability to continue operating in response to challenging economic conditions, and in response to labor relations issues, regulatory requirements, trade agreements and other factors. The volume of global automotive production, in particular, has fluctuated, sometimes significantly, from year to year, and such fluctuations give rise to fluctuations in the demand for SoundHound AI’s products. Any significant adverse change in any of these factors, including, but not limited to, general economic conditions and the resulting bankruptcy of a customer or the closure of a customer manufacturing facility, may result in a reduction in sales and production by SoundHound AI’s customers, and could have a material adverse effect on SoundHound AI’s business, results of operations and financial condition.</w:t>
      </w:r>
    </w:p>
    <w:p>
      <w:pPr>
        <w:spacing w:after="0" w:line="387"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SoundHound AI’s strategy to increase cloud connected and embedded products and technologies and expand the number of foreign languages SoundHound AI understands may adversely affect its near-term revenue growth and results of operations.</w:t>
      </w:r>
    </w:p>
    <w:p>
      <w:pPr>
        <w:spacing w:after="0" w:line="96"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 has been and is continuing to develop new cloud-connected and embedded products and technologies and expand the number of foreign languages that its products and technologies understand. The design and development of new cloud-connected and embedded products and technologies and the addition of new languages will involve significant expense. SoundHound AI’s research and development costs have greatly increased in recent years and, together with certain expenses associated with delivering SoundHound AI’s connected services, are projected to continue to escalate in the near future. SoundHound AI may encounter difficulties with designing, developing, and releasing new cloud-connected and embedded components, as well as integrating these components with SoundHound AI’s existing technologies. These development issues may further increase costs and may affect SoundHound AI’s ability to innovate in a manner that allows SoundHound AI to remain competitive relative to its peers. As a result, SoundHound AI’s strategy to incorporate more cloud-connected and embedded components may adversely affect its revenue growth and results of operations.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Pricing pressures from SoundHound AI’s customers may adversely affect its results of operations.</w:t>
      </w:r>
    </w:p>
    <w:p>
      <w:pPr>
        <w:spacing w:after="0" w:line="159"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SoundHound AI may experience pricing pressure from its customers in the future, including, relative to its automotive industry customers, pricing pressure resulting from the strong purchasing power of major OEMs SoundHound AI may be expected to quote fixed prices or be forced to accept prices with annual price reduction commitments for long-term sales arrangements or discounted reimbursements for SoundHound AI’s work. Any price reductions could impact SoundHound AI’s sales and profit margins. SoundHound AI’s profitability is also influenced by its success in designing and marketing technological improvements in Voice AI systems. If SoundHound AI is unable to offset any price reductions in the future, its business, results of operations and financial condition would be adversely affected.</w:t>
      </w:r>
    </w:p>
    <w:p>
      <w:pPr>
        <w:spacing w:after="0" w:line="173" w:lineRule="exact"/>
        <w:rPr>
          <w:sz w:val="20"/>
          <w:szCs w:val="20"/>
          <w:color w:val="auto"/>
        </w:rPr>
      </w:pPr>
    </w:p>
    <w:p>
      <w:pPr>
        <w:jc w:val="both"/>
        <w:ind w:left="600" w:right="619"/>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Currently, SoundHound AI’s largest customers are OEMs, and while SoundHound AI invests effort and money seeking OEMs’ validation of SoundHound AI’s technology, and there can be no assurance that SoundHound AI will win or be able to renew its contracts with OEM customers, which could adversely affect SoundHound AI’s results of operations.</w:t>
      </w:r>
    </w:p>
    <w:p>
      <w:pPr>
        <w:spacing w:after="0" w:line="8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Some of SoundHound AI’s largest customers are currently OEMs and SoundHound AI invests effort and money in product research and development in relationship to SoundHound AI’s OEM customers from the time an OEM or a “Tier 1” supplier to OEMs begins designing for an upcoming program through the date on which an OEM or Tier 1 supplier customer chooses SoundHound AI’s technology to be incorporated directly or indirectly into one or more specific vehicle models to be produced by such customer. This selection process is known as a “design win.” SoundHound AI could expend its resources on these and similar efforts without success. After a design win, a product or technology that did not receive the design win may not be able to displace the winner until the customer begins a new selection process because it is very unlikely that a customer will change complex technology until a product model is revamped. In addition, the company with the winning design may have an advantage with the customer going forward because of the established relationship between the winning company and such customer, which could make it more difficult for such company’s competitors to win the designs for other service contracts. Even if SoundHound AI has an established relationship with a customer, any failure to perform under a service contract or innovate in response to their feedback may neutralize its advantage with that customer. If SoundHound AI fails to win a significant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 w:name="page22"/>
    <w:bookmarkEnd w:id="2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4" w:lineRule="auto"/>
        <w:rPr>
          <w:sz w:val="20"/>
          <w:szCs w:val="20"/>
          <w:color w:val="auto"/>
        </w:rPr>
      </w:pPr>
      <w:r>
        <w:rPr>
          <w:rFonts w:ascii="Times New Roman" w:cs="Times New Roman" w:eastAsia="Times New Roman" w:hAnsi="Times New Roman"/>
          <w:sz w:val="17"/>
          <w:szCs w:val="17"/>
          <w:color w:val="auto"/>
        </w:rPr>
        <w:t>number of customer design competitions in the future or to renew a significant number of existing service contracts, SoundHound AI’s operating results would be adversely affected. Moreover, to the extent SoundHound AI is unable to renew existing service contracts, this would negatively impact its revenue. The period of time from winning a contract to implementation is long and SoundHound AI is subject to the risks of cancellation or postponement of the contract or unsuccessful implementation.</w:t>
      </w:r>
    </w:p>
    <w:p>
      <w:pPr>
        <w:spacing w:after="0" w:line="10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AI’s products are technologically complex and incorporate many technological innovations. Prospective customers generally must make significant commitments of resources to test and validate SoundHound AI’s products before including them in a product or vehicle. The development cycles of SoundHound AI’s products with new customers are approximately six months to two years after a design win, depending on the customer and the complexity of the product. These development cycles result in SoundHound AI investing its resources in customers and customer products prior to realizing any revenues from the related customer contracts. Further, SoundHound AI is subject to the risk that a customer cancels or postpones implementation of SoundHound AI’s technology, as well as that SoundHound AI will not be able to implement its technology successfully. Additionally, SoundHound AI’s sales could be less than forecast if the product is unsuccessful, including for reasons unrelated to its technology. Long development cycles and product cancellations or postponements may adversely affect SoundHound AI’s business, results of operations.</w:t>
      </w:r>
    </w:p>
    <w:p>
      <w:pPr>
        <w:spacing w:after="0" w:line="170"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operating results could be materially and adversely affected if it loses any of its largest customers.</w:t>
      </w:r>
    </w:p>
    <w:p>
      <w:pPr>
        <w:spacing w:after="0" w:line="7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loss of business from any of SoundHound AI’s major customers, whether by lower overall demand for the products manufactured by its major customers, cancellation of existing contracts or the failure to award SoundHound AI new business, could have a material adverse effect on SoundHound AI’s operating results. Alternatively, there is a risk that one or more of SoundHound AI’s major customers could be unable to pay its invoices as they become due or that a customer will simply refuse to make such payments given its financial difficulties. If a major customer becomes subject to bankruptcy or similar proceedings whereby contractual commitments are subject to stay of execution and the possibility of legal or other modification, or if a major customer otherwise successfully procures protection against SoundHound AI legally enforcing its obligations, it is likely that SoundHound AI will be forced to record a substantial loss. In addition, certain of SoundHound AI’s customers that are tier 1 suppliers to the automotive industry exclusively sell to certain OEMs, including some of SoundHound AI’s other customers. A bankruptcy of, or other significant disruption to, any of these OEMs could intensify any adverse impact on our business and results of operations.</w:t>
      </w:r>
    </w:p>
    <w:p>
      <w:pPr>
        <w:spacing w:after="0" w:line="103"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During the 12 months ended December 31, 2020 and 2021, respectively, two and three customers accounted for the following approximate percentages of SoundHound AI’s total revenues during the applicable period: 43% and 61%. However, the majority of these revenues were from non-refundable upfront payments (as opposed to subscription services), where SoundHound AI performed their contractual obligations related to the services prior to December 31, 2021 and the related revenues are recognized over time for GAAP accounting purposes. For the nine months ended September 30, 2022 and 2021, respectively, four and two customers accounted for 77% and 57% of revenue. For the three months ended September 30, 2022, the Company had one customer that accounted for 63% of revenue, and for the three months ended September 30, 2021, the Company had three customers that accounted for 50% of revenue. At September 30, 2022, accounts receivable balances due from two customers collectively totaled 65% of the Company’s condensed consolidated accounts receivable balance compared to accounts receivable balances due from five customers collectively totaling 86% of the Company’s condensed consolidated accounts receivable balance at December 31, 2021.</w:t>
      </w:r>
    </w:p>
    <w:p>
      <w:pPr>
        <w:spacing w:after="0" w:line="116"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 addition to upfront payments pursuant to professional services or custom engineering agreements, SoundHound AI generally enters into master service agreements with its largest customers and also provides them with engineering and custom services. Our largest current customers entered into master services agreements with SoundHound AI pursuant to which they are provided Houndify Cloud Services and, in some cases, associated services on an as-needed basis. The license fees that SoundHound AI receives under our master services agreements are either fixed minimum monthly hosting fees with overage charges based on usage, or determined based on the volume of products that our customers sell that utilize SoundHound AI technology. Our master services agreements generally renew automatically for one year terms and are terminable by the customer upon prior written notice of six months to one year. As of the date of this prospectus, SoundHound AI has no reason to believe that its largest customers will discontinue or reduce its usage of SoundHound AI services.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 w:name="page23"/>
    <w:bookmarkEnd w:id="2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operating results may fluctuate significantly from period to period, and this may cause its stock price to decline.</w:t>
      </w:r>
    </w:p>
    <w:p>
      <w:pPr>
        <w:spacing w:after="0" w:line="6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AI’s operating results may fluctuate materially in the future. These fluctuations may cause SoundHound AI’s results of operations to not meet the expectations of securities analysts or investors which would likely cause the price of its stock to decline. Factors that may contribute to fluctuations in operating results include:</w:t>
      </w:r>
    </w:p>
    <w:p>
      <w:pPr>
        <w:spacing w:after="0" w:line="105" w:lineRule="exact"/>
        <w:rPr>
          <w:sz w:val="20"/>
          <w:szCs w:val="20"/>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volume, timing and fulfilment of large customer contracts;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renewals of existing customer contracts and wins of new customer programs;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expenditures incurred pursuing new product or market opportunities;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royalty reports;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fluctuating sales by SoundHound AI’s customers to their end-users;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contractual counterparties failing to meet their contractual commitments to SoundHound AI;</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 of new products by SoundHound AI or its competitors;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or data breaches;</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reduction in the prices of SoundHound AI’s products in response to competition, market conditions or contractual obligations;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costs to raise cash in the market place, including increased borrowing costs as a result of inflation;</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accounts receivable that are not collectible;</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than anticipated costs related to fixed-price contracts with SoundHound AI’s customers;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in costs due to regulatory or trade restrictions;</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in litigation matters, whether initiated by SoundHound AI or brought by third-parties against SoundHound AI, and settlements or judgments it is required to pay in connection with disputes; and</w:t>
      </w:r>
    </w:p>
    <w:p>
      <w:pPr>
        <w:spacing w:after="0" w:line="84"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trends as they affect the customer bases into which SoundHound AI and its customers sell and operate.</w:t>
      </w:r>
    </w:p>
    <w:p>
      <w:pPr>
        <w:spacing w:after="0" w:line="81"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Due to the foregoing factors, among others, SoundHound AI’s revenue and operating results may fluctuate significantly from period to period. SoundHound AI’s expense levels are based in significant part on its expectations of future revenue, and SoundHound AI may not be able to reduce its expenses quickly to respond to near-term shortfalls in projected revenue. Therefore, SoundHound AI’s failure to meet revenue expectations would seriously harm its operating results, financial condition, and cash flows.</w:t>
      </w:r>
    </w:p>
    <w:p>
      <w:pPr>
        <w:spacing w:after="0" w:line="16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 has generated substantial net losses and negative operating cash flows since its inception and expects to continue to do so for the foreseeable future.</w:t>
      </w:r>
    </w:p>
    <w:p>
      <w:pPr>
        <w:spacing w:after="0" w:line="6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To date, SoundHound AI has generated substantial net losses and negative cash flows from operating activities. SoundHound AI is continuing to implement its Restructuring Plan in an effort to reduce such losses and accelerate a pathway to profitability, however there is no guarantee that the Restructuring Plan will be successful. If such Restructuring Plan is unsuccessful, SoundHound AI expects that its net losses and its negative operating cash flows will continue for the foreseeable future. SoundHound AI also expects to incur the incremental costs of operating as a public company, contributing to SoundHound AI’s losses and operating uses of cash. SoundHound AI’s costs may also increase due to such factors as higher than anticipated financing and other costs; increases in the costs of labor or infrastructure, in particular, following the implementation of the Restructuring Plan; and major incidents or catastrophic events. If any of these or similar factors occur, SoundHound AI’s net losses and accumulated deficit could increase significantly and the price of shares of its Class A Common Stock could decline.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 w:name="page24"/>
    <w:bookmarkEnd w:id="2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 will require additional capital to continue its planned business operations but may not be able to obtain such capital when desired on favorable terms, if at all, or without dilution to its stockholders.</w:t>
      </w:r>
    </w:p>
    <w:p>
      <w:pPr>
        <w:spacing w:after="0" w:line="38"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 will require additional capital to continue its planned business operations. SoundHound AI implemented its Restructuring Plan to reduce the amount of capital required to meet its current business needs, but anticipates that current cash, cash equivalents, cash provided by operating activities and funds available through SoundHound AI’s working capital line of credit, will, alone, not be sufficient to meet its anticipated needs for business operations and general corporate purposes. SoundHound AI operates in an emerging market which makes SoundHound AI’s prospects difficult to evaluate and SoundHound AI has not generated sufficient cash flow from operations or otherwise have the capital resources to meet SoundHound AI’s future capital needs. Accordingly, SoundHound AI will need additional financing to execute on its current or future business strategies, including to:</w:t>
      </w:r>
    </w:p>
    <w:p>
      <w:pPr>
        <w:spacing w:after="0" w:line="77" w:lineRule="exact"/>
        <w:rPr>
          <w:sz w:val="20"/>
          <w:szCs w:val="20"/>
          <w:color w:val="auto"/>
        </w:rPr>
      </w:pPr>
    </w:p>
    <w:p>
      <w:pPr>
        <w:ind w:left="1440" w:right="619" w:hanging="418"/>
        <w:spacing w:after="0" w:line="293" w:lineRule="auto"/>
        <w:tabs>
          <w:tab w:leader="none" w:pos="14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hire additional software engineers, sales and marketing professionals, and other personnel as needed following implementation of the Restructuring Plan;</w:t>
      </w:r>
    </w:p>
    <w:p>
      <w:pPr>
        <w:spacing w:after="0" w:line="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new or enhance existing products and services;</w:t>
      </w:r>
    </w:p>
    <w:p>
      <w:pPr>
        <w:spacing w:after="0" w:line="116"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 SoundHound AI’s operating infrastructure;</w:t>
      </w:r>
    </w:p>
    <w:p>
      <w:pPr>
        <w:spacing w:after="0" w:line="116"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complementary businesses or technologies; or</w:t>
      </w:r>
    </w:p>
    <w:p>
      <w:pPr>
        <w:spacing w:after="0" w:line="116"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respond to competitive pressures.</w:t>
      </w:r>
    </w:p>
    <w:p>
      <w:pPr>
        <w:spacing w:after="0" w:line="11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If SoundHound AI raises additional funds through the issuance of equity or convertible debt securities, the percentage ownership of its stockholders could be significantly diluted, and these newly-issued securities may have rights, preferences or privileges senior to those of existing stockholders, including those acquiring shares in this offering. SoundHound AI cannot assure you that additional financing will be available on terms favorable to SoundHound AI, or at all, particularly in light of inflationary pressures and resulting increases in the cost of borrowing. If adequate funds are not available or are not available on acceptable terms, if and when needed, SoundHound AI’s ability to fund its operations, take advantage of unanticipated opportunities, develop or enhance its products, or otherwise respond to competitive pressures would be significantly limited.</w:t>
      </w:r>
    </w:p>
    <w:p>
      <w:pPr>
        <w:spacing w:after="0" w:line="134"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The loss of one or more key members of SoundHound AI’s management team or personnel, or its failure to attract, integrate and retain additional personnel in the future, could harm its business and negatively affect its ability to successfully grow its business.</w:t>
      </w:r>
    </w:p>
    <w:p>
      <w:pPr>
        <w:spacing w:after="0" w:line="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 is highly dependent upon the continued service and performance of the key members of SoundHound AI’s management team and other personnel. The loss of any of these individuals, each of whom is “at will” and may terminate his or her employment relationship with us at any time, could disrupt SoundHound AI’s operations and significantly delay or prevent the achievement of our business objectives.</w:t>
      </w:r>
    </w:p>
    <w:p>
      <w:pPr>
        <w:spacing w:after="0" w:line="66"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Additionally, if any of SoundHound AI’s key management team members or other employees were to leave, SoundHound AI could face substantial difficulty in hiring qualified successors, particularly with consideration to our recent reduction in force related to our Restructuring Plan, and could experience a loss in productivity while any successor obtains the necessary training and experience. Although SoundHound AI has arrangements with some of its executive officers designed to promote retention, its employment relationships are generally at-will and SoundHound AI has had key employees leave in the past. SoundHound AI cannot assure you that one or more key employees will not leave in the future. SoundHound AI intends to continue to hire additional highly qualified personnel as needed (with consideration to the Restructuring Plan), including research and development and operational personnel, but may not be able to attract, assimilate or retain qualified personnel in the future or may be required to pay increased compensation in order to do so. Any failure to attract, integrate, motivate and retain such employees could harm SoundHound AI’s business or impair our ability to timely meet business goals and objectives.</w:t>
      </w:r>
    </w:p>
    <w:p>
      <w:pPr>
        <w:spacing w:after="0" w:line="1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SoundHound AI depends on skilled employees and could be impacted by a shortage of critical skills.</w:t>
      </w:r>
    </w:p>
    <w:p>
      <w:pPr>
        <w:spacing w:after="0" w:line="12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Much of SoundHound AI’s future success depends on the continued service and availability of skilled employees, particularly with respect to technical areas. Skilled and experienced personnel in the areas where SoundHound AI competes are in high demand, and competition for their talents is intense. Many of SoundHound AI’s key employees receive a total compensation package that includes equity awards. New regulations or volatility in the stock market could diminish SoundHound AI’s use, and the value, of its equity awards. This would place SoundHound AI at a competitive disadvantage in attracting qualified personnel or force it to offer more cash compensation.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 w:name="page25"/>
    <w:bookmarkEnd w:id="2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Cybersecurity and data privacy incidents or breaches may damage client relations and inhibit SoundHound AI’s growth.</w:t>
      </w:r>
    </w:p>
    <w:p>
      <w:pPr>
        <w:spacing w:after="0" w:line="64"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confidentiality and security of SoundHound AI’s information, and that of third parties, is critical to SoundHound AI’s business. SoundHound AI’s services involve the transmission, use, and storage of customers’ and their customers’ information, which may be confidential or contain personally identifiable information. Any cybersecurity or data privacy incidents could have a material adverse effect on SoundHound AI’s results of operations and financial condition. While SoundHound AI maintains a broad array of information security and privacy measures, policies and practices, its networks may be breached through a variety of means, resulting in someone obtaining unauthorized access to SoundHound AI’s information, to information of SoundHound AI’s customers or their customers, or to SoundHound AI’s intellectual property; disabling or degrading service; or sabotaging systems or information. In addition, hardware, software, systems, or applications SoundHound AI develops or procure from third parties may contain defects in design or manufacture or other problems that could unexpectedly compromise information security. Unauthorized parties may also attempt to gain access to SoundHound AI’s systems or facilities, or those of third parties with whom SoundHound AI does business, through fraud or other forms of deceiving SoundHound AI’s employees, contractors, and vendors. Because the techniques used to obtain unauthorized access, or to sabotage systems, change frequently and generally are not recognized until launched against a target, SoundHound AI may be unable to anticipate these techniques or to implement adequate preventative measures. SoundHound AI will continue to incur significant costs to continuously enhance its information security measures to defend against the threat of cybercrime. Any cybersecurity or data privacy incident or breach may result in:</w:t>
      </w:r>
    </w:p>
    <w:p>
      <w:pPr>
        <w:spacing w:after="0" w:line="117" w:lineRule="exact"/>
        <w:rPr>
          <w:sz w:val="20"/>
          <w:szCs w:val="20"/>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 resulting from the operational disruption;</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 or increased bad debt expense due to the inability to invoice properly or to customer dissatisfaction resulting in collection issues;</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 due to loss of customers;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remediation costs to recreate or restore systems;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investments in new or enhanced systems in order to enhance SoundHound AI’s information security posture;</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of incentives offered to customers to restore confidence and maintain business relationships;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reputational damage resulting in the failure to retain or attract customers;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potential litigation or governmental investigations;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any required notices of a data breach;</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the potential loss of critical business data;</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enhancing or creating new products due to loss of data or data integrity issues; and</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consequences of which SoundHound AI is not currently aware but would discover through the process of remediating any cybersecurity or data privacy incidents or breaches that may occur.</w:t>
      </w:r>
    </w:p>
    <w:p>
      <w:pPr>
        <w:spacing w:after="0" w:line="142"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business is subject to a variety of domestic and international laws, rules, policies and other obligations, including data protection and anticorruption.</w:t>
      </w:r>
    </w:p>
    <w:p>
      <w:pPr>
        <w:spacing w:after="0" w:line="7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 is subject to U.S. and international laws and regulations in multiple areas, including data protection, anticorruption, labor relations, tax, foreign currency, anti-competition, import, export and trade regulations, and SoundHound AI is subject to a complex array of federal, state and international laws relating to the collection, use, retention, disclosure, security and transfer of personally identifiable information. In many cases, these laws apply not only to transfers between unrelated third-parties but also to transfers between SoundHound AI and its subsidiaries. Many jurisdictions have passed laws in this area, and other jurisdictions are considering imposing additional restrictions. The European Commission adopted the European General Data Protection Regulation (the “GDPR”), which went into effect on May 25, 2018. In addition, California adopted significant new consumer privacy laws that became effective beginning in January 2020. Complying with the GDPR and other requirements may cause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 w:name="page26"/>
    <w:bookmarkEnd w:id="2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59" w:lineRule="auto"/>
        <w:rPr>
          <w:sz w:val="20"/>
          <w:szCs w:val="20"/>
          <w:color w:val="auto"/>
        </w:rPr>
      </w:pPr>
      <w:r>
        <w:rPr>
          <w:rFonts w:ascii="Times New Roman" w:cs="Times New Roman" w:eastAsia="Times New Roman" w:hAnsi="Times New Roman"/>
          <w:sz w:val="17"/>
          <w:szCs w:val="17"/>
          <w:color w:val="auto"/>
        </w:rPr>
        <w:t>SoundHound AI to incur substantial costs and may require it to change our business practices. Additionally, China has recently implemented new regulation pertaining to cybersecurity and the protection of personal information, including the Data Security Law which took effect in September 2001 and the Personal Information Protection Law which took effect in November 2021. Interpretation, application and enforcement of these laws, rules and regulations evolve from time to time and their scope may continually change, through new legislation, amendments to existing legislation or changes in enforcement. Compliance with cybersecurity and data security legislation could significantly increase the cost to SoundHound AI of carrying out its business in China, require significant changes to its operations or even prevent SoundHound AI from providing certain service offerings in jurisdictions in which SoundHound AI currently operates or in which it may operate in the future.</w:t>
      </w:r>
    </w:p>
    <w:p>
      <w:pPr>
        <w:spacing w:after="0" w:line="323"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Despite SoundHound AI’s efforts to comply with applicable laws, regulations and other obligations relating to privacy, data protection and information security, it is possible that SoundHound AI’s practices, offerings or platform could fail to meet all of the requirements imposed on SoundHound AI by legislation relating to cybersecurity, data security and/or related implementing regulations. Any failure on SoundHound AI’s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SoundHound AI’s reputation, discourage new and existing counterparties from contracting with SoundHound AI or result in investigations, fines, suspension or other penalties and private claims or litigation, any of which could materially adversely affect SoundHound AI’s business, financial condition and results of operations. Even if SoundHound AI’s practices are not subject to legal challenge, the perception of privacy concerns, whether or not valid, may harm its reputation and brand and adversely affect its business, financial condition and results of operations. Moreover, the legal uncertainty created by certain of these laws, including the Data Security Law, and recent government actions could materially adversely affect its ability, on favorable terms, to raise capital, including engaging in follow-on offerings of its securities in the U.S. market once SoundHound AI is a public. Compliance with data security and personal information protection laws, may result in additional expenses to SoundHound AI and subject it to negative publicity, which could harm SoundHound AI’s reputation among users and negatively affect the trading price of its shares in the future. Furthermore, SoundHound AI’s data transfer policies may be subject to additional compliance requirement and regulatory burdens, and SoundHound AI may be required to make further adjustments to its business practices to comply with the interpretation and implementation of such laws, which may increase our compliance costs and adversely affect our operating results.</w:t>
      </w:r>
    </w:p>
    <w:p>
      <w:pPr>
        <w:spacing w:after="0" w:line="11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Any failure by SoundHound AI, its customers or other parties with whom SoundHound AI does business to comply with its privacy policy or with federal, state or international privacy-related or data protection laws and regulations could result in proceedings against SoundHound AI by governmental entities or others. Any alleged or actual failure to comply with applicable privacy laws and regulations may:</w:t>
      </w:r>
    </w:p>
    <w:p>
      <w:pPr>
        <w:spacing w:after="0" w:line="92" w:lineRule="exact"/>
        <w:rPr>
          <w:sz w:val="20"/>
          <w:szCs w:val="20"/>
          <w:color w:val="auto"/>
        </w:rPr>
      </w:pPr>
    </w:p>
    <w:p>
      <w:pPr>
        <w:ind w:left="1440" w:hanging="418"/>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SoundHound AI’s customers to lose confidence in its solutions;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harm SoundHound AI’s reputation;</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expose SoundHound AI to litigation, regulatory investigations and to resulting liabilities including reimbursement of customer costs, damages penalties or fines imposed by regulatory agencies; and</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SoundHound AI to incur significant expenses for remediation.</w:t>
      </w:r>
    </w:p>
    <w:p>
      <w:pPr>
        <w:spacing w:after="0" w:line="155"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SoundHound AI is also subject to a variety of anticorruption laws in respect of its international operations, including the U.S. Foreign Corrupt Practices Act, the U.K. Bribery Act and the Canadian Corruption of Foreign Public Officials Act, and regulations issued by the U.S. Customs and Border Protection, the U.S. Bureau of Industry and Security, the U.S. Treasury Department’s Office of Foreign Assets Control, and various other foreign governmental agencies. SoundHound AI cannot predict the nature, scope or effect of future regulatory requirements to which its international operations might be subject or the manner in which existing laws might be administered or interpreted. Actual or alleged violations of these laws and regulations could lead to enforcement actions and financial penalties that could result in substantial costs.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 w:name="page27"/>
    <w:bookmarkEnd w:id="2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Because a significant portion of SoundHound AI’s revenues are derived, and a significant portion of its research and development activities are based, outside the United States, its results could be harmed by economic, political, regulatory, foreign currency fluctuations and other risks associated with these international regions.</w:t>
      </w:r>
    </w:p>
    <w:p>
      <w:pPr>
        <w:spacing w:after="0" w:line="89"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Because SoundHound AI operates worldwide, its business is subject to risks associated with doing business internationally. SoundHound AI currently generates most of its international revenue in Europe and Asia, and SoundHound AI anticipates that revenue from international operations could increase in the future. SoundHound AI conducts a significant portion of the development of its voice recognition and natural language understanding solutions in Canada, Germany, Japan and China. SoundHound AI is exposed to fluctuating exchange rates of foreign currencies including the euro, British pound, Canadian dollar, Chinese RMB, Japanese yen, Indian rupee and South Korean won. Accordingly, SoundHound AI’s future results could be harmed by a variety of factors associated with international sales and operations, including:</w:t>
      </w:r>
    </w:p>
    <w:p>
      <w:pPr>
        <w:spacing w:after="0" w:line="112" w:lineRule="exact"/>
        <w:rPr>
          <w:sz w:val="20"/>
          <w:szCs w:val="20"/>
          <w:color w:val="auto"/>
        </w:rPr>
      </w:pPr>
    </w:p>
    <w:p>
      <w:pPr>
        <w:ind w:left="1440" w:right="619" w:hanging="418"/>
        <w:spacing w:after="0" w:line="293" w:lineRule="auto"/>
        <w:tabs>
          <w:tab w:leader="none" w:pos="14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political and economic conditions, or changes to such conditions, in a specific region or country;</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85" w:lineRule="auto"/>
        <w:tabs>
          <w:tab w:leader="none" w:pos="14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 protection measures, including tariffs and import/export controls, imposed by the United States and/or by other countries or regional authorities such as China, Canada or the European Union;</w:t>
      </w:r>
    </w:p>
    <w:p>
      <w:pPr>
        <w:spacing w:after="0" w:line="289"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on local and global economies of the United Kingdom leaving the European Union;</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foreign currency exchange rates or the lack of ability to hedge certain foreign currencies;</w:t>
      </w:r>
    </w:p>
    <w:p>
      <w:pPr>
        <w:spacing w:after="0" w:line="155" w:lineRule="exact"/>
        <w:rPr>
          <w:rFonts w:ascii="Times New Roman" w:cs="Times New Roman" w:eastAsia="Times New Roman" w:hAnsi="Times New Roman"/>
          <w:sz w:val="17"/>
          <w:szCs w:val="17"/>
          <w:color w:val="auto"/>
        </w:rPr>
      </w:pPr>
    </w:p>
    <w:p>
      <w:pPr>
        <w:ind w:left="1440" w:right="639" w:hanging="418"/>
        <w:spacing w:after="0" w:line="293" w:lineRule="auto"/>
        <w:tabs>
          <w:tab w:leader="none" w:pos="14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laws and regulations in many countries and any subsequent changes in such laws and regulations;</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geopolitical turmoil, including terrorism and war, including, for example, the war in Ukraine;</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data privacy regulations and customer requirements to locate data centers in certain jurisdictions;</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evolving restrictions on cross-border investment, including recent enhancements to the oversight by the Committee on Foreign Investment in the United States pursuant to the Foreign Investment Risk Preview Modernization Act and substantial restrictions on investment from China;</w:t>
      </w:r>
    </w:p>
    <w:p>
      <w:pPr>
        <w:spacing w:after="0" w:line="84"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tax laws;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operations in multiple locations in many countries;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longer payment cycles of foreign customers and timing of collections in foreign jurisdictions; and</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effective protection of intellectual property than in the United States.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business in China is subject to aggressive competition and is sensitive to economic, market and political conditions.</w:t>
      </w:r>
    </w:p>
    <w:p>
      <w:pPr>
        <w:spacing w:after="0" w:line="7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SoundHound AI operates in the highly competitive Voice AI market in China and face competition from both international and smaller domestic manufacturers. SoundHound AI currently generates less than $1.0 million annually in revenue from its operations in China, though SoundHound AI expects to expand its business in China going forward. SoundHound AI anticipates that additional competitors, both international and domestic, may seek to enter the Chinese market resulting in increased competition. Increased competition may result in price reductions, reduced margins and SoundHound AI’s inability to gain or hold market share. There have been periods of increased market volatility and moderation in the levels of economic growth in China, which resulted in periods of lower automotive production growth rates in China than those previously experienced, including in the Chinese automotive production industry, which affects SoundHound AI because SoundHound AI’s largest customers are currently OEMs. In addition, political tensions between China and the United States may negatively impact SoundHound AI’s ability to conduct business in China. If SoundHound AI is unable to grow or maintain its position in the Chinese market, the pace of growth slows or vehicle sales in China decrease, SoundHound AI’s business, results of operations and financial condition could be materially adversely effected. Government regulations and business considerations may also require SoundHound AI to conduct business in China through joint ventures with Chinese companies. SoundHound AI’s participation in joint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7" w:name="page28"/>
    <w:bookmarkEnd w:id="2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ventures would limit its control over Chinese operations and may expose SoundHound AI’s proprietary technologies to misappropriation by joint venture partners. The above risks, if realized, could have a material adverse effect on SoundHound AI’s results of operations.</w:t>
      </w:r>
    </w:p>
    <w:p>
      <w:pPr>
        <w:spacing w:after="0" w:line="158" w:lineRule="exact"/>
        <w:rPr>
          <w:sz w:val="20"/>
          <w:szCs w:val="20"/>
          <w:color w:val="auto"/>
        </w:rPr>
      </w:pPr>
    </w:p>
    <w:p>
      <w:pPr>
        <w:jc w:val="both"/>
        <w:ind w:left="600" w:right="619"/>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If the Chinese government deems that the contractual arrangements in relation to SoundHound AI’s variable interest entity do not comply with Chinese governmental restrictions on foreign investment, or if these regulations or the interpretation of existing regulations changes in the future, SoundHound AI could be subject to penalties or be forced to relinquish SoundHound AI’s interests in those operations.</w:t>
      </w:r>
    </w:p>
    <w:p>
      <w:pPr>
        <w:spacing w:after="0" w:line="10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SoundHound AI currently generates less than $1.0 million annually in revenue from its operations in China, though SoundHound AI expects to expand its business in China going forward. Foreign ownership of certain types of internet businesses, such as internet information services, is subject to restrictions under applicable Chinese laws, rules and regulations. For example, foreign investors are generally not permitted to own more than 50% of the equity interests in a value-added telecommunication service provider. Any such foreign investor must also have experience and a good track record in providing value-added telecommunications services overseas. Accordingly, under current and applicable Chinese laws, it is possible that SoundHound AI will lose the license that currently permits its operations of its Chinese subsidiary.</w:t>
      </w:r>
    </w:p>
    <w:p>
      <w:pPr>
        <w:spacing w:after="0" w:line="112"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It is uncertain whether any new Chinese laws, rules or regulations relating to variable interest entity structures will be adopted or if adopted, what they would provide. If SoundHound AI or its variable interest entity are found to be in violation of any existing or future Chinese laws, rules or regulations, or fail to obtain or maintain any of the required permits or approvals, the relevant Chinese regulatory authorities would have broad discretion to take action in dealing with such violations or failures, including revoking the operating licenses of its Chinese subsidiary or variable interest entity, requiring SoundHound AI to discontinue or restrict its operations, restricting its right to collect revenue, blocking one or more of its websites, requiring SoundHound AI to restructure its operations or taking other regulatory or enforcement actions against SoundHound AI. The imposition of any of these measures could result in a material adverse effect on SoundHound AI’s ability to conduct all or any portion of its business operations through its Chinese subsidiary. In addition, it is unclear what impact Chinese government actions would have on SoundHound AI and on its ability to consolidate the financial results of its variable interest entity in its consolidated financial statements, if the Chinese government authorities were to find SoundHound AI’s legal structure and contractual arrangements to be in violation of Chinese laws, rules and regulations. If the imposition of any of these government actions causes SoundHound AI to lose its right to direct the activities of its variable interest entity or otherwise separate from it and if SoundHound AI is not able to restructure its ownership structure and operations in a satisfactory manner, SoundHound AI would no longer be able to consolidate the financial results of its variable interest entity in its consolidated financial statements. Any of these events could have a material adverse effect on SoundHound AI’s business, financial condition and results of operations through its Chinese subsidiary.</w:t>
      </w:r>
    </w:p>
    <w:p>
      <w:pPr>
        <w:spacing w:after="0" w:line="177"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Interruptions or delays in SoundHound AI’s services or services from data center hosting facilities or public clouds could impair the delivery of its services and harm its business.</w:t>
      </w:r>
    </w:p>
    <w:p>
      <w:pPr>
        <w:spacing w:after="0" w:line="6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Because SoundHound AI’s services are complex and incorporate a variety of third-party hardware and software, its services may have errors or defects that could result in unanticipated downtime for its customers and harm to its reputation and its business. SoundHound AI has from time to time, found defects in its services, and new errors in its services may be detected in the future. In addition, SoundHound AI currently serves its customers from data center hosting facilities or third-party public clouds SoundHound AI directly manages. Any damage to, or failure of, the systems and facilities that serve SoundHound AI’s customers in whole or in part could result in interruptions in its service. Interruptions in SoundHound AI’s service may reduce its revenue, cause SoundHound AI to issue credits or pay service level agreement penalties, cause customers to terminate their on-demand services, and adversely affect SoundHound AI’s renewal rates and its ability to attract new customers.</w:t>
      </w:r>
    </w:p>
    <w:p>
      <w:pPr>
        <w:spacing w:after="0" w:line="384" w:lineRule="exact"/>
        <w:rPr>
          <w:sz w:val="20"/>
          <w:szCs w:val="20"/>
          <w:color w:val="auto"/>
        </w:rPr>
      </w:pPr>
    </w:p>
    <w:p>
      <w:pPr>
        <w:jc w:val="both"/>
        <w:ind w:left="600" w:right="619"/>
        <w:spacing w:after="0" w:line="288" w:lineRule="auto"/>
        <w:rPr>
          <w:sz w:val="20"/>
          <w:szCs w:val="20"/>
          <w:color w:val="auto"/>
        </w:rPr>
      </w:pPr>
      <w:r>
        <w:rPr>
          <w:rFonts w:ascii="Times New Roman" w:cs="Times New Roman" w:eastAsia="Times New Roman" w:hAnsi="Times New Roman"/>
          <w:sz w:val="17"/>
          <w:szCs w:val="17"/>
          <w:b w:val="1"/>
          <w:bCs w:val="1"/>
          <w:i w:val="1"/>
          <w:iCs w:val="1"/>
          <w:color w:val="auto"/>
        </w:rPr>
        <w:t>SoundHound AI is subject to certain U.S. and foreign anti-corruption, anti-money laundering, export control, sanctions, and other trade laws and regulations. SoundHound AI can face serious consequences for violations.</w:t>
      </w:r>
    </w:p>
    <w:p>
      <w:pPr>
        <w:spacing w:after="0" w:line="302"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8" w:name="page29"/>
    <w:bookmarkEnd w:id="2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7" w:lineRule="auto"/>
        <w:rPr>
          <w:sz w:val="20"/>
          <w:szCs w:val="20"/>
          <w:color w:val="auto"/>
        </w:rPr>
      </w:pPr>
      <w:r>
        <w:rPr>
          <w:rFonts w:ascii="Times New Roman" w:cs="Times New Roman" w:eastAsia="Times New Roman" w:hAnsi="Times New Roman"/>
          <w:sz w:val="17"/>
          <w:szCs w:val="17"/>
          <w:color w:val="auto"/>
        </w:rPr>
        <w:t>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SoundHound AI also expects its non-U.S. activities to increase in time.</w:t>
      </w:r>
    </w:p>
    <w:p>
      <w:pPr>
        <w:spacing w:after="0" w:line="16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business is subject to risks, expenses and uncertainties associated with selling its solutions in locations outside the United States that could adversely affect its operating results.</w:t>
      </w:r>
    </w:p>
    <w:p>
      <w:pPr>
        <w:spacing w:after="0" w:line="7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2021 and 2020 and for the nine months ended September 30, 2022 and 2021, SoundHound AI derived approximately 76%, 73%, 73% and 78%, respectively, of its revenues from customer(s) located in countries outside the United States, and SoundHound AI plans to increase its international operations in the future. Accordingly, SoundHound AI expects to increasingly face significant operational risks and expenses from doing business internationally.</w:t>
      </w:r>
    </w:p>
    <w:p>
      <w:pPr>
        <w:spacing w:after="0" w:line="10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AI’s international operating results may be affected by volatility in currency exchange rates and its ability to effectively manage its currency transaction risks. SoundHound AI would incur currency transaction risks if SoundHound AI were to enter into either a purchase or a sale transaction using a different currency from the currency in which SoundHound AI reports revenue. In such cases, SoundHound AI may suffer an exchange loss because SoundHound AI does not currently engage in currency swaps or other currency hedging strategies to address this risk. As SoundHound AI realizes its strategy to expand internationally, its exposure to currency risks may increase. Given the volatility of exchange rates, SoundHound AI can give no assurance that it will be able to effectively manage its Currency transaction risks or that any volatility in currency exchange rates will not have a material adverse effect on its results of operations.</w:t>
      </w:r>
    </w:p>
    <w:p>
      <w:pPr>
        <w:spacing w:after="0" w:line="1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Other risks and uncertainties SoundHound AI faces from its global operations include, but are not limited</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w:t>
      </w:r>
    </w:p>
    <w:p>
      <w:pPr>
        <w:spacing w:after="0" w:line="137" w:lineRule="exact"/>
        <w:rPr>
          <w:sz w:val="20"/>
          <w:szCs w:val="20"/>
          <w:color w:val="auto"/>
        </w:rPr>
      </w:pPr>
    </w:p>
    <w:p>
      <w:pPr>
        <w:ind w:left="1440" w:hanging="418"/>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foreign operations;</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protection for the enforcement of contract and intellectual property rights in certain countries where SoundHound AI may sell SoundHound AI’s solutions or work with suppliers or other third parties;</w:t>
      </w:r>
    </w:p>
    <w:p>
      <w:pPr>
        <w:spacing w:after="0" w:line="84"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longer sales and payment cycles and potentially greater difficulties in collecting accounts receivable;</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and difficulties of customizing solutions for foreign countries;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providing solutions across a significant distance, in different languages and among different cultures;</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business practices favoring local competition;</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subject to a wide variety of complex foreign laws, treaties and regulations and adjusting to any unexpected changes in such laws, treaties and regulations;</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specific and significant regulations, including, but not limited to, the European Union’s General Data Protection Regulation (“GDPR”), which imposes compliance obligations on companies who possess and use data of EU residents;</w:t>
      </w:r>
    </w:p>
    <w:p>
      <w:pPr>
        <w:spacing w:after="0" w:line="84"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in analysis of regulatory, legal and tax issues across various countries, such as different interpretations of antitrust and competition laws;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and resultant political, financial and market instability arising from the United Kingdom’s exit from the European Union;</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U.S. laws affecting activities of U.S. companies abroad, including the U.S. Foreign Corrupt Practices Act;</w:t>
      </w:r>
    </w:p>
    <w:p>
      <w:pPr>
        <w:spacing w:after="0" w:line="68"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related to geopolitical risks, including the relationship between the U.S. government and the government of other nations;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tariffs, trade barriers and other regulatory or contractual limitations on SoundHound AI’s ability to sell or develop its solutions in certain foreign markets;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9" w:name="page30"/>
    <w:bookmarkEnd w:id="2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40" w:hanging="418"/>
        <w:spacing w:after="0"/>
        <w:tabs>
          <w:tab w:leader="none" w:pos="1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 countries with a higher incidence of corruption and fraudulent business practices;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regulatory requirements, including export controls, tariffs and embargoes, other trade restrictions, competition, corporate practices and data privacy concerns;</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adverse tax consequences arising from global operations;</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 reductions in business activity in certain parts of the world, particularly during the summer months in Europe and at year-end globally;</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rapid changes in government, economic and political policies and conditions; and</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or civil unrest or instability, terrorism or epidemics or pandemics (including any risks related to or resulting from COVID-19) and other similar outbreaks or events.</w:t>
      </w:r>
    </w:p>
    <w:p>
      <w:pPr>
        <w:spacing w:after="0" w:line="68"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SoundHound AI’s failure to effectively manage the risks and uncertainties associated with its existing and planned global operations could limit the future growth of its business and adversely affect its operating results.</w:t>
      </w:r>
    </w:p>
    <w:p>
      <w:pPr>
        <w:spacing w:after="0" w:line="142"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SoundHound AI relies on third-party telecommunications and internet service providers, including connectivity to its cloud software, and any failure by these service providers to provide reliable services could cause SoundHound AI to lose customers and subject it to claims for credits or damages, among other things.</w:t>
      </w:r>
    </w:p>
    <w:p>
      <w:pPr>
        <w:spacing w:after="0" w:line="96"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SoundHound AI relies on services from third-party telecommunications providers in order to provide services to its customers and their customers, including telephone numbers. In addition, SoundHound AI depends on its internet bandwidth suppliers to provide uninterrupted and error-free service through their networks. SoundHound AI exercises little control over these third-party providers, which increases its vulnerability to problems with the services they provide.</w:t>
      </w:r>
    </w:p>
    <w:p>
      <w:pPr>
        <w:spacing w:after="0" w:line="1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When problems occur, it may be difficult to identify the source of the problem. Service disruption or outages, whether caused by SoundHound AI’s service, the products or services of SoundHound AI’s third-party service providers, or SoundHound AI’s customers’ or their customers’ equipment and systems, may result in loss of market acceptance of its products and technologies and any necessary remedial actions may force it to incur significant costs and expenses.</w:t>
      </w:r>
    </w:p>
    <w:p>
      <w:pPr>
        <w:spacing w:after="0" w:line="9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If any of these service providers fail to provide reliable services, suffer outages, degrade, disrupt, increase the cost of or terminate the services that SoundHound AI and its customers depend on, SoundHound AI may be required to switch to another service provider. Delays caused by switching SoundHound AI’s technology to another service provider, if available, and qualifying this new service provider could materially harm its operating results. Further, any failure on the part of third-party service providers to achieve or maintain expected performance levels, stability and security could harm SoundHound AI’s relationships with its customers, cause it to lose customers, result in claims for credits or damages, increase its costs or the costs incurred by its customers, damage its reputation, significantly reduce customer demand for its products and technologies and seriously harm its and operating results.</w:t>
      </w:r>
    </w:p>
    <w:p>
      <w:pPr>
        <w:spacing w:after="0" w:line="176" w:lineRule="exact"/>
        <w:rPr>
          <w:sz w:val="20"/>
          <w:szCs w:val="20"/>
          <w:color w:val="auto"/>
        </w:rPr>
      </w:pPr>
    </w:p>
    <w:p>
      <w:pPr>
        <w:jc w:val="both"/>
        <w:ind w:left="600" w:right="61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SoundHound AI’s customers rely on third-party telecommunications and internet service providers to provide them with access and connectivity to SoundHound AI’s cloud software, and changes in how telecommunication and internet service providers handle and charge for access to telecommunications and the internet could materially harm SoundHound AI’s customer relationships, business, financial condition and operations results.</w:t>
      </w:r>
    </w:p>
    <w:p>
      <w:pPr>
        <w:spacing w:after="0" w:line="10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SoundHound AI’s customers must have access to wireless telecommunications and/or broadband internet access services in order to use certain of its products and certain of its offerings require substantial capacity to operate effectively. In the United States, wireless telecommunications and internet access services are provided by relatively few companies that, depending on the geographic area, have market power over such offerings. It is possible that these companies could charge SoundHound AI, its customers, or both fees to guarantee a service amount of capacity, or for quality of wireless telecommunications and broadband internet access services, that could advantage SoundHound AI’s competitors by degrading, disrupting, limiting, or otherwise restricting the use of infrastructure required to support SoundHound AI’s services. These providers likely have the ability to increase SoundHound AI’s rates, SoundHound AI’s customers’ rates, or both for wireless telecommunications and/or broadband internet access services which may increase the cost of SoundHound AI’s products and technologies making its products and technologies less competitive or decreasing SoundHound AI’s profit margins.</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0" w:name="page31"/>
    <w:bookmarkEnd w:id="3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plans to expand upon and establish new public cloud-based data centers for its U.S. and international operations may be unsuccessful and may present execution and competitive risks.</w:t>
      </w:r>
    </w:p>
    <w:p>
      <w:pPr>
        <w:spacing w:after="0" w:line="6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 plans to expand upon and establish new public cloud deployments in the future to facilitate its platform in the U.S. and certain international markets. SoundHound AI may partner with one or more third-parties to develop, test and deploy its technology to offer a full stack of products on the public cloud in the U.S. and certain international markets. SoundHound AI’s public cloud-based platform offering is critical to developing and providing its products to its customers, scaling its business for future growth, accurately maintaining data and otherwise operating its business. Infrastructure buildouts on the public cloud are complex, time-consuming and may involve substantial expenditures. In addition, the implementation of public cloud-based data centers involves risks, including loss of information and potential disruption to SoundHound AI’s normal operations. Deficiencies in the design, implementation or maintenance of the cloud-based data centers could materially harm SoundHound AI’s business.</w:t>
      </w:r>
    </w:p>
    <w:p>
      <w:pPr>
        <w:spacing w:after="0" w:line="11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As SoundHound AI considers approaches for expanding internationally, government regulation protecting the non-discriminatory provision of internet access may be nascent or non-existent. In those markets where regulatory safeguards against unreasonable discrimination are nascent or non-existent and where local network operators possess substantial market power, SoundHound AI could experience anti-competitive practices that could impede its growth, cause it to incur additional expenses or otherwise harm its business. Future regulations or changes in laws and regulations or their existing interpretations or applications could also hinder SoundHound AI’s operational flexibility, raise compliance costs and result in additional liabilities for SoundHound AI, which may harm its business.</w:t>
      </w:r>
    </w:p>
    <w:p>
      <w:pPr>
        <w:spacing w:after="0" w:line="173" w:lineRule="exact"/>
        <w:rPr>
          <w:sz w:val="20"/>
          <w:szCs w:val="20"/>
          <w:color w:val="auto"/>
        </w:rPr>
      </w:pPr>
    </w:p>
    <w:p>
      <w:pPr>
        <w:jc w:val="both"/>
        <w:ind w:left="600" w:right="619"/>
        <w:spacing w:after="0" w:line="288" w:lineRule="auto"/>
        <w:rPr>
          <w:sz w:val="20"/>
          <w:szCs w:val="20"/>
          <w:color w:val="auto"/>
        </w:rPr>
      </w:pPr>
      <w:r>
        <w:rPr>
          <w:rFonts w:ascii="Times New Roman" w:cs="Times New Roman" w:eastAsia="Times New Roman" w:hAnsi="Times New Roman"/>
          <w:sz w:val="17"/>
          <w:szCs w:val="17"/>
          <w:b w:val="1"/>
          <w:bCs w:val="1"/>
          <w:i w:val="1"/>
          <w:iCs w:val="1"/>
          <w:color w:val="auto"/>
        </w:rPr>
        <w:t>Sales to customers outside the United States or customers with international operations and SoundHound AI’s international sales efforts and operations expose it to risks inherent in international sales and operations.</w:t>
      </w:r>
    </w:p>
    <w:p>
      <w:pPr>
        <w:spacing w:after="0" w:line="30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An element of SoundHound AI’s growth strategy is to expand its international sales efforts and develop a worldwide customer base. SoundHound AI’s international expansion may not be successful and may not produce the return on investment it expects.</w:t>
      </w:r>
    </w:p>
    <w:p>
      <w:pPr>
        <w:spacing w:after="0" w:line="8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SoundHound AI’s international subsidiaries employ workers primarily in Canada, Germany, Japan, China, France and Korea. Operating in international markets requires significant resources and management attention and subjects it to intellectual property, regulatory, economic and political risks that are different from those in the United States. As SoundHound AI increases its international sales efforts it will face risks in doing business internationally that could harm its business, including:</w:t>
      </w:r>
    </w:p>
    <w:p>
      <w:pPr>
        <w:spacing w:after="0" w:line="107" w:lineRule="exact"/>
        <w:rPr>
          <w:sz w:val="20"/>
          <w:szCs w:val="20"/>
          <w:color w:val="auto"/>
        </w:rPr>
      </w:pPr>
    </w:p>
    <w:p>
      <w:pPr>
        <w:ind w:left="1440" w:hanging="418"/>
        <w:spacing w:after="0"/>
        <w:tabs>
          <w:tab w:leader="none" w:pos="1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establish and protect SoundHound AI’s brand in international markets;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localize and adapt SoundHound AI’s products for specific countries, including translation into foreign languages and associated costs and expenses;</w:t>
      </w:r>
    </w:p>
    <w:p>
      <w:pPr>
        <w:spacing w:after="0" w:line="68"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foreign operations, particularly hiring and training qualified sales and service personnel;</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implement and offer customer care in various languages;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different pricing environments, longer sales and accounts receivable payment cycles and collections issues;</w:t>
      </w:r>
    </w:p>
    <w:p>
      <w:pPr>
        <w:spacing w:after="0" w:line="68" w:lineRule="exact"/>
        <w:rPr>
          <w:rFonts w:ascii="Times New Roman" w:cs="Times New Roman" w:eastAsia="Times New Roman" w:hAnsi="Times New Roman"/>
          <w:sz w:val="17"/>
          <w:szCs w:val="17"/>
          <w:color w:val="auto"/>
        </w:rPr>
      </w:pPr>
    </w:p>
    <w:p>
      <w:pPr>
        <w:ind w:left="1440" w:right="639" w:hanging="418"/>
        <w:spacing w:after="0" w:line="293" w:lineRule="auto"/>
        <w:tabs>
          <w:tab w:leader="none" w:pos="14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weaker protection for intellectual property and other legal rights than in the U.S. and practical difficulties in enforcing intellectual property and other rights outside of the U.S.;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privacy and data protection laws and regulations that are complex, expensive to comply with and may require that customer data be stored and processed in a designated territory;</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risk of piracy, counterfeiting and other misappropriation of SoundHound AI’s intellectual property in its locations outside the U.S.;</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and different sources of competition;</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in international markets;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1" w:name="page32"/>
    <w:bookmarkEnd w:id="3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1440" w:right="619" w:hanging="418"/>
        <w:spacing w:after="0" w:line="274" w:lineRule="auto"/>
        <w:tabs>
          <w:tab w:leader="none" w:pos="14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value of the U.S. dollar and foreign currencies, which may make SoundHound AI’s products more expensive in other countries or may increase its costs, impacting its operating results when translated into U.S. dollars;</w:t>
      </w:r>
    </w:p>
    <w:p>
      <w:pPr>
        <w:spacing w:after="0" w:line="97"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challenges related to the complexity of multiple, conflicting and changing governmental laws and regulations, including employment, tax, telecommunications and telemarketing laws and regulations;</w:t>
      </w:r>
    </w:p>
    <w:p>
      <w:pPr>
        <w:spacing w:after="0" w:line="97"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risk of international telecom fraud;</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business practices favoring local competitors;</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64" w:lineRule="auto"/>
        <w:tabs>
          <w:tab w:leader="none" w:pos="14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laws and regulations applicable to foreign operations and cross border transactions, including the Foreign Corrupt Practices Act, the U.K. Bribery Act and other anti-corruption laws, supply chain restrictions, import and export control laws, tariffs, trade barriers, economic sanctions and other regulatory or contractual limitations on SoundHound AI’s ability to sell its products in certain foreign markets, and the risks and costs of non-compliance;</w:t>
      </w:r>
    </w:p>
    <w:p>
      <w:pPr>
        <w:spacing w:after="0" w:line="107"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financial accounting and reporting burdens and complexities;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or taxes on the transfer of funds;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tax consequences; and</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66" w:lineRule="auto"/>
        <w:tabs>
          <w:tab w:leader="none" w:pos="14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unstable economic and political conditions and potential accompanying shifts in laws and regulations.</w:t>
      </w:r>
    </w:p>
    <w:p>
      <w:pPr>
        <w:spacing w:after="0" w:line="329"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These risks could harm SoundHound AI’s international operations, increase its operating costs and hinder its ability to grow its international business and, consequently, its overall business and results of operations.</w:t>
      </w:r>
    </w:p>
    <w:p>
      <w:pPr>
        <w:spacing w:after="0" w:line="81"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 addition, compliance with laws and regulations applicable to SoundHound AI’s international operations increases its cost of doing business outside the United States. SoundHound AI may be unable to keep current with changes in foreign government requirements and laws as they change from time to time, which often occurs with minimal or no advance notice. Failure to comply with these regulations could harm its business. In many countries outside the United States, it is common for others to engage in business practices that are prohibited by SoundHound AI’s internal policies and procedures or United States or international regulations applicable to it. Although SoundHound AI has implemented policies and procedures designed to ensure compliance with these laws and policies, there can be no assurance that all of its employees, contractors, strategic partners and agents will comply with these laws and policies. Violations of laws or key control policies by SoundHound AI’s employees, contractors, strategic partners or agents could result in delays in revenue recognition, financial reporting misstatements, fines, delays in filing financial reports required as a public company, penalties, or prohibitions on selling its products, any of which could harm its business.</w:t>
      </w:r>
    </w:p>
    <w:p>
      <w:pPr>
        <w:spacing w:after="0" w:line="177"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Tax matters may cause significant variability in SoundHound AI’s operating results and may impact its overall financial condition.</w:t>
      </w:r>
    </w:p>
    <w:p>
      <w:pPr>
        <w:spacing w:after="0" w:line="7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SoundHound AI’s businesses are subject to income taxation in the United States, as well as in many tax jurisdictions throughout the world. Tax rates in these jurisdictions may be subject to significant change. If SoundHound AI’s effective tax rate increases, its operating results and cash flow could be adversely affected. SoundHound AI’s effective income tax rate can vary significantly between periods due to a number of complex factors including:</w:t>
      </w:r>
    </w:p>
    <w:p>
      <w:pPr>
        <w:spacing w:after="0" w:line="94" w:lineRule="exact"/>
        <w:rPr>
          <w:sz w:val="20"/>
          <w:szCs w:val="20"/>
          <w:color w:val="auto"/>
        </w:rPr>
      </w:pPr>
    </w:p>
    <w:p>
      <w:pPr>
        <w:ind w:left="1440" w:hanging="418"/>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projected levels of taxable income;</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pre-tax income being lower than anticipated in countries with lower statutory rates or higher than anticipated in countries with higher statutory rates;</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or decreases to valuation allowances recorded against deferred tax assets;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audits conducted and settled by various tax authorities;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to income taxes upon finalization of income tax returns;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claim foreign tax credits;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2" w:name="page33"/>
    <w:bookmarkEnd w:id="3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40" w:right="619" w:hanging="418"/>
        <w:spacing w:after="0" w:line="293" w:lineRule="auto"/>
        <w:tabs>
          <w:tab w:leader="none" w:pos="14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repatriation of non-U.S. earnings for which SoundHound AI has not previously provided for income taxes; and</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and their interpretations in countries in which SoundHound AI is subject to taxation.</w:t>
      </w:r>
    </w:p>
    <w:p>
      <w:pPr>
        <w:spacing w:after="0" w:line="81"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SoundHound AI regularly evaluates the need for a valuation allowance on deferred tax assets, considering historical profitability, projected future taxable income, the expected timing of the reversals of existing temporary differences and tax planning strategies. This analysis is heavily dependent upon SoundHound AI’s current and projected operating results. A decline in future operating results could provide substantial evidence that a full or partial valuation allowance for deferred tax assets is necessary. This could have a material adverse effect on SoundHound AI’s results of operations and financial condition.</w:t>
      </w:r>
    </w:p>
    <w:p>
      <w:pPr>
        <w:spacing w:after="0" w:line="171"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Forecasts of SoundHound AI’s market and market growth may prove to be inaccurate, and even if the markets in which it competes achieve the forecasted growth, there can be no assurance that its business will grow at similar rates, or at all.</w:t>
      </w:r>
    </w:p>
    <w:p>
      <w:pPr>
        <w:spacing w:after="0" w:line="83"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Growth forecasts described in this prospectus relating to SoundHound AI’s market opportunities, including in the Voice AI market and adjacent markets, and the expected growth thereof, are subject to significant uncertainty and are based on assumptions and estimates which may prove to be inaccurate. Even if these markets meet its size estimate and experience the forecasted growth, it may not grow its business at a similar rate, or at all. Its growth is subject to many factors, including its success in implementing its business strategy and ability to penetrate adjacent markets, which is subject to many risks and uncertainties. Accordingly, the forecasts of market growth included in this prospectus should not be taken as indicative of its future growth.</w:t>
      </w:r>
    </w:p>
    <w:p>
      <w:pPr>
        <w:spacing w:after="0" w:line="171"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If SoundHound AI is unable to acquire new customers, its operating results will be harmed. Likewise, potential customer turnover in the future, or costs it incurs to retain its existing customers, could materially and adversely affect its operating results.</w:t>
      </w:r>
    </w:p>
    <w:p>
      <w:pPr>
        <w:spacing w:after="0" w:line="96"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AI’s success depends on its ability to acquire new customers in new and existing verticals, and in new and existing geographic markets. If SoundHound AI is unable to attract a sufficient number of new customers, it may be unable to reduce gross margins at desired rates and its operating results may suffer. The Voice AI market is competitive and many of SoundHound AI’s competitors have substantial financial, personnel and other resources that they utilize to develop solutions and attract customers. As a result, it may be difficult for us to add new customers to SoundHound AI’s existing customer base. Competition in the marketplace may also lead us to win fewer new customers or result in us providing discounts and other commercial incentives. Additional factors that impact SoundHound AI’s ability to acquire new customers include the perceived need for Voice AI -enabled products or Voice AI services, the size of prospective customers’ budgets for Voice AI, the utility and efficacy of SoundHound AI’s existing and new products, whether proven or perceived, and general economic conditions. These factors may have a meaningful negative impact on operating results.</w:t>
      </w:r>
    </w:p>
    <w:p>
      <w:pPr>
        <w:spacing w:after="0" w:line="170"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If SoundHound AI does not successfully anticipate market needs, enhance its existing products, execute on delivering quality products and services, or develop new products and services that meet those needs on a timely basis, it may not be able to compete effectively and its ability to generate revenues will suffer.</w:t>
      </w:r>
    </w:p>
    <w:p>
      <w:pPr>
        <w:spacing w:after="0" w:line="96"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SoundHound AI cannot guarantee that it will be able to anticipate future market needs and opportunities or be able to develop product and service enhancements or new products and services to meet such needs or opportunities in a timely manner, if at all. Even if SoundHound AI is able to anticipate, develop and commercially introduce enhancements and new products and services, there can be no assurance that enhancements or new products and services will achieve widespread market acceptance.</w:t>
      </w:r>
    </w:p>
    <w:p>
      <w:pPr>
        <w:spacing w:after="0" w:line="9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New products, as well as enhancements to its existing products, could fail to attain sufficient market acceptance for many reasons, including:</w:t>
      </w:r>
    </w:p>
    <w:p>
      <w:pPr>
        <w:spacing w:after="0" w:line="81" w:lineRule="exact"/>
        <w:rPr>
          <w:sz w:val="20"/>
          <w:szCs w:val="20"/>
          <w:color w:val="auto"/>
        </w:rPr>
      </w:pPr>
    </w:p>
    <w:p>
      <w:pPr>
        <w:ind w:left="1440" w:hanging="418"/>
        <w:spacing w:after="0"/>
        <w:tabs>
          <w:tab w:leader="none" w:pos="14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releasing new products, or product enhancements;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accurately predict market demand and to supply products that meet this demand in a timely fashion;</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defects in its products, errors or failures of its products;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3" w:name="page34"/>
    <w:bookmarkEnd w:id="3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40" w:hanging="418"/>
        <w:spacing w:after="0"/>
        <w:tabs>
          <w:tab w:leader="none" w:pos="14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publicity or perceptions about the performance or effectiveness of products;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66" w:lineRule="auto"/>
        <w:tabs>
          <w:tab w:leader="none" w:pos="143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 or anticipated introduction of competing products or technologies by its competitors; and</w:t>
      </w:r>
    </w:p>
    <w:p>
      <w:pPr>
        <w:spacing w:after="0" w:line="3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installation, configuration or usage errors by its customers.</w:t>
      </w:r>
    </w:p>
    <w:p>
      <w:pPr>
        <w:spacing w:after="0" w:line="14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If SoundHound AI fails to anticipate market requirements or fail to develop and introduce product enhancements or new products to meet those needs in a timely manner, it could cause us to lose existing customers and prevent us from gaining new customers, which would significantly harm its business, financial condition and results of operations.</w:t>
      </w:r>
    </w:p>
    <w:p>
      <w:pPr>
        <w:spacing w:after="0" w:line="105"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If SoundHound AI spends significant time and effort on research and development and is unable to generate an adequate return on its investment, its results of operations may be materially and adversely affected.</w:t>
      </w:r>
    </w:p>
    <w:p>
      <w:pPr>
        <w:spacing w:after="0" w:line="142" w:lineRule="exact"/>
        <w:rPr>
          <w:sz w:val="20"/>
          <w:szCs w:val="20"/>
          <w:color w:val="auto"/>
        </w:rPr>
      </w:pPr>
    </w:p>
    <w:p>
      <w:pPr>
        <w:jc w:val="both"/>
        <w:ind w:left="600" w:right="619"/>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SoundHound AI’s business model is predicated, in part, on maintaining a customer base that will generate a recurring stream of revenues. If that recurring stream of revenues is not maintained or does not increase as expected, or if SoundHound AI’s business model changes as the industry evolves, its operating results may be adversely affected.</w:t>
      </w:r>
    </w:p>
    <w:p>
      <w:pPr>
        <w:spacing w:after="0" w:line="10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SoundHound AI’s business model is dependent, in part, on its ability to maintain and increase a customer base that generates recurring revenues. Existing and future customers of SoundHound AI’s products, technologies and systems may not purchase its subscriptions for its proprietary products or enter into service contracts with SoundHound AI at the same rate at which customers currently purchase those subscriptions or enter into service contracts with us. If SoundHound AI’s current and future customers purchase a lower volume of subscriptions for SoundHound AI’s proprietary products or do not continue entering into service contracts with us, SoundHound AI’s recurring revenue stream relative to its total revenues would be reduced and its operating results would be adversely affected.</w:t>
      </w:r>
    </w:p>
    <w:p>
      <w:pPr>
        <w:spacing w:after="0" w:line="173"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brand, reputation and ability to attract, retain and serve its customers are dependent in part upon the reliable performance of its products and technologies.</w:t>
      </w:r>
    </w:p>
    <w:p>
      <w:pPr>
        <w:spacing w:after="0" w:line="64" w:lineRule="exact"/>
        <w:rPr>
          <w:sz w:val="20"/>
          <w:szCs w:val="20"/>
          <w:color w:val="auto"/>
        </w:rPr>
      </w:pPr>
    </w:p>
    <w:p>
      <w:pPr>
        <w:jc w:val="both"/>
        <w:ind w:left="600" w:right="639" w:firstLine="416"/>
        <w:spacing w:after="0" w:line="274" w:lineRule="auto"/>
        <w:rPr>
          <w:sz w:val="20"/>
          <w:szCs w:val="20"/>
          <w:color w:val="auto"/>
        </w:rPr>
      </w:pPr>
      <w:r>
        <w:rPr>
          <w:rFonts w:ascii="Times New Roman" w:cs="Times New Roman" w:eastAsia="Times New Roman" w:hAnsi="Times New Roman"/>
          <w:sz w:val="17"/>
          <w:szCs w:val="17"/>
          <w:color w:val="auto"/>
        </w:rPr>
        <w:t>SoundHound AI’s brand, reputation and ability to attract, retain and serve its customers are dependent in part upon the reliable performance of, and the ability of its existing customers and new customers to access and use, its solutions, including real-time analytics and intelligence.</w:t>
      </w:r>
    </w:p>
    <w:p>
      <w:pPr>
        <w:spacing w:after="0" w:line="97" w:lineRule="exact"/>
        <w:rPr>
          <w:sz w:val="20"/>
          <w:szCs w:val="20"/>
          <w:color w:val="auto"/>
        </w:rPr>
      </w:pPr>
    </w:p>
    <w:p>
      <w:pPr>
        <w:jc w:val="both"/>
        <w:ind w:left="600" w:right="619" w:firstLine="416"/>
        <w:spacing w:after="0" w:line="271" w:lineRule="auto"/>
        <w:rPr>
          <w:sz w:val="20"/>
          <w:szCs w:val="20"/>
          <w:color w:val="auto"/>
        </w:rPr>
      </w:pPr>
      <w:r>
        <w:rPr>
          <w:rFonts w:ascii="Times New Roman" w:cs="Times New Roman" w:eastAsia="Times New Roman" w:hAnsi="Times New Roman"/>
          <w:sz w:val="17"/>
          <w:szCs w:val="17"/>
          <w:color w:val="auto"/>
        </w:rPr>
        <w:t>Interruptions in SoundHound AI’s systems or the third-party systems on which SoundHound AI and its products rely, whether due to system failures, computer viruses, physical or electronic break-ins, or other factors, could affect the security or availability of our products, network infrastructure, cloud infrastructure and website.</w:t>
      </w:r>
    </w:p>
    <w:p>
      <w:pPr>
        <w:spacing w:after="0" w:line="31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Problems with the reliability or security of SoundHound AI’s systems could harm its reputation. Damage to SoundHound AI’s reputation and the cost of remedying these problems could negatively affect its business, financial condition, and operating results. Additionally, SoundHound AI’s third-party hosting suppliers in certain instances may have no obligations to renew their agreements with us on commercially reasonable terms or at all, and certain of the agreements governing these relationships may be terminated by either party at any time. If SoundHound AI is unable to maintain, renew, or expand its agreements with these providers on commercially reasonable terms, it may experience costs or downtime as it transitions its operations.</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Any disruptions or other performance problems with its products could harm SoundHound AI’s reputation and business and may damage its customers’ businesses. Interruptions in its service delivery might reduce SoundHound AI’s revenue, cause SoundHound AI to issue credits to customers, subject us to potential liability and cause customers not to renew their subscription purchases of its products.</w:t>
      </w:r>
    </w:p>
    <w:p>
      <w:pPr>
        <w:spacing w:after="0" w:line="16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SoundHound AI is unable to maintain and enhance its brand or reputation as an industry leader, its operating results may be adversely affected.</w:t>
      </w:r>
    </w:p>
    <w:p>
      <w:pPr>
        <w:spacing w:after="0" w:line="7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SoundHound AI believes that maintaining and enhancing its reputation as the leader in Voice AI market is critical to its relationship with its customers and its customers’ end-users and its ability to maintain customers and continue to attract new customers. The successful promotion of its brand will depend on multiple factors, including its marketing efforts, its ability to continue to deliver a superior customer experience and develop high-quality features for its products and its ability to successfully differentiate its products from those of its competitors. Its brand promotion activities may not be successful or yield increased revenue. The promotion of its brand requires</w:t>
      </w:r>
    </w:p>
    <w:p>
      <w:pPr>
        <w:sectPr>
          <w:pgSz w:w="11900" w:h="16838" w:orient="portrait"/>
          <w:cols w:equalWidth="0" w:num="1">
            <w:col w:w="9019"/>
          </w:cols>
          <w:pgMar w:left="1440" w:top="264"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34" w:name="page35"/>
    <w:bookmarkEnd w:id="3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4" w:lineRule="auto"/>
        <w:rPr>
          <w:sz w:val="20"/>
          <w:szCs w:val="20"/>
          <w:color w:val="auto"/>
        </w:rPr>
      </w:pPr>
      <w:r>
        <w:rPr>
          <w:rFonts w:ascii="Times New Roman" w:cs="Times New Roman" w:eastAsia="Times New Roman" w:hAnsi="Times New Roman"/>
          <w:sz w:val="17"/>
          <w:szCs w:val="17"/>
          <w:color w:val="auto"/>
        </w:rPr>
        <w:t>SoundHound AI to make substantial expenditures, and it anticipates that the expenditures will increase as its market becomes more competitive, as it expands into new geographies and vertical markets and as more sales are generated through its reseller partners. To the extent that these activities yield increased revenue, this revenue may not offset the increased expenses it incurs. If SoundHound AI does not successfully maintain and enhance its brand and reputation, its operating results may be adversely affected.</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Relating to SoundHound AI’s Intellectual Property and Technology</w:t>
      </w:r>
    </w:p>
    <w:p>
      <w:pPr>
        <w:spacing w:after="0" w:line="21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use of open source technology could impose limitations on its ability to commercialize its software.</w:t>
      </w:r>
    </w:p>
    <w:p>
      <w:pPr>
        <w:spacing w:after="0" w:line="7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SoundHound AI uses open source technology in some of its software and expect to continue to use open source technology in the future. Although we monitor its use of open source technology to avoid subjecting its software to conditions SoundHound AI does not intend, we may face allegations from others alleging ownership of, or seeking to enforce the terms of, an open source license, including by demanding release of the open source software, derivative works, or SoundHound AI’s proprietary source code that was developed using such technology. These allegations could also result in litigation. The terms of many open source licenses have not been interpreted by United States courts. There is a risk that these licenses could be construed in a way that could impose unanticipated conditions or restrictions on SoundHound AI’s ability to commercialize its software. In such an event, we may be required to seek licenses from third parties to continue commercially offering its software, to make its proprietary code generally available in source code form, to re-engineer its software or to discontinue the sale of its software if re-engineering could not be accomplished on a timely basis, any of which could adversely affect SoundHound AI’s business and revenue.</w:t>
      </w:r>
    </w:p>
    <w:p>
      <w:pPr>
        <w:spacing w:after="0" w:line="116"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use of open source technology could subject SoundHound AI to a number of other risks and challenges. Certain open source technology is subject to further development or modification by anyone. Others may develop such software to be competitive with or no longer useful by us. It is also possible for competitors to develop their own solutions using open source software, potentially reducing the demand for SoundHound AI’s software. If SoundHound AI is unable to successfully address these challenges, its operating results may be adversely affected, and its development costs may increase</w:t>
      </w:r>
      <w:r>
        <w:rPr>
          <w:rFonts w:ascii="Times New Roman" w:cs="Times New Roman" w:eastAsia="Times New Roman" w:hAnsi="Times New Roman"/>
          <w:sz w:val="17"/>
          <w:szCs w:val="17"/>
          <w:b w:val="1"/>
          <w:bCs w:val="1"/>
          <w:i w:val="1"/>
          <w:iCs w:val="1"/>
          <w:color w:val="auto"/>
        </w:rPr>
        <w:t>.</w:t>
      </w:r>
    </w:p>
    <w:p>
      <w:pPr>
        <w:spacing w:after="0" w:line="171" w:lineRule="exact"/>
        <w:rPr>
          <w:sz w:val="20"/>
          <w:szCs w:val="20"/>
          <w:color w:val="auto"/>
        </w:rPr>
      </w:pPr>
    </w:p>
    <w:p>
      <w:pPr>
        <w:jc w:val="both"/>
        <w:ind w:left="600" w:right="619"/>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Third parties have claimed in the past and may claim in the future that SoundHound AI is infringing their intellectual property, and we could be exposed to significant litigation or licensing expenses or be prevented from selling SoundHound AI’s products or making its technologies available to its customers if such claims are successful.</w:t>
      </w:r>
    </w:p>
    <w:p>
      <w:pPr>
        <w:spacing w:after="0" w:line="89"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SoundHound AI has been and in the future may be subject to claims and legal actions alleging that we or its customers may be infringing or contributing to the infringement of the intellectual property rights of others (though no material legal actions against SoundHound AI are currently pending). We may be unaware of intellectual property rights of others that may cover some of its technologies and products. If it appears necessary or desirable, we may seek licenses for these intellectual property rights. However, we may not be able to obtain licenses from some or all claimants, the terms of any offered licenses may not be acceptable to us, and we may not be able to resolve disputes without litigation. Any litigation regarding intellectual property could be costly and time-consuming and could divert the attention of SoundHound AI’s management and key personnel from its business operations. Intellectual property disputes could subject us to significant liabilities, require us to enter into royalty and licensing arrangements on unfavorable terms, prevent us from licensing certain of its products, cause severe disruptions to its operations or the markets in which we compete, or require us to satisfy indemnification commitments with its customers including contractual provisions under various arrangements. Furthermore, because of the substantial amount of discovery required in connection with intellectual property litigation, there is a risk that some of SoundHound AI’s confidential information could be compromised by disclosure during this type of litigation. For example, during the course of this kind of litigation, confidential information may be inadvertently disclosed in the form of documents or testimony in connection with discovery requests, depositions or trial testimony. This disclosure could have a material adverse effect on SoundHound AI’s business and its financial results. Any of these could seriously harm SoundHound AI’s business.</w:t>
      </w:r>
    </w:p>
    <w:p>
      <w:pPr>
        <w:spacing w:after="0" w:line="17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Unauthorized use of SoundHound AI’s proprietary technology and intellectual property could adversely affect its business and results of operations.</w:t>
      </w:r>
    </w:p>
    <w:p>
      <w:pPr>
        <w:spacing w:after="0" w:line="7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AI’s success and competitive position depend in large part on its ability to obtain and maintain intellectual property rights protecting its products and technologies. We rely on a combination of patents, copyrights, trademarks, trade secrets, confidentiality provisions and licensing arrangements to establish and protect</w:t>
      </w:r>
    </w:p>
    <w:p>
      <w:pPr>
        <w:sectPr>
          <w:pgSz w:w="11900" w:h="16838" w:orient="portrait"/>
          <w:cols w:equalWidth="0" w:num="1">
            <w:col w:w="9019"/>
          </w:cols>
          <w:pgMar w:left="1440" w:top="264"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35" w:name="page36"/>
    <w:bookmarkEnd w:id="3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SoundHound AI’s intellectual property and proprietary rights. Unauthorized parties may attempt to copy or discover aspects of SoundHound AI’s products or to obtain, license, sell or otherwise use information that we regard as proprietary. Policing unauthorized use of SoundHound AI’s products is difficult and we may not be able to protect its technology from unauthorized use. Additionally, SoundHound AI’s competitors may independently develop technologies that are substantially the same or superior to its technologies and that do not infringe its rights. In these cases, we would be unable to prevent its competitors from selling or licensing these similar or superior technologies. In addition, the laws of some foreign countries do not protect SoundHound AI’s proprietary rights to the same extent as the laws of the United States. Although the source code for SoundHound AI’s proprietary software is protected both as a trade secret and as a copyrighted work, litigation may be necessary to enforce its intellectual property rights, to protect its trade secrets, to determine the validity and scope of the proprietary rights of others, or to defend against claims of infringement or invalidity. Litigation, regardless of the outcome, can be very expensive and can divert management’s efforts.</w:t>
      </w:r>
    </w:p>
    <w:p>
      <w:pPr>
        <w:spacing w:after="0" w:line="177"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software products may have bugs, which could result in delayed or lost revenue, expensive correction, liability to its customers and claims against us.</w:t>
      </w:r>
    </w:p>
    <w:p>
      <w:pPr>
        <w:spacing w:after="0" w:line="7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Complex software products such as SoundHound AI’s may contain errors, defects or bugs. Defects in the solutions or products that we develop and sell to its customers could require expensive corrections and result in delayed or lost revenue, adverse customer reaction and negative publicity about us or SoundHound AI’s products and technologies. Customers who are not satisfied with any of SoundHound AI’s products may also bring claims against us for damages, which, even if unsuccessful, would likely be time-consuming to defend, and could result in costly litigation and payment of damages. Such claims could harm SoundHound AI’s reputation, financial results and competitive position.</w:t>
      </w:r>
    </w:p>
    <w:p>
      <w:pPr>
        <w:spacing w:after="0" w:line="171"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respond quickly enough to changes in technology and technological risks and to develop its intellectual property into commercially viable products.</w:t>
      </w:r>
    </w:p>
    <w:p>
      <w:pPr>
        <w:spacing w:after="0" w:line="7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Changes in legislative, regulatory or industry requirements or in competitive technologies may render certain of SoundHound AI’s products obsolete or less attractive to its customers, which could adversely affect its results of operations. SoundHound AI’s ability to anticipate changes in technology and regulatory standards and to successfully develop and introduce new and enhanced products on a timely basis will be a significant factor in its ability to be competitive. There is a risk that we will not be able to achieve the technological advances that may be necessary for us to be competitive or that certain of its products will become obsolete. SoundHound AI is also subject to the risks generally associated with new product introductions and applications, including lack of market acceptance, delays in product development and failure of products to operate properly. These risks could have a material adverse effect on SoundHound AI’s business, results of operations and financial condition.</w:t>
      </w:r>
    </w:p>
    <w:p>
      <w:pPr>
        <w:spacing w:after="0" w:line="3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Related to SoundHound AI’s Class A Common Stock and the Securities Market</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SoundHound AI’s stock price and trading volume may fluctuate significantly.</w:t>
      </w:r>
    </w:p>
    <w:p>
      <w:pPr>
        <w:spacing w:after="0" w:line="146"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market price and trading volume of SoundHound AI’s Class A Common Stock has fluctuated widely and may continue to fluctuate widely, depending on many factors, some of which may be beyond our control, including:</w:t>
      </w:r>
    </w:p>
    <w:p>
      <w:pPr>
        <w:spacing w:after="0" w:line="97" w:lineRule="exact"/>
        <w:rPr>
          <w:sz w:val="20"/>
          <w:szCs w:val="20"/>
          <w:color w:val="auto"/>
        </w:rPr>
      </w:pPr>
    </w:p>
    <w:p>
      <w:pPr>
        <w:ind w:left="1440" w:hanging="418"/>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results of operations due to factors related to our business;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 or failure of our business strategies;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and industry capacity;</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interest rates and other factors that affect earnings and cash flow;</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level of indebtedness, our ability to make payments on or service our indebtedness and our ability to obtain financing as needed;</w:t>
      </w:r>
    </w:p>
    <w:p>
      <w:pPr>
        <w:spacing w:after="0" w:line="68"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and recruit qualified personnel, particularly following implementation of the Restructuring Plan;</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quarterly or annual earnings, or those of other companies in our industry;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6" w:name="page37"/>
    <w:bookmarkEnd w:id="3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acquisitions or dispositions;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 policies, guidance, interpretations or principles;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securities analysts to cover, or positively cover, our Class A Common Stock;</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earnings estimates by securities analysts or our ability to meet those estimates;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operating and stock price performance of other comparable companies;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 perception of the Company and its industry;</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market fluctuations unrelated to our operating performance;</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from any material litigation or government investigation;</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(including tax laws and regulations) affecting our business;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capital gains taxes and taxes on dividends affecting stockholders; and</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and other external factors.</w:t>
      </w:r>
    </w:p>
    <w:p>
      <w:pPr>
        <w:spacing w:after="0" w:line="15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Low trading volume for SoundHound AI’s Class A Common Stock, which may occur if an active trading market does not develop, among other reasons, would amplify the effect of the above factors on stock price volatility.</w:t>
      </w:r>
    </w:p>
    <w:p>
      <w:pPr>
        <w:spacing w:after="0" w:line="8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 addition, over the last few years, the stock market more broadly has experienced price and volume fluctuations, including due to factors relating to the ongoing outbreak of COVID-19 and the war in Ukraine, and this volatility has sometimes been unrelated to the operating performance of particular companies. As a result, there is a potential for rapid and substantial decreases in the price of our Class A Common Stock, including decreases unrelated to our operating performance or prospects. This market and share price volatility relating to the effects of COVID-19 or the war in Ukraine, as well as general economic, market or political conditions, has and could further reduce the market price of our Class A Common Stock in spite of our operating performance and could also increase our cost of capital, which could prevent us from accessing debt and equity capital on terms acceptable to us or at all.</w:t>
      </w:r>
    </w:p>
    <w:p>
      <w:pPr>
        <w:spacing w:after="0" w:line="115"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Additionally, a proportion of our Class A Common Stock may be traded by short sellers which may put pressure on the supply and demand for our Class A Common Stock, creating further price volatility. In particular, a possible “short squeeze” due to a sudden increase in demand of our Class A Common Stock that largely exceeds supply may lead to sudden extreme price volatility in our Class A Common Stock. Investors may purchase our Class A Common Stock to hedge existing exposure in our Class A Common Stock or to speculate on the price of our Class A Common Stock. Speculation on the price of our Class A Common Stock may involve long and short exposures. To the extent aggregate short exposure exceeds the number of shares of Class A Common Stock available for purchase in the open market, investors with short exposure may have to pay a premium to repurchase our Class A Common Stock for delivery to lenders of our Class A Common Stock. Those repurchases may in turn, dramatically increase the price of our Class A Common Stock until investors with short exposure are able to purchase additional shares to cover their short position. This is often referred to as a “short squeeze.” Following such a short squeeze, once investors purchase the shares necessary to cover their short position, the price of our Class A Common Stock may rapidly decline. A short squeeze could lead to volatile price movements in our shares that are not directly correlated to the performance or prospects of our company and could cause purchasers of our Class A Common Stock to incur substantial losses.</w:t>
      </w:r>
    </w:p>
    <w:p>
      <w:pPr>
        <w:spacing w:after="0" w:line="12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Should the market price of our shares drop significantly, stockholders may institute securities class action lawsuits against us. A lawsuit against SoundHound AI could cause SoundHound AI to incur substantial costs and could divert the time and attention of its management and other resources.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Your percentage ownership in SoundHound AI may be diluted in the future.</w:t>
      </w:r>
    </w:p>
    <w:p>
      <w:pPr>
        <w:spacing w:after="0" w:line="146"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Stockholders’ percentage ownership in SoundHound AI may be diluted in the future because of equity issuances for acquisitions, capital market transactions (including, upon conversion of securities issued in financings such as the Transaction) or otherwise, including equity awards that SoundHound AI will be granting to directors, officers and other employees. Our Board has adopted the incentive plan and ESPP for the benefit of certain of our current and future employees, service providers and non-employee directors. Such awards will have a dilutive effect on our earnings per share, which could adversely affect the market price of our Class A Common Stock.</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7" w:name="page38"/>
    <w:bookmarkEnd w:id="3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From time-to-time, SoundHound AI may opportunistically evaluate and pursue acquisition opportunities, including acquisitions for which the consideration thereof may consist partially or entirely of newly issued shares of SoundHound AI Class A Common Stock and, therefore, such transactions, if consummated, would dilute the voting power and/or reduce the value of our Class A Common Stock.</w:t>
      </w:r>
    </w:p>
    <w:p>
      <w:pPr>
        <w:spacing w:after="0" w:line="16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The issuance of additional shares of Class A Common Stock or convertible securities may dilute your ownership and could adversely affect the stock price.</w:t>
      </w:r>
    </w:p>
    <w:p>
      <w:pPr>
        <w:spacing w:after="0" w:line="7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From time to time in the future, SoundHound AI may issue additional shares of Class A Common Stock or securities convertible into Class A Common Stock pursuant to a variety of transactions, including acquisitions and financings. Additional shares of Class A Common Stock may also be issued upon conversion of our Series A Preferred Stock, exercise of outstanding stock options and warrants to purchase Class A Common Stock. The issuance by us of additional shares of Class A Common Stock or securities convertible into Class A Common Stock would dilute your ownership of SoundHound AI and the sale of a significant amount of such shares in the public market could adversely affect prevailing market prices of our Class A Common Stock. Subject to the satisfaction of vesting conditions and the expiration of lockup agreements, shares issuable upon exercise of options will be available for resale immediately in the public market without restriction.</w:t>
      </w:r>
    </w:p>
    <w:p>
      <w:pPr>
        <w:spacing w:after="0" w:line="11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Issuing additional shares of SoundHound AI’s capital stock, other equity securities, or securities convertible into equity may dilute the economic and voting rights of our existing stockholders, reduce the market price of our Class A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SoundHound AI’s decision to issue securities in any future offering will depend on market conditions and other factors beyond our control, which may adversely affect the amount, timing, or nature of our future offerings. As a result, holders of SoundHound AI’s Class A Common Stock bear the risk that SoundHound AI’s future offerings may reduce the market price of SoundHound AI’s Class A Common Stock and dilute their percentage ownership.</w:t>
      </w:r>
    </w:p>
    <w:p>
      <w:pPr>
        <w:spacing w:after="0" w:line="170"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failure to meet the continued listing requirements of Nasdaq Global Market could result in a de-listing of our Class A Common Stock.</w:t>
      </w:r>
    </w:p>
    <w:p>
      <w:pPr>
        <w:spacing w:after="0" w:line="6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While we are currently in compliance with Nasdaq’s continued listing requirements, including the requirement that we maintain a $1 bid price, there is no guarantee that we will be able to continue to meet the continued listing requirements of Nasdaq. In the event we are unable to do so, our securities may be delisted from The Nasdaq Stock Market. Such a delisting would likely have a negative effect on the price and trading volume of our Class A Common Stock and would impair your ability to sell or purchase our Class A Common Stock when you wish to do so. In the event of a delisting, we would expect to take actions to restore our compliance with Nasdaq Marketplace Rules, but our Class A Common Stock may not be listed again, stabilize the market price or improve the liquidity of our Class A Common Stock, prevent our Class A Common Stock from dropping below the Nasdaq minimum bid price requirement or prevent future non-compliance with the Nasdaq Marketplace Rules.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cash dividends for the foreseeable future.</w:t>
      </w:r>
    </w:p>
    <w:p>
      <w:pPr>
        <w:spacing w:after="0" w:line="159"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timing, declaration, amount and payment of future dividends to stockholders falls within the discretion of our board of directors and will depend on many factors, including our financial condition, earnings, capital requirements of our business and covenants associated with debt obligations, as well as legal requirements, regulatory constraints, industry practice and other factors that our Board deems relevant. We do not intend to and there can be no assurance that we will pay any dividend in the future.</w:t>
      </w:r>
    </w:p>
    <w:p>
      <w:pPr>
        <w:spacing w:after="0" w:line="168"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SoundHound AI’s management has limited experience in operating a public company. The requirements of being a public company may strain SoundHound AI’s resources and divert management’s attention, and the increases in legal, accounting and compliance expenses may be greater than SoundHound AI anticipates.</w:t>
      </w:r>
    </w:p>
    <w:p>
      <w:pPr>
        <w:spacing w:after="0" w:line="96"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As a public company, and particularly after we are no longer an “emerging growth company” or a “smaller reporting company,” we will continue to incur significant legal, accounting and other expenses that SoundHound did not incur as a private company. SoundHound AI is subject to the reporting requirements of the Exchange Act, and</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8" w:name="page39"/>
    <w:bookmarkEnd w:id="3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57" w:lineRule="auto"/>
        <w:rPr>
          <w:sz w:val="20"/>
          <w:szCs w:val="20"/>
          <w:color w:val="auto"/>
        </w:rPr>
      </w:pPr>
      <w:r>
        <w:rPr>
          <w:rFonts w:ascii="Times New Roman" w:cs="Times New Roman" w:eastAsia="Times New Roman" w:hAnsi="Times New Roman"/>
          <w:sz w:val="17"/>
          <w:szCs w:val="17"/>
          <w:color w:val="auto"/>
        </w:rPr>
        <w:t>is required to comply with the applicable requirements of the Sarbanes-Oxley Act, and the Dodd-Frank Wall Street Reform and Consumer Protection Act, as well as the rules and regulations subsequently implemented by the SEC and the listing standards of the Nasdaq, including changes in corporate governance practices and the establishment and maintenance of effective disclosure and financial controls. Compliance with these rules and regulations can be burdensome. SoundHound AI’s management and other personnel will need to devote a substantial amount of time to these compliance initiatives. Moreover, these rules and regulations have increased, and will continue to increase, SoundHound’s historical legal and financial compliance costs and will make some activities more time-consuming and costly. For example, SoundHound AI expects to incur significant expenses and devote substantial management effort toward ensuring compliance with the requirements of Section 404 of the Sarbanes-Oxley Act, which will increase when SoundHound AI is no longer an “emerging growth company” or a “smaller reporting company” with revenues of less than $100 million. SoundHound AI will need to hire additional accounting and financial staff, and engage outside consultants, all with appropriate public company experience and technical accounting knowledge and maintain an internal audit function, which will increase its operating expenses. Moreover, SoundHound AI could incur additional compensation costs in the event that it decides to pay cash compensation closer to that of other publicly listed companies, which would increase its general and administrative expenses and could materially and adversely affect its profitability. SoundHound AI will evaluate these rules and regulations, and cannot predict or estimate the amount of additional costs SoundHound AI may incur or the timing of such costs.</w:t>
      </w:r>
    </w:p>
    <w:p>
      <w:pPr>
        <w:spacing w:after="0" w:line="11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SoundHound AI’s executive officers have limited experience in the management of a publicly 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the post-combination company. SoundHound AI may not have adequate personnel with the appropriate level of knowledge, experience and training in the accounting policies, practices or internal control over financial reporting required of public companies. SoundHound AI’s management will need to continually assess its staffing and training procedures to improve its internal control over financial reporting. For example, SoundHound AI did not timely file its Form 10-Q for the quarter ended March 31, 2021 and unless the matters discussed in this risk factor and elsewhere in this prospectus are mitigated, the risk exists that SoundHound AI may not be able to file timely in the future. Further, the development, implementation, documentation and assessment of appropriate processes, in addition to the need to remediate any potential deficiencies, will require substantial time and attention from management. The development and implementation of the standards and controls necessary for us to achieve the level of accounting standards required of a public company may require costs greater than expected. It is possible that SoundHound AI will be required to expand its employee base and hire additional employees to support its operations as a public company which will increase our operating costs in future periods.</w:t>
      </w:r>
    </w:p>
    <w:p>
      <w:pPr>
        <w:spacing w:after="0" w:line="328"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Changing laws, regulations and standards relating to corporate governance and public disclosure, including regulations implemented by the SEC and the Nasdaq, are subject to varying interpretations, and as a result, their application in practice may evolve over time as new guidance is provided by regulatory and governing bodies. SoundHound AI intends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99"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on committees of our Board or as members of senior management.</w:t>
      </w:r>
    </w:p>
    <w:p>
      <w:pPr>
        <w:spacing w:after="0" w:line="16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publish inaccurate or unfavorable research or reports about SoundHound AI’s business, its stock price and trading volume could decline.</w:t>
      </w:r>
    </w:p>
    <w:p>
      <w:pPr>
        <w:spacing w:after="0" w:line="7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trading market for the Class A Common Stock depends, in part, on the research and reports that third-party securities analysts publish about us and the industries in which we operate. We may be unable or slow to attract research coverage and if one or more analysts cease coverage of us, the price and trading volume of our securities would likely be negatively impacted. If any of the analysts that may cover us change their recommendation regarding</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9" w:name="page40"/>
    <w:bookmarkEnd w:id="3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2" w:lineRule="auto"/>
        <w:rPr>
          <w:sz w:val="20"/>
          <w:szCs w:val="20"/>
          <w:color w:val="auto"/>
        </w:rPr>
      </w:pPr>
      <w:r>
        <w:rPr>
          <w:rFonts w:ascii="Times New Roman" w:cs="Times New Roman" w:eastAsia="Times New Roman" w:hAnsi="Times New Roman"/>
          <w:sz w:val="17"/>
          <w:szCs w:val="17"/>
          <w:color w:val="auto"/>
        </w:rPr>
        <w:t>our Class A Common Stock adversely, or provide more favorable relative recommendations about our competitors, the price of our Class A Common Stock would likely decline. If any analyst that may cover us ceases covering us or fails to regularly publish reports on us, we could lose visibility in the financial markets, which could cause the price or trading volume of our Class A Common Stock to decline. Moreover, if one or more of the analysts who cover us downgrades our Class A Common Stock, or if our reporting results do not meet their expectations, the market price of our Class A Common Stock could decline.</w:t>
      </w:r>
    </w:p>
    <w:p>
      <w:pPr>
        <w:spacing w:after="0" w:line="171"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 may be subject to securities litigation, which is expensive and could divert management attention.</w:t>
      </w:r>
    </w:p>
    <w:p>
      <w:pPr>
        <w:spacing w:after="0" w:line="7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per share price of our Class A Common Stock may be volatile and, in the past, companies that have experienced volatility in the market price of their stock have been subject to securities litigation, including class action litigation. Litigation of this type could result in substantial costs and diversion of management’s attention and resources, which could have a material adverse effect on our business, financial condition, and results of operations. Any adverse determination in litigation could also subject SoundHound AI to significant liabilities.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Applicable to a Dual Class Common Stock Structure</w:t>
      </w:r>
    </w:p>
    <w:p>
      <w:pPr>
        <w:spacing w:after="0" w:line="218" w:lineRule="exact"/>
        <w:rPr>
          <w:sz w:val="20"/>
          <w:szCs w:val="20"/>
          <w:color w:val="auto"/>
        </w:rPr>
      </w:pPr>
    </w:p>
    <w:p>
      <w:pPr>
        <w:jc w:val="both"/>
        <w:ind w:left="600" w:right="61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SoundHound AI has a dual class common stock structure that has the effect of concentrating voting control with the holders of our Class B Common Stock. Our Class B Common Stock has multiple votes per share and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adversely affect the trading price of our Class A Common stock.</w:t>
      </w:r>
    </w:p>
    <w:p>
      <w:pPr>
        <w:spacing w:after="0" w:line="10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SoundHound AI has a dual class common stock structure and the holders of SoundHound AI Class B Common Stock have ten votes per share. SoundHound Founders own shares of Class B Common Stock representing approximately 71% of the voting power of the outstanding capital stock of SoundHound AI. In addition, because of the ten-to-one voting ratio between our Class B and Class A Common Stock, holders of our Class B Common Stock could continue to control a majority of the combined voting power of our common stock and therefore control all matters submitted to our stockholders for approval until such time, if any, as a sufficient number of shares of our Class B Common Stock are converted into shares of our Class A Common Stock in accordance with the terms of the Amended Charter.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 As a result, such concentrated control may adversely affect the market price of our Class A Common Stock.</w:t>
      </w:r>
    </w:p>
    <w:p>
      <w:pPr>
        <w:spacing w:after="0" w:line="99"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Shares of Class B Common Stock are convertible into shares of Class A Common Stock and will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73" w:lineRule="exact"/>
        <w:rPr>
          <w:sz w:val="20"/>
          <w:szCs w:val="20"/>
          <w:color w:val="auto"/>
        </w:rPr>
      </w:pPr>
    </w:p>
    <w:p>
      <w:pPr>
        <w:jc w:val="both"/>
        <w:ind w:left="600" w:right="619"/>
        <w:spacing w:after="0" w:line="288" w:lineRule="auto"/>
        <w:rPr>
          <w:sz w:val="20"/>
          <w:szCs w:val="20"/>
          <w:color w:val="auto"/>
        </w:rPr>
      </w:pPr>
      <w:r>
        <w:rPr>
          <w:rFonts w:ascii="Times New Roman" w:cs="Times New Roman" w:eastAsia="Times New Roman" w:hAnsi="Times New Roman"/>
          <w:sz w:val="17"/>
          <w:szCs w:val="17"/>
          <w:b w:val="1"/>
          <w:bCs w:val="1"/>
          <w:i w:val="1"/>
          <w:iCs w:val="1"/>
          <w:color w:val="auto"/>
        </w:rPr>
        <w:t>The Amended Charter provides for a dual-class multiple voting common stock structure, and we cannot predict the effect this structure of our common stock may have on the market price of our Class A Common Stock.</w:t>
      </w:r>
    </w:p>
    <w:p>
      <w:pPr>
        <w:spacing w:after="0" w:line="302"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We cannot predict whether having an Amended Charter that permits the issuance of multiple voting shares in a dual-class structure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w:t>
      </w:r>
    </w:p>
    <w:p>
      <w:pPr>
        <w:sectPr>
          <w:pgSz w:w="11900" w:h="16838" w:orient="portrait"/>
          <w:cols w:equalWidth="0" w:num="1">
            <w:col w:w="9019"/>
          </w:cols>
          <w:pgMar w:left="1440" w:top="264"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40" w:name="page41"/>
    <w:bookmarkEnd w:id="4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57" w:lineRule="auto"/>
        <w:rPr>
          <w:sz w:val="20"/>
          <w:szCs w:val="20"/>
          <w:color w:val="auto"/>
        </w:rPr>
      </w:pPr>
      <w:r>
        <w:rPr>
          <w:rFonts w:ascii="Times New Roman" w:cs="Times New Roman" w:eastAsia="Times New Roman" w:hAnsi="Times New Roman"/>
          <w:sz w:val="17"/>
          <w:szCs w:val="17"/>
          <w:color w:val="auto"/>
        </w:rPr>
        <w:t>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adversely affect valuations, as compared to similar companies that are included. Due to the dual-class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83"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are considered a “controlled company” within the meaning of Nasdaq listing standards and, as a result, qualify for, and may rely on, exemptions from certain corporate governance requirements. You will not have the same protections afforded to shareholders of companies that are subject to such requirements.</w:t>
      </w:r>
    </w:p>
    <w:p>
      <w:pPr>
        <w:spacing w:after="0" w:line="96"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 has a dual class structure and pursuant to the Business Combination, SoundHound Founders exchanged their shares of SoundHound Class B Common Stock for shares of Class B Common Stock of SoundHound AI which allows SoundHound Founders to also control a majority of the voting power of SoundHound AI after the Business Combination.</w:t>
      </w:r>
    </w:p>
    <w:p>
      <w:pPr>
        <w:spacing w:after="0" w:line="10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SoundHound AI qualifies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consists of independent directors, (ii) we have a compensation committee that is composed entirely of independent directors and (iii) director nominees be selected or recommended to the Board by independent directors. We are currently in compliance with all of these corporate governance requirements. However, SoundHound AI may in the future rely on the corporate governance exemptions as we adopted the dual class common stock structure reflected in our Amended and Restated Charter and qualify as a controlled company. To the extent we will rely on any of these exemption, holders of our Class A Common Stock will not have the same protections afforded to shareholders of companies that are subject to all of the corporate governance requirements of Nasdaq and we cannot predict the impact this may have on the price of our Class A Common Stock.</w:t>
      </w:r>
    </w:p>
    <w:p>
      <w:pPr>
        <w:spacing w:after="0" w:line="177"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Delaware law and provisions in our charter documents could make a merger, tender offer, or proxy contest difficult, thereby depressing the trading price of our Class A Common Stock.</w:t>
      </w:r>
    </w:p>
    <w:p>
      <w:pPr>
        <w:spacing w:after="0" w:line="6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Amended Charter, Amended Bylaws, and Delaware law contain provisions that could depress the trading price of our Class A Common Stock by acting to discourage, delay, or prevent a change of control of SoundHound AI or changes in SoundHound AI that our management or stockholders may deem advantageous. Among other things, the Amended Charter and Amended Bylaws include the following provisions:</w:t>
      </w:r>
    </w:p>
    <w:p>
      <w:pPr>
        <w:spacing w:after="0" w:line="105" w:lineRule="exact"/>
        <w:rPr>
          <w:sz w:val="20"/>
          <w:szCs w:val="20"/>
          <w:color w:val="auto"/>
        </w:rPr>
      </w:pPr>
    </w:p>
    <w:p>
      <w:pPr>
        <w:ind w:left="1440" w:right="619" w:hanging="418"/>
        <w:spacing w:after="0" w:line="293" w:lineRule="auto"/>
        <w:tabs>
          <w:tab w:leader="none" w:pos="14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the Board to establish the number of directors and fill any vacancies and newly created directorships;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the issuance of “blank check” preferred stock that our Board could use to implement a stockholder rights plan;</w:t>
      </w:r>
    </w:p>
    <w:p>
      <w:pPr>
        <w:spacing w:after="0" w:line="68"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eliminates the ability of our stockholders to call special meetings of stockholders, except to the extent otherwise provided in the Amended Bylaws;</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85" w:lineRule="auto"/>
        <w:tabs>
          <w:tab w:leader="none" w:pos="14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stockholder action by written consent, except to the extent otherwise provided in the Amended Bylaws, which requires all stockholder actions to be taken at a meeting of our stockholders;</w:t>
      </w:r>
    </w:p>
    <w:p>
      <w:pPr>
        <w:spacing w:after="0" w:line="30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the Board is expressly authorized to make, alter, or repeal our Amended Bylaws; and</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advance notice requirements for nominations for election to our Board or for proposing matters that can be acted upon by stockholders at annual stockholder meetings.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1" w:name="page42"/>
    <w:bookmarkEnd w:id="4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These provisions, alone or together, could delay or prevent hostile takeovers and changes in control or changes in our management. As a Delaware corporation, we are also subject to provisions of Delaware law. Pursuant to the Amended Charter, we have opted out of Section 203 of the DGCL, which prevents interested stockholders, such as certain stockholders holding more than 15% of our outstanding common stock, from engaging in certain business combinations unless (i) prior to the time such stockholder became an interested stockholder, our Board approved the transaction that resulted in such stockholder becoming an interested stockholder, (ii) upon consummation of the transaction that resulted in such stockholder becoming an interested stockholder, the interested stockholder owned at least 85% of our common stock, or (iii) following Board approval, such business combination receives the approval of the holders of at least two-thirds of our outstanding common stock not held by such interested stockholder at an annual or special meeting of stockholders. However, our Amended Charter includes provisions similar to the provisions contained in Section 203 of the DGCL, which are designed to limit SoundHound AI’s ability to enter into certain business combination transactions within a three (3) year period following the adoption of the Amended Charter.</w:t>
      </w:r>
    </w:p>
    <w:p>
      <w:pPr>
        <w:spacing w:after="0" w:line="11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Any provision of our Amended Charter, our Amended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Related to U.S. and International Taxation Generally</w:t>
      </w:r>
    </w:p>
    <w:p>
      <w:pPr>
        <w:spacing w:after="0" w:line="21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Changes in tax laws or exposure to additional income tax liabilities could affect SoundHound AI’s future profitability.</w:t>
      </w:r>
    </w:p>
    <w:p>
      <w:pPr>
        <w:spacing w:after="0" w:line="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Factors that could materially affect SoundHound AI’s future effective tax rates include but are not limited</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w:t>
      </w:r>
    </w:p>
    <w:p>
      <w:pPr>
        <w:spacing w:after="0" w:line="124" w:lineRule="exact"/>
        <w:rPr>
          <w:sz w:val="20"/>
          <w:szCs w:val="20"/>
          <w:color w:val="auto"/>
        </w:rPr>
      </w:pPr>
    </w:p>
    <w:p>
      <w:pPr>
        <w:ind w:left="1440" w:hanging="418"/>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or the regulatory environment;</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and tax standards or practices;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composition of operating income by tax jurisdiction; and</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SoundHound AI’s operating results before taxes.</w:t>
      </w:r>
    </w:p>
    <w:p>
      <w:pPr>
        <w:spacing w:after="0" w:line="15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Because SoundHound AI does not have a long history of operating at its present scale and it has significant expansion plans, SoundHound AI’s effective tax rate may fluctuate in the future. Future effective tax rates could be affected by operating losses in jurisdictions where no tax benefit can be recorded under GAAP, changes in the composition of earnings in countries with differing tax rates, changes in deferred tax assets and liabilities, or changes in tax laws.</w:t>
      </w:r>
    </w:p>
    <w:p>
      <w:pPr>
        <w:spacing w:after="0" w:line="10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On December 22, 2017, the Tax Cuts and Jobs Act of 2017 (the “Tax Act”), was signed into law making significant changes to the Internal Revenue Code of 1986, as amended (the “Code”). In particular, sweeping changes were made to the U.S. taxation of foreign operations. Changes include, but are not limited to, a permanent reduction to the corporate income tax rate, limiting interest deductions, adopting elements of a territorial tax system, assessing a repatriation tax or “toll-charge” on undistributed earnings and profits of U.S.-owned foreign corporations, and introducing certain anti-base erosion provisions, including a new minimum tax on global intangible low-taxed income and base erosion and anti-abuse tax. The new legislation had no effect on SoundHound AI’s 2018 and 2019 or 2020 provision for income taxes because SoundHound AI incurred losses in the U.S. in these years, and the management set up a full valuation allowance against its U.S. federal and states deferred tax assets.</w:t>
      </w:r>
    </w:p>
    <w:p>
      <w:pPr>
        <w:spacing w:after="0" w:line="9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 addition to the impact of the Tax Act on SoundHound AI’s federal taxes, the Tax Act may impact its taxation in other jurisdictions, including with respect to state income taxes. State legislatures have not had sufficient time to respond to the Tax Act. Accordingly, there is uncertainty as to how the laws will apply in the various state jurisdictions. Additionally, other foreign governing bodies may enact changes to their tax laws that could result in changes to SoundHound AI’s global tax position and materially adversely affect its business, results of operations and financial condition. Additionally, the IRS and several foreign tax authorities have increasingly focused attention on intercompany transfer pricing with respect to sales of products and technologies and the use of intangibles. Tax authorities could disagree with SoundHound AI’s future intercompany charges, cross-jurisdictional transfer pricing or other matters and assess additional taxes. If SoundHound AI does not prevail in any such disagreements, its profitability may be affected.</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2" w:name="page43"/>
    <w:bookmarkEnd w:id="4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ability to use its net operating loss carryforwards and certain other tax attributes may be limited.</w:t>
      </w:r>
    </w:p>
    <w:p>
      <w:pPr>
        <w:spacing w:after="0" w:line="64"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As of December 31, 2021, SoundHound AI had $301.5 million of U.S. federal and $102.9 million of state net operating loss carryforwards available to reduce future taxable income. Of the $301.5 million in U.S. federal net operating loss carryforwards, $212.9 million will be carried forward indefinitely for U.S. federal tax purposes and $88.6 million will begin to expire in 2025. $102.9 million of SoundHound AI’s U.S. state net operating loss carryforwards will begin to expire in 2028. It is possible that SoundHound AI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SoundHound AI’s ownership by “5-percent shareholders” that exceeds 50 percentage points over a rolling three-year period. Similar rules may apply under state tax laws. SoundHound AI has not yet undertaken an analysis of whether the Business Combination constitutes an “ownership change” for purposes of Section 382 and Section 383 of the Code. In addition, certain U.S. states have imposed additional limitations on the use of net operating loss carryforwards not otherwise imposed on the use of U.S. federal net operating loss carryforwards and may impose additional limitations in the future.</w:t>
      </w:r>
    </w:p>
    <w:p>
      <w:pPr>
        <w:spacing w:after="0" w:line="17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7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are subject to income taxes in the United States and other jurisdictions, and our tax liabilities will be subject to the allocation of expenses in differing jurisdictions. Our future effective tax rates could be subject to volatility or adversely affected by a number of factors, including:</w:t>
      </w:r>
    </w:p>
    <w:p>
      <w:pPr>
        <w:spacing w:after="0" w:line="97" w:lineRule="exact"/>
        <w:rPr>
          <w:sz w:val="20"/>
          <w:szCs w:val="20"/>
          <w:color w:val="auto"/>
        </w:rPr>
      </w:pPr>
    </w:p>
    <w:p>
      <w:pPr>
        <w:ind w:left="1440" w:hanging="418"/>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valuation of our deferred tax assets and liabilities;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timing and amount of the release of any tax valuation allowances;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effects of stock-based compensation;</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intercompany restructurings;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regulations or interpretations thereof; or</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than anticipated future earnings in jurisdictions where we have lower statutory tax rates and higher than anticipated future earnings in jurisdictions where we have higher statutory tax rates.</w:t>
      </w:r>
    </w:p>
    <w:p>
      <w:pPr>
        <w:spacing w:after="0" w:line="8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3" w:name="page44"/>
    <w:bookmarkEnd w:id="4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COMMITTED EQUITY FINANCING</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On August 16, 2022, we entered into the Purchase Agreement with Cantor establishing the Facility. Upon the initial satisfaction of the conditions to Cantor’s obligation to purchase Class A Shares set forth in the Purchase Agreement (the “Commencement Date”), including that the registration statement of which this prospectus forms a part is declared effective by the SEC and a final prospectus relating thereto is filed with the SEC, we have the right from time to time at our option to direct Cantor to purchase up to the lesser of</w:t>
      </w:r>
    </w:p>
    <w:p>
      <w:pPr>
        <w:spacing w:after="0" w:line="3" w:lineRule="exact"/>
        <w:rPr>
          <w:sz w:val="20"/>
          <w:szCs w:val="20"/>
          <w:color w:val="auto"/>
        </w:rPr>
      </w:pPr>
    </w:p>
    <w:p>
      <w:pPr>
        <w:ind w:left="600" w:right="619" w:firstLine="6"/>
        <w:spacing w:after="0" w:line="270" w:lineRule="auto"/>
        <w:tabs>
          <w:tab w:leader="none" w:pos="833"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25,000,000 shares of Common Stock and (ii) the Exchange Cap (as defined below), subject to certain limitations and conditions set forth in the Purchase Agreement (the “Committed Equity Financing”).</w:t>
      </w:r>
    </w:p>
    <w:p>
      <w:pPr>
        <w:spacing w:after="0" w:line="10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Sales of shares of our Class A Common Stock to Cantor under the Purchase Agreement, and the timing of any sales, will be determined by us from time to time in our sole discretion and will depend on a variety of factors, including, among other things, market conditions, the trading price of our Class A Common Stock and determinations by us regarding the use of proceeds from any sale of such shares. The net proceeds from any sales under the Facility will depend on the frequency with, and prices at, which the shares of Class A Common Stock are sold to Cantor.</w:t>
      </w:r>
    </w:p>
    <w:p>
      <w:pPr>
        <w:spacing w:after="0" w:line="110"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In connection with the execution of the Purchase Agreement, the Company also has agreed to issue to the Holder 250,000 shares of Class A Common Stock (the “Commitment Shares”) as consideration for its irrevocable commitment to purchase the shares of Class A Common Stock upon the terms and subject to the satisfaction of the conditions set forth in the Purchase Agreement. Pursuant to a separate side letter agreement between the Company and the Holder, the Company and the Holder have agreed that the Company will make a cash payment of $250,000 to the Holder within 120 days after the Commencement Date. Unless earlier terminated, the Purchase Agreement will remain in effect until the first day of the month next following the 36-month period commencing on the date of this prospectus.</w:t>
      </w:r>
    </w:p>
    <w:p>
      <w:pPr>
        <w:spacing w:after="0" w:line="9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Under applicable Nasdaq rules, and pursuant to the Purchase Agreement, in no event may we issue to Cantor and Cantor may not purchase or acquire share of Class A Common Stock, to the extent that after giving effect thereto, the aggregate number of shares of Class A Common Stock that would be issued pursuant to the Purchase Agreement and the transactions contemplated thereby would exceed 32,052,092 shares of Class A Common stock (representing 19.99% of the voting power or number of shares of Class A Common Stock, issued and outstanding immediately prior to the execution of the Purchase Agreement), which number of shares shall be reduced, on a share-for-share basis, by the number of shares of Class A Common Stock issued or issuable pursuant to any transaction or series of transactions that may be aggregated with the transactions contemplated under the Purchase Agreement under applicable Nasdaq rules of (more than 19.99% of the total number of shares of our Class A Common Stock that were outstanding immediately prior to the execution of the Purchase Agreement, unless we obtain prior shareholder approval (the “Exchange Cap”).</w:t>
      </w:r>
    </w:p>
    <w:p>
      <w:pPr>
        <w:spacing w:after="0" w:line="10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 addition, Cantor is not obligated to buy any shares of Class A Common Stock under the Purchase Agreement if such shares, when aggregated with all other shares of Class A Common Stock then beneficially owned by Cantor and its affiliates (as calculated pursuant to Section 13(d) of the Exchange Act and Rule 13d-3 promulgated thereunder), would result in Cantor beneficially owning shares in excess of 4.99% of our outstanding shares of Class A Common Stock (the “Beneficial Ownership Cap”). The purpose of this limitation is to ensure that the Holder is not at any time deemed to own 5% of greater of the outstanding shares of our Class A Common Stock. For clarity, the Beneficial Ownership Cap does not preclude the Holder from acquiring, in the aggregate, more than 4.99% of our outstanding shares of Class A Common Stock, it only precludes the Holder from owning more than 4.99% of our outstanding shares of Class A Common Stock at any given time.</w:t>
      </w:r>
    </w:p>
    <w:p>
      <w:pPr>
        <w:spacing w:after="0" w:line="323"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We also entered into a Registration Rights Agreement (the “Registration Rights Agreement”) with Cantor, pursuant to which we filed the registration statement of which this prospectus forms a part.</w:t>
      </w:r>
    </w:p>
    <w:p>
      <w:pPr>
        <w:spacing w:after="0" w:line="68"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Purchase Agreement contains customary registration rights, representations, warranties, conditions and indemnification obligations by each party. The representations, warranties and covenants contained in the Purchase Agreement were made only for purposes of the Purchase Agreement and as of specific dates, were solely for the benefit of the parties to such agreements and are subject to certain important limitations.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4" w:name="page45"/>
    <w:bookmarkEnd w:id="4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VWAP Purchase of Shares Under the Purchase Agreement</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From and after the Commencement Date, subject to certain conditions, including relating to the then current market price of our Class A Common Stock, we will have the right, but not the obligation, from time to time at our sole discretion, until the first day of the month next following the 36-month period from the Commencement Date, to direct Cantor to purchase up to a specified maximum amount of shares of our Class A Common Stock (each such purchase, a “VWAP Purchase”) by delivering written notice to Cantor (such notice, a “VWAP Purchase Notice”) prior to the commencement of trading on any trading day (the “VWAP Purchase Date”), so long as all shares of Class A Common Stock subject to all prior VWAP Purchases by Cantor have previously been delivered to Cantor.</w:t>
      </w:r>
    </w:p>
    <w:p>
      <w:pPr>
        <w:spacing w:after="0" w:line="112"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maximum number of shares of Class A Common Stock that Cantor is required to purchase in any single VWAP Purchase under the Purchase Agreement is equal to the lesser of: (i) a number of shares of Class A Common Stock which, when aggregated with all other shares then beneficially owned by Cantor and its affiliates (as calculated pursuant to Section 13(d) of the Exchange Act and Rule 13d-3 promulgated thereunder), would result in Cantor beneficially owning shares of Class A Common Stock equal to (but not exceeding) the Beneficial Ownership Cap; (ii) a number of shares of Class A Common Stock equal to 20% of the total number (or volume) of shares of Class A Common Stock traded on Nasdaq during normal trading hours on the applicable VWAP Purchase Date; and (iii) the Company’s good faith estimate of the number Class A Shares that Cantor will have the obligation to purchase pursuant to the VWAP Purchase Notice.</w:t>
      </w:r>
    </w:p>
    <w:p>
      <w:pPr>
        <w:spacing w:after="0" w:line="11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purchase price per share to be purchased by Cantor in such VWAP Purchase on such VWAP Purchase Date equal to 97.0% of the VWAP over normal trading hours on such VWAP Purchase Date for such VWAP Purchase (the “VWAP Purchase Price”). Notwithstanding anything in this Agreement to the contrary, on any trading day on which we deliver, and Cantor accepts, a VWAP Purchase Notice for a percentage in excess of 20%, the VWAP Purchase Price shall be calculated using the lower of (i) the VWAP over normal trading hours on such VWAP Purchase Date; and (ii) the lowest Sale Price in any block sold on such Trading Day following the delivery and acceptance of such VWAP Purchase Notice for a percentage in excess of 20%. “VWAP” is defined as, for the Class A Common Stock for a specified period, the dollar volume-weighted average price for the Class A Common Stock on the Principal Market (as defined in the Purchase Agreement), for such period, as reported by Bloomberg through its “AQR” function. All such determinations shall be appropriately adjusted for any stock dividend, stock split, stock combination, recapitalization or other similar transaction during such period.</w:t>
      </w:r>
    </w:p>
    <w:p>
      <w:pPr>
        <w:spacing w:after="0" w:line="313"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At or prior to 5:30 p.m., New York City time, on the applicable VWAP Purchase Date, Cantor will provide us with a written confirmation for such VWAP Purchase setting forth the applicable VWAP Purchase Price per share to be paid by Cantor and the total aggregate VWAP Purchase Price to be paid by Cantor for the total number of shares of our Class A Common Stock purchased by Cantor in such VWAP Purchase.</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payment for, against delivery of, shares of Class A Common Stock purchased by Cantor in a VWAP Purchase under the Purchase Agreement is required to be fully settled by 5:00 p.m., New York City time, on the second trading day immediately following the applicable date of such VWAP Purchase Date, as set forth in the Purchase Agreement.</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Conditions Precedent to Commencement and Each VWAP Purchase</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Cantor’s obligation to accept VWAP Purchase Notices that are timely delivered by us under the Purchase Agreement and to purchase shares of our Class A Common Stock in VWAP Purchases under the Purchase Agreement, are subject to the satisfaction, at the official open of trading on the VWAP Purchase Date, of the conditions precedent thereto set forth in the Purchase Agreement, which conditions include, among others, the following:</w:t>
      </w:r>
    </w:p>
    <w:p>
      <w:pPr>
        <w:spacing w:after="0" w:line="94" w:lineRule="exact"/>
        <w:rPr>
          <w:sz w:val="20"/>
          <w:szCs w:val="20"/>
          <w:color w:val="auto"/>
        </w:rPr>
      </w:pPr>
    </w:p>
    <w:p>
      <w:pPr>
        <w:jc w:val="both"/>
        <w:ind w:left="1440" w:right="619" w:hanging="418"/>
        <w:spacing w:after="0" w:line="274" w:lineRule="auto"/>
        <w:tabs>
          <w:tab w:leader="none" w:pos="143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accuracy (in all material respects, if not qualified by materiality or Material Adverse Effect (as defined in the Purchase Agreement)) of the representations and warranties of the Company and Cantor included in the Purchase Agreement;</w:t>
      </w:r>
    </w:p>
    <w:p>
      <w:pPr>
        <w:spacing w:after="0" w:line="97"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having performed, satisfied and complied in all material respects with all covenants, agreements and conditions required by the Purchase Agreement to be performed, satisfied or complied with by the Company;</w:t>
      </w:r>
    </w:p>
    <w:p>
      <w:pPr>
        <w:spacing w:after="0" w:line="97"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Cantor nor any affiliate of Cantor, in the prior 30 calendar days, having published or distributed any research report concerning us;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5" w:name="page46"/>
    <w:bookmarkEnd w:id="4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1440" w:right="619" w:hanging="418"/>
        <w:spacing w:after="0" w:line="267" w:lineRule="auto"/>
        <w:tabs>
          <w:tab w:leader="none" w:pos="14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 of which this prospectus forms a part having been declared effective under the Securities Act by the SEC and not being subject to any stop order, and Cantor being permitted to utilize this prospectus to resell all of the shares of our Class A Common Stock included in this prospectus;</w:t>
      </w:r>
    </w:p>
    <w:p>
      <w:pPr>
        <w:spacing w:after="0" w:line="104" w:lineRule="exact"/>
        <w:rPr>
          <w:rFonts w:ascii="Times New Roman" w:cs="Times New Roman" w:eastAsia="Times New Roman" w:hAnsi="Times New Roman"/>
          <w:sz w:val="17"/>
          <w:szCs w:val="17"/>
          <w:color w:val="auto"/>
        </w:rPr>
      </w:pPr>
    </w:p>
    <w:p>
      <w:pPr>
        <w:jc w:val="both"/>
        <w:ind w:left="1440" w:right="619" w:hanging="418"/>
        <w:spacing w:after="0" w:line="259" w:lineRule="auto"/>
        <w:tabs>
          <w:tab w:leader="none" w:pos="14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following having occurred and being in continuance: the receipt of certain requests from governmental authorities relating to the registration statement; the issuance of certain orders by governmental authorities relating to the registration statement; any objection from FINRA to the terms of the transactions contemplated by the Purchase Agreement; or the occurrence any event or the existence of any condition or state of facts which makes any statement of a material fact made in the registration statement or this prospectus untrue or which requires the making of any additions to or changes to the statements then made in the registration statement or this prospectus in order to state a material fact required by the Securities Act to be stated therein or necessary in order to make the statements then made therein (in the case of this prospectus, in the light of the circumstances under which they were made) not misleading, or which requires an amendment to the registration statement or this prospectus to comply with the Securities Act or any other law;</w:t>
      </w:r>
    </w:p>
    <w:p>
      <w:pPr>
        <w:spacing w:after="0" w:line="109"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reports, schedules, registrations, forms, statements, information and other documents required to have been filed by the Company with the SEC pursuant to the reporting requirements of the Exchange Act having been filed with the SEC;</w:t>
      </w:r>
    </w:p>
    <w:p>
      <w:pPr>
        <w:spacing w:after="0" w:line="84" w:lineRule="exact"/>
        <w:rPr>
          <w:rFonts w:ascii="Times New Roman" w:cs="Times New Roman" w:eastAsia="Times New Roman" w:hAnsi="Times New Roman"/>
          <w:sz w:val="17"/>
          <w:szCs w:val="17"/>
          <w:color w:val="auto"/>
        </w:rPr>
      </w:pPr>
    </w:p>
    <w:p>
      <w:pPr>
        <w:jc w:val="both"/>
        <w:ind w:left="1440" w:right="619" w:hanging="418"/>
        <w:spacing w:after="0" w:line="267" w:lineRule="auto"/>
        <w:tabs>
          <w:tab w:leader="none" w:pos="14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in the Class A Common Stock having not been suspended by the SEC, Nasdaq or the FINRA, and our having not received any final and non-appealable notice that the listing or quotation of the Class A Common Stock on Nasdaq shall be terminated on a date certain, subject to certain limited exceptions; and</w:t>
      </w:r>
    </w:p>
    <w:p>
      <w:pPr>
        <w:spacing w:after="0" w:line="104"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by Cantor of customary legal opinions and auditor comfort letters, and customary bring-down legal opinions and auditor comfort letters, as required under the Purchase Agreement.</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Termination of the Purchase Agreement</w:t>
      </w:r>
    </w:p>
    <w:p>
      <w:pPr>
        <w:spacing w:after="0" w:line="157"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Unless earlier terminated as provided in the Purchase Agreement, the Purchase Agreement will terminate automatically on the earliest to occur of:</w:t>
      </w:r>
    </w:p>
    <w:p>
      <w:pPr>
        <w:spacing w:after="0" w:line="68" w:lineRule="exact"/>
        <w:rPr>
          <w:sz w:val="20"/>
          <w:szCs w:val="20"/>
          <w:color w:val="auto"/>
        </w:rPr>
      </w:pPr>
    </w:p>
    <w:p>
      <w:pPr>
        <w:ind w:left="1440" w:hanging="418"/>
        <w:spacing w:after="0"/>
        <w:tabs>
          <w:tab w:leader="none" w:pos="14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day of the month next following the 36-month anniversary of the date of this prospectus;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Cantor shall have purchased 25,000,000 shares of our Class A Common Stock under the Purchase Agreement;</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our Class A Common Stock shall have failed to be listed or quoted on Nasdaq or any alternative market; and</w:t>
      </w:r>
    </w:p>
    <w:p>
      <w:pPr>
        <w:spacing w:after="0" w:line="68"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we commence a voluntary bankruptcy case or any person commences a proceeding against us, a custodian is appointed for us or for all or substantially all of our property, or we make a general assignment for the benefit of its creditors.</w:t>
      </w:r>
    </w:p>
    <w:p>
      <w:pPr>
        <w:spacing w:after="0" w:line="9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Pursuant to the Purchase Agreement, we may terminate the agreement after the Commencement Date effective upon three trading days’ prior written notice to Cantor in accordance with the Purchase Agreement.</w:t>
      </w:r>
    </w:p>
    <w:p>
      <w:pPr>
        <w:spacing w:after="0" w:line="8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Purchase Agreement may be terminated at any time by the mutual written consent of the parties, effective as of the date of such mutual written consent unless otherwise provided in such written consent.</w:t>
      </w:r>
    </w:p>
    <w:p>
      <w:pPr>
        <w:spacing w:after="0" w:line="68"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Cantor shall have the right to terminate the Purchase Agreement effective upon three trading days’ prior written notice to us, which notice shall be made in accordance with the Purchase Agreement, if: (a) any condition, occurrence, state of facts or event constituting a Material Adverse Effect has occurred and is continuing; (b) a Fundamental Transaction (as defined in the Purchase Agreement) shall have occurred; (c) we are in breach or default in any material respect of any of our covenants and agreements in the Registration Rights Agreement, and, if such breach or default is capable of being cured, such breach or default is not cured within 15 trading days after notice of such breach or default is delivered to us; (d) while the registration statement of which this prospectus forms a part is required to be maintained effective pursuant to the Registration Rights Agreement and Cantor holds any securities required to be registered pursuant to the Registration Rights Agreement, the effectiveness of the registration statement lapses for any reason</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6" w:name="page47"/>
    <w:bookmarkEnd w:id="4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0" w:lineRule="auto"/>
        <w:rPr>
          <w:sz w:val="20"/>
          <w:szCs w:val="20"/>
          <w:color w:val="auto"/>
        </w:rPr>
      </w:pPr>
      <w:r>
        <w:rPr>
          <w:rFonts w:ascii="Times New Roman" w:cs="Times New Roman" w:eastAsia="Times New Roman" w:hAnsi="Times New Roman"/>
          <w:sz w:val="17"/>
          <w:szCs w:val="17"/>
          <w:color w:val="auto"/>
        </w:rPr>
        <w:t>(including, without limitation, the issuance of a stop order by the SEC) or the registration statement or this prospectus otherwise becomes unavailable to Cantor for the resale of all of the securities required to be registered, and such lapse or unavailability continues for a period of 45 consecutive trading days or for more than an aggregate of 90 trading days in any 365-day period, other than due to acts of Cantor; (e) trading in the Class A Common Stock on Nasdaq shall have been suspended and such suspension continues for a period of five consecutive trading days; or (f) we are in material breach or default of any of our covenants and agreements contained in the Purchase Agreement, and, if such breach or default is capable of being cured, such breach or default is not cured within 15 trading days after notice of such breach or default is delivered to us.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 Short-Selling or Hedging by Cantor</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Subject to the terms of the Purchase Agreement, Cantor has agreed that, during the term of the Purchase Agreement, neither it nor any entity managed or controlled by it, will engage in or effect, directly or indirectly, engage in any “short sale” (as such term is defined in Rule 200 of Regulation SHO of the Exchange Act) of the Class A Common Stock or hedging transaction, which establishes a net short position with respect to the Class A Common Stock, for the principal account of Cantor or any entity managed or controlled by Cantor.</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Prohibition on Similar Transactions</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We have agreed not to effect or enter into an agreement to effect an “equity line of credit,” “at the market offering,” “equity distribution program” or any similar transaction whereby we may issue or sell Class A Common Stock or Class A Common Stock equivalents at a future determined price, other than in connection with certain exempt issuances.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Effect of Sales of Our Shares under the Purchase Agreement on Our Stockholders</w:t>
      </w:r>
    </w:p>
    <w:p>
      <w:pPr>
        <w:spacing w:after="0" w:line="144"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shares of Class A Common Stock being registered for resale in this offering may be issued and sold by us to Cantor from time to time at our discretion over a period until the first day of the month next following the 36-month anniversary of the date of this prospectus, unless the Purchase Agreement is earlier terminated as described above. The resale by Cantor of a significant number of shares registered for resale in this offering at any given time, or the perception that these sales may occur, could cause the market price of our Class A Common Stock to decline and to be highly volatile. Sales of shares of our Class A Common Stock, if any, to Cantor under the Purchase Agreement will be determined by us in our sole discretion and will depend upon market conditions and other factors. We may ultimately decide to sell to Cantor all, some or none of the shares of our Class A Common Stock that may be available for us to sell to Cantor pursuant to the Purchase Agreement. If and when we elect to sell shares of our Class A Common Stock to Cantor pursuant to the Purchase Agreement, Cantor may resell all, some or none of such shares at any time or from time to time in its discretion and at different prices. As a result, investors who purchase shares from Cantor in this offering at different times will likely pay different prices for those shares, and so may experience different levels of dilution and in some cases substantial dilution and different outcomes in their investment results. See “</w:t>
      </w:r>
      <w:r>
        <w:rPr>
          <w:rFonts w:ascii="Times New Roman" w:cs="Times New Roman" w:eastAsia="Times New Roman" w:hAnsi="Times New Roman"/>
          <w:sz w:val="17"/>
          <w:szCs w:val="17"/>
          <w:i w:val="1"/>
          <w:iCs w:val="1"/>
          <w:color w:val="auto"/>
        </w:rPr>
        <w:t>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 — Risks Related to the Committed Equity Financing — Investors who buy shares of our Class A Common Stock from Cantor at different times will likely pay different prices.</w:t>
      </w:r>
      <w:r>
        <w:rPr>
          <w:rFonts w:ascii="Times New Roman" w:cs="Times New Roman" w:eastAsia="Times New Roman" w:hAnsi="Times New Roman"/>
          <w:sz w:val="17"/>
          <w:szCs w:val="17"/>
          <w:color w:val="auto"/>
        </w:rPr>
        <w:t>”</w:t>
      </w:r>
    </w:p>
    <w:p>
      <w:pPr>
        <w:spacing w:after="0" w:line="12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Investors may experience a decline in the value of the shares they purchase from Cantor in this offering as a result of future sales made by us to Cantor at prices lower than the prices such investors paid for their shares in this offering. In addition, if we sell a substantial number of shares of our Class A Common Stock to Cantor under the Purchase Agreement, or if investors expect that we will do so, the actual sales of shares or the mere existence of our arrangement with Cantor may make it more difficult for us to sell equity or equity-related securities in the future at a time and at a price that we might otherwise wish to effect such sales.</w:t>
      </w:r>
    </w:p>
    <w:p>
      <w:pPr>
        <w:spacing w:after="0" w:line="11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Because the purchase price per share to be paid by Cantor for the shares of our Class A Common Stock that we may elect to sell to Cantor under the Purchase Agreement, if any, will fluctuate based on the market prices of our Class A Common Stock during the applicable period for each VWAP Purchase made pursuant to the Purchase Agreement, if any, as of the date of this prospectus it is not possible for us to predict the actual purchase price per share to be paid by Cantor for those shares, or the actual gross proceeds to be raised by us from those sales, if any. As of January 27, 2023, 160,340,631 shares of our Class A Common Stock are issued and outstanding.</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7" w:name="page48"/>
    <w:bookmarkEnd w:id="4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If all of the 25,250,000 shares of our Class A Common Stock offered for resale by Cantor under this prospectus were issued and outstanding as of January 27, 2023, such shares would represent approximately 13.6% of the total number of our Class A Common Stock outstanding.</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number of shares of our Class A Common Stock ultimately offered for sale by Cantor for resale under this prospectus or under any future prospectus is dependent upon the number of shares, if any, we ultimately sell to Cantor under the Purchase Agreement. Further, if and when we elect to sell shares of our Class A Common Stock to Cantor pursuant to the Purchase Agreement, after Cantor has acquired such shares, Cantor may resell all, some or none of such shares at any time or from time to time in its discretion and at different prices.</w:t>
      </w:r>
    </w:p>
    <w:p>
      <w:pPr>
        <w:spacing w:after="0" w:line="1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issuance of our shares of our Class A Common Stock to Cantor pursuant to the Purchase Agreement will not affect the rights or privileges of our existing stockholders, except that the economic and voting interests of each of our existing stockholders will be diluted. Although the number of shares that our existing stockholders own will not decrease, the shares owned by our existing stockholders will represent a smaller percentage of our total outstanding Class A Common Stock after any such issuance.</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following table sets forth information at varying purchase prices assuming we sell to Cantor under the</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Purchase Agreement all 25,000,000 shares of Class A Common Stock at that price:</w:t>
      </w:r>
    </w:p>
    <w:p>
      <w:pPr>
        <w:spacing w:after="0" w:line="178"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Percentage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Outstanding Class 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6"/>
              </w:rPr>
              <w:t>Aggregate Purchase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Assumed Trading</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 of Shares</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Common Stock After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6"/>
              </w:rPr>
              <w:t>Price for Class A</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5"/>
              </w:rPr>
              <w:t>Price of Class A</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Sold Under the</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Giving Effect to</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7"/>
              </w:rPr>
              <w:t>Common Stock Sold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Facility</w:t>
            </w:r>
            <w:r>
              <w:rPr>
                <w:rFonts w:ascii="Times New Roman" w:cs="Times New Roman" w:eastAsia="Times New Roman" w:hAnsi="Times New Roman"/>
                <w:sz w:val="18"/>
                <w:szCs w:val="18"/>
                <w:b w:val="1"/>
                <w:bCs w:val="1"/>
                <w:color w:val="auto"/>
                <w:w w:val="94"/>
                <w:vertAlign w:val="superscript"/>
              </w:rPr>
              <w:t>(1)</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 Shares</w:t>
            </w:r>
            <w:r>
              <w:rPr>
                <w:rFonts w:ascii="Times New Roman" w:cs="Times New Roman" w:eastAsia="Times New Roman" w:hAnsi="Times New Roman"/>
                <w:sz w:val="18"/>
                <w:szCs w:val="18"/>
                <w:b w:val="1"/>
                <w:bCs w:val="1"/>
                <w:color w:val="auto"/>
                <w:vertAlign w:val="superscript"/>
              </w:rPr>
              <w:t>(2)</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Issuances to Cantor</w:t>
            </w:r>
            <w:r>
              <w:rPr>
                <w:rFonts w:ascii="Times New Roman" w:cs="Times New Roman" w:eastAsia="Times New Roman" w:hAnsi="Times New Roman"/>
                <w:sz w:val="18"/>
                <w:szCs w:val="18"/>
                <w:b w:val="1"/>
                <w:bCs w:val="1"/>
                <w:color w:val="auto"/>
                <w:w w:val="95"/>
                <w:vertAlign w:val="superscript"/>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5"/>
              </w:rPr>
              <w:t>Under the Facility</w:t>
            </w:r>
            <w:r>
              <w:rPr>
                <w:rFonts w:ascii="Times New Roman" w:cs="Times New Roman" w:eastAsia="Times New Roman" w:hAnsi="Times New Roman"/>
                <w:sz w:val="18"/>
                <w:szCs w:val="18"/>
                <w:b w:val="1"/>
                <w:bCs w:val="1"/>
                <w:color w:val="auto"/>
                <w:w w:val="95"/>
                <w:vertAlign w:val="superscript"/>
              </w:rPr>
              <w:t>(4)</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20"/>
                <w:szCs w:val="20"/>
                <w:color w:val="auto"/>
                <w:vertAlign w:val="superscript"/>
              </w:rPr>
              <w:t>(5)</w:t>
            </w:r>
          </w:p>
        </w:tc>
        <w:tc>
          <w:tcPr>
            <w:tcW w:w="10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8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24,250,000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r>
              <w:rPr>
                <w:rFonts w:ascii="Times New Roman" w:cs="Times New Roman" w:eastAsia="Times New Roman" w:hAnsi="Times New Roman"/>
                <w:sz w:val="20"/>
                <w:szCs w:val="20"/>
                <w:color w:val="auto"/>
                <w:vertAlign w:val="superscript"/>
              </w:rPr>
              <w:t>(6)</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43,892,500</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72,750,000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121,250,000</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169,750,000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242,500,000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____________</w:t>
      </w:r>
    </w:p>
    <w:p>
      <w:pPr>
        <w:spacing w:after="0" w:line="89" w:lineRule="exact"/>
        <w:rPr>
          <w:sz w:val="20"/>
          <w:szCs w:val="20"/>
          <w:color w:val="auto"/>
        </w:rPr>
      </w:pPr>
    </w:p>
    <w:p>
      <w:pPr>
        <w:jc w:val="both"/>
        <w:ind w:left="1020" w:right="619" w:hanging="414"/>
        <w:spacing w:after="0" w:line="257"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included in this column those shares being offered for resale by Cantor under this prospectus, without regard to the Beneficial Ownership Cap. The assumed average purchase prices are solely for illustrative purposes and are not intended to be estimates or predictions of the future performance of our Class A Common Stock.</w:t>
      </w:r>
    </w:p>
    <w:p>
      <w:pPr>
        <w:spacing w:after="0" w:line="1" w:lineRule="exact"/>
        <w:rPr>
          <w:rFonts w:ascii="Times New Roman" w:cs="Times New Roman" w:eastAsia="Times New Roman" w:hAnsi="Times New Roman"/>
          <w:sz w:val="16"/>
          <w:szCs w:val="16"/>
          <w:color w:val="auto"/>
        </w:rPr>
      </w:pPr>
    </w:p>
    <w:p>
      <w:pPr>
        <w:jc w:val="both"/>
        <w:ind w:left="1020" w:right="619" w:hanging="414"/>
        <w:spacing w:after="0" w:line="254"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Commitment Shares, which are the 250,000 Class A Shares we agreed to issue to the Holder as consideration for its irrevocable commitment to purchase the Class A Shares at our election in our sole discretion, from time to time after the date of this prospectus, upon the terms and subject to the satisfaction of the conditions set forth in the Purchase Agreement</w:t>
      </w:r>
    </w:p>
    <w:p>
      <w:pPr>
        <w:jc w:val="both"/>
        <w:ind w:left="1020" w:right="619" w:hanging="414"/>
        <w:spacing w:after="0" w:line="254"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denominator used to calculate the percentages in this column is based on 160,340,631 shares of our Class A Common Stock outstanding as of January 27, 2023, adjusted to include the shares issued and sold to the Holder under the Facility.</w:t>
      </w:r>
    </w:p>
    <w:p>
      <w:pPr>
        <w:jc w:val="both"/>
        <w:ind w:left="1020" w:right="619" w:hanging="414"/>
        <w:spacing w:after="0" w:line="254"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prices represent the illustrative aggregate purchase price to be received from the sale of all of the shares of our Class A Common Stock issued and sold to the Holder under the Facility as set forth in the second column, multiplied by the VWAP Purchase Price, assuming for illustrative purposes that the VWAP Purchase Price is equal to 97.0% of the assumed trading price of the Class A Common Stock listed in the first column.</w:t>
      </w:r>
    </w:p>
    <w:p>
      <w:pPr>
        <w:ind w:left="1020" w:right="619" w:hanging="414"/>
        <w:spacing w:after="0" w:line="254"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lowest price at which shares of our Class A Common Stock may be sold to the Holder under the Purchase Agreement.</w:t>
      </w:r>
    </w:p>
    <w:p>
      <w:pPr>
        <w:ind w:left="1020" w:hanging="414"/>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closing price of our Class A Common Stock on Nasdaq on January 27, 2023.</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8" w:name="page49"/>
    <w:bookmarkEnd w:id="4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Any sales of shares of Class A Common Stock by the Holder pursuant to this prospectus will be solely for the Holder’s account. The Company will not receive any proceeds from any such sales. However, we will receive proceeds from our sale to the Holder of up to 25,000,000 Class A Shares at varying purchase prices depending on the market price of our shares of Class A Common Stock at the time of such purchases, pursuant to the terms of the Purchase Agreement, after the date of this prospectus. The net proceeds from any sales under the Purchase Agreement will depend on the frequency with, and prices at, which the Shares are sold to Cantor. The Company expects to use the proceeds from any sales under the Purchase Agreement for working capital and general corporate purposes. See “</w:t>
      </w:r>
      <w:r>
        <w:rPr>
          <w:rFonts w:ascii="Times New Roman" w:cs="Times New Roman" w:eastAsia="Times New Roman" w:hAnsi="Times New Roman"/>
          <w:sz w:val="17"/>
          <w:szCs w:val="17"/>
          <w:i w:val="1"/>
          <w:iCs w:val="1"/>
          <w:color w:val="auto"/>
        </w:rPr>
        <w:t>Plan of Distribution (Conflict of Interest)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The Committed 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Financing</w:t>
      </w:r>
      <w:r>
        <w:rPr>
          <w:rFonts w:ascii="Times New Roman" w:cs="Times New Roman" w:eastAsia="Times New Roman" w:hAnsi="Times New Roman"/>
          <w:sz w:val="17"/>
          <w:szCs w:val="17"/>
          <w:color w:val="auto"/>
        </w:rPr>
        <w:t>” elsewhere in this prospectus for more information.</w:t>
      </w:r>
    </w:p>
    <w:p>
      <w:pPr>
        <w:spacing w:after="0" w:line="11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intend to use any proceeds from the Facility for working capital and general corporate purposes. We will have broad discretion in the way we use these proceeds. See “</w:t>
      </w:r>
      <w:r>
        <w:rPr>
          <w:rFonts w:ascii="Times New Roman" w:cs="Times New Roman" w:eastAsia="Times New Roman" w:hAnsi="Times New Roman"/>
          <w:sz w:val="17"/>
          <w:szCs w:val="17"/>
          <w:i w:val="1"/>
          <w:iCs w:val="1"/>
          <w:color w:val="auto"/>
        </w:rPr>
        <w:t>Risk Factors — Risks Related to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Committed Equity Financing — We may use proceeds from sales of shares of our Class A Common Stock made pursuant to the Purchase Agreement in ways with which you may not agree or in ways which may not yield a significant return</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Holder will pay any underwriting fees, discounts and selling commissions incurred by the Holder in connection with any sale of its shares. The Company will bear all other costs, fees and expenses incurred in effecting the registration of the shares covered by this prospectus, including, without limitation, all registration and filing fees, Nasdaq listing fees and fees and expenses of counsel and independent registered public accountants.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9" w:name="page50"/>
    <w:bookmarkEnd w:id="4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DETERMINATION OF OFFERING PRICE</w:t>
      </w:r>
    </w:p>
    <w:p>
      <w:pPr>
        <w:spacing w:after="0" w:line="144"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We cannot currently determine the price or prices at which the shares of Class A Common Stock may be sold by the Holder under this prospectus.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0" w:name="page51"/>
    <w:bookmarkEnd w:id="5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MARKET INFORMATION FOR CLASS A COMMON STOCK AND WARRANTS</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AND DIVIDEND POLICY</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14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Our Class A Common Stock and Warrants are currently listed on Nasdaq under the symbols “SOUN” and “SOUNW,” respectively. Prior to the consummation of the Business Combination, ATSP’s units, subunits, and warrants were listed on the Nasdaq Stock Market, under the symbols “ATSPU,” “ATSPT,” and “ATSPW,” respectively. As of January 27, 2023, there were 133 holders of record of our Class A Common Stock, three holders of record of our Class B Common Stock, and 31 holders of record of our Warrants. Our Class B Common Stock is not listed on any exchange and we do not intend to list the Class B Common Stock on any exchange or stock market.</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have not paid any cash dividends on our Class A Common Stock to date. The payment of cash dividends in the future will be dependent upon our revenues and earnings, if any, capital requirements and general financial condition. The payment of any cash dividends will be within the discretion of our Board at such time. We do not anticipate declaring any cash dividends to holders of our Class A Common Stock in the foreseeable future.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1" w:name="page52"/>
    <w:bookmarkEnd w:id="5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RESULTS OF OPERATIONS OF ATSP</w:t>
      </w:r>
    </w:p>
    <w:p>
      <w:pPr>
        <w:spacing w:after="0" w:line="10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ATSP’s financial condition and results of operations should be read in conjunction with the audited financial statements of ATSP and the notes related thereto which are included elsewhere in this prospectus. Some of the information contained in this discussion and analysis or set forth elsewhere in this prospectus, including information with respect to SoundHound AI’s plans and strategy for its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SoundHound AI has not included the financial statements of ATSP for the three and nine months ended September 30, 2022 since the Business Combination was accounted for as the acquisition of ATSP by SoundHound AI (a reverse recapitalization of SoundHound AI) and therefore S-X 3-05 and S-X 8-04 do not apply. Accordingly, the discussion and analysis of the financial condition and results of operations of ATSP is limited to the three months ended March 31, 2022 and 2021 and the year ended December 31, 2021 and 2020.</w:t>
      </w:r>
    </w:p>
    <w:p>
      <w:pPr>
        <w:spacing w:after="0" w:line="90"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References in this section to “ATSP,” the “Company,” “Archimedes Tech SPAC Partners Co.” “our,” “us” or “we” refer to Archimedes Tech SPAC Partners Co. The following discussion and analysis of the Company’s financial condition and results of operations should be read in conjunction with the audited financial statements and the notes thereto contained elsewhere in this report. Certain information contained in the discussion and analysis set forth below includes forward-looking statements that involve risks and uncertainties.</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3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were formed on September 15, 2020 for the purpose of entering into a merger, share exchange, asset acquisition, stock purchase, recapitalization, reorganization or other similar business combination with one or more target businesses (the “Business Combination”).</w:t>
      </w:r>
    </w:p>
    <w:p>
      <w:pPr>
        <w:spacing w:after="0" w:line="7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All activity from the consummation of our IPO on March 15, 2021 through April 26, 2022, the date of the consummation of the Business Combination, related to our formation, the search for a prospective initial Business Combination target, and efforts toward consummating the initial Business Combination.</w:t>
      </w:r>
    </w:p>
    <w:p>
      <w:pPr>
        <w:spacing w:after="0" w:line="8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November 15, 2021, we entered into a definitive merger agreement with SoundHound Inc., a voice artificial intelligence company, pursuant to which the two companies agreed to consummate a Business Combination (the “Merger Agreement”). The total consideration to be paid to SoundHound Inc. is $2 billion in equity of the Company, with outstanding SoundHound Inc. stock options and warrants included on a net exercise basis.</w:t>
      </w:r>
    </w:p>
    <w:p>
      <w:pPr>
        <w:spacing w:after="0" w:line="81"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April 26, 2022, we consummated our Business Combination with SoundHound, Inc. pursuant to the Merger Agreement. The aggregate merger consideration we paid to Legacy SoundHound security holders in connection with the Business Combination was an amount equal to $2,000,000,000, with outstanding Legacy SoundHound stock options and warrants assumed by us included on a net exercise basis. As a result of the Business Combination, we own 100% of the outstanding common stock of SoundHound, Inc. and we changed our name from “Archimedes Tech SPAC Partners Co.” to “SoundHound AI, Inc”</w:t>
      </w:r>
    </w:p>
    <w:p>
      <w:pPr>
        <w:spacing w:after="0" w:line="8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Additional information about the Merger Agreement and related transactions can be found in the Current Report on Form 8-K filed on November 16, 2021, the Amendment No. 1 to the Registration Statement on Form S-4 filed on February 14, 2022, the Current Report on Form 8-K filed on May 2, 2022 and the Form 8-K/A filed on May 17, 2022.</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For the Three Months Ended March 31, 2022 and March 31, 2021</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As of March 31, 2022, we have not commenced any operations. All activity for the period from September 15, 2020 (inception) through March 31, 2022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9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the three months ended March 31, 2022, we had a net loss of $385,450, which was comprised of operating costs of $490,053, interest income of $11,857 from marketable securities held in our Trust Account, and unrealized gain on change in fair value of warrants of $92,746.</w:t>
      </w:r>
    </w:p>
    <w:p>
      <w:pPr>
        <w:sectPr>
          <w:pgSz w:w="11900" w:h="16838" w:orient="portrait"/>
          <w:cols w:equalWidth="0" w:num="1">
            <w:col w:w="9019"/>
          </w:cols>
          <w:pgMar w:left="1440" w:top="264"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52" w:name="page53"/>
    <w:bookmarkEnd w:id="5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the three months ended March 31, 2021, we had a net loss of $84,033, which was comprised of operating costs of $81,441, interest income of $525 from marketable securities held in our Trust Account, and unrealized loss on change in fair value of warrants of $3,117.</w:t>
      </w:r>
    </w:p>
    <w:p>
      <w:pPr>
        <w:spacing w:after="0" w:line="9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For the Years Ended December 31, 2021 and December 31, 2020</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As of December 31, 2021, we have not commenced any operations. All activity for the period from September 15, 2020 (inception) through December 31, 2021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9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the year ended December 31, 2021, we had a net loss of $981,884, which was comprised of operating costs of $1,015,260, interest income of $10,583 from marketable securities held in our Trust Account, and unrealized gain on change in fair value of warrants of $22,793.</w:t>
      </w:r>
    </w:p>
    <w:p>
      <w:pPr>
        <w:spacing w:after="0" w:line="9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For the period from September 15, 2020 (inception) through December 31, 2020, we had a net loss of $716, which was comprised of operating costs of $716.</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55"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color w:val="auto"/>
        </w:rPr>
        <w:t xml:space="preserve">Information relating to liquidity and capital resources is reported in the section titled </w:t>
      </w:r>
      <w:r>
        <w:rPr>
          <w:rFonts w:ascii="Times New Roman" w:cs="Times New Roman" w:eastAsia="Times New Roman" w:hAnsi="Times New Roman"/>
          <w:sz w:val="17"/>
          <w:szCs w:val="17"/>
          <w:i w:val="1"/>
          <w:iCs w:val="1"/>
          <w:color w:val="auto"/>
        </w:rPr>
        <w:t>Management’s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Discussion and Analysis of Financial Condition and Results of Operations of SoundHound AI, elsewhere in this prospectus.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preparation of the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We have identified the following as our critical accounting policies:</w:t>
      </w:r>
    </w:p>
    <w:p>
      <w:pPr>
        <w:spacing w:after="0" w:line="1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Common Stock Subject to Possible Redemption</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Net Income (Loss) Per Common Share</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 did not have any off-balance sheet arrangements during the periods presented.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3" w:name="page54"/>
    <w:bookmarkEnd w:id="5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FINANCIAL CONDITION AND RESULTS OF OPERATIONS OF SOUNDHOUND AI</w:t>
      </w:r>
    </w:p>
    <w:p>
      <w:pPr>
        <w:spacing w:after="0" w:line="122"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SoundHound AI’s financial condition and results of operations together with our consolidated financial statements and the related notes appearing at the end of this prospectus. Some of the information contained in this discussion and analysis or set forth elsewhere in this prospectus, including information with respect to SoundHound AI’s plans and strategy for its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Legacy SoundHound and its subsidiaries prior to the Business Combination, which became the business of SoundHound AI, Inc. and its consolidated subsidiaries after giving effect to the Business Combination. Information relating to the audited financial statements for the years ended December 31, 2021 and 2020 are those of Legacy SoundHound prior to the Business Combination. Information relating to unaudited financial statements for the three and nine month periods ended September 30, 2022 reflect the financial statements of SoundHound AI giving effect to the Business Combination.</w:t>
      </w:r>
    </w:p>
    <w:p>
      <w:pPr>
        <w:spacing w:after="0" w:line="1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31"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We are a leading innovator of conversational intelligence, offering an independent Voice AI platform that enables businesses across industries to deliver high-quality conversational experiences to their customers. Built on proprietary Speech-to-Meaning, Deep Meaning Understanding and Collective AI breakthrough technologies developed over the past 16 years, our advanced Voice AI platform provides exceptional speed and accuracy and enables humans to interact with products and services like they interact with each other — by speaking naturally.</w:t>
      </w:r>
    </w:p>
    <w:p>
      <w:pPr>
        <w:spacing w:after="0" w:line="293"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9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SoundHound AI developer platform, Houndify, is an open-access platform that allows developers to leverage SoundHound AI’s Voice AI technology and a library of over 100 content domains, including commonly used domains for points of interest, weather, flight status, sports and more. Houndify’s Collective AI is an architecture for connecting domain knowledge that encourages collaboration and contribution among developers, is always learning, and is greater than the sum of its parts — ensuring the platform continues to become smarter at a faster rate.</w:t>
      </w:r>
    </w:p>
    <w:p>
      <w:pPr>
        <w:spacing w:after="0" w:line="84" w:lineRule="exact"/>
        <w:rPr>
          <w:sz w:val="20"/>
          <w:szCs w:val="20"/>
          <w:color w:val="auto"/>
        </w:rPr>
      </w:pPr>
    </w:p>
    <w:p>
      <w:pPr>
        <w:jc w:val="both"/>
        <w:ind w:left="600" w:right="619" w:firstLine="416"/>
        <w:spacing w:after="0" w:line="266" w:lineRule="auto"/>
        <w:rPr>
          <w:sz w:val="20"/>
          <w:szCs w:val="20"/>
          <w:color w:val="auto"/>
        </w:rPr>
      </w:pPr>
      <w:r>
        <w:rPr>
          <w:rFonts w:ascii="Times New Roman" w:cs="Times New Roman" w:eastAsia="Times New Roman" w:hAnsi="Times New Roman"/>
          <w:sz w:val="17"/>
          <w:szCs w:val="17"/>
          <w:color w:val="auto"/>
        </w:rPr>
        <w:t>SoundHound AI’s technology is live in production and at scale with companies around the globe, including Hyundai, Mercedes-Benz, Pandora, Deutsche Telekom, Snap, VIZIO, KIA and Stellantis. As a testament to its capabilities, the Houndify platform surpassed 1 billion annual queries in 2021. Additionally, traffic has experienced over 100% growth through the three quarters of 2022, compared to the same period in 2021.</w:t>
      </w:r>
    </w:p>
    <w:p>
      <w:pPr>
        <w:spacing w:after="0" w:line="290"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Our current partners span multiple industries and geographies, and together have a combined reach of over 2 billion end users.</w:t>
      </w:r>
    </w:p>
    <w:p>
      <w:pPr>
        <w:spacing w:after="0" w:line="55"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Our market position is strengthened by the technical barriers to entry in the Voice AI space, which tend to discourage new market participants. Furthermore, our technology is backed by significant investments in intellectual property, with over 250 granted or pending patents,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AI has extensive technical expertise and a proven track record of innovation and value creation for us to continue to attract customers in the growing market for Voice AI transactions, which is estimated to grow to $160.0 billion per year by 2026.</w:t>
      </w:r>
    </w:p>
    <w:p>
      <w:pPr>
        <w:spacing w:after="0" w:line="86" w:lineRule="exact"/>
        <w:rPr>
          <w:sz w:val="20"/>
          <w:szCs w:val="20"/>
          <w:color w:val="auto"/>
        </w:rPr>
      </w:pPr>
    </w:p>
    <w:p>
      <w:pPr>
        <w:jc w:val="both"/>
        <w:ind w:left="600" w:right="619" w:firstLine="416"/>
        <w:spacing w:after="0" w:line="271" w:lineRule="auto"/>
        <w:rPr>
          <w:sz w:val="20"/>
          <w:szCs w:val="20"/>
          <w:color w:val="auto"/>
        </w:rPr>
      </w:pPr>
      <w:r>
        <w:rPr>
          <w:rFonts w:ascii="Times New Roman" w:cs="Times New Roman" w:eastAsia="Times New Roman" w:hAnsi="Times New Roman"/>
          <w:sz w:val="17"/>
          <w:szCs w:val="17"/>
          <w:color w:val="auto"/>
        </w:rPr>
        <w:t>We believe that SoundHound AI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w:t>
      </w:r>
    </w:p>
    <w:p>
      <w:pPr>
        <w:sectPr>
          <w:pgSz w:w="11900" w:h="16838" w:orient="portrait"/>
          <w:cols w:equalWidth="0" w:num="1">
            <w:col w:w="9019"/>
          </w:cols>
          <w:pgMar w:left="1440" w:top="264" w:right="1440"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54" w:name="page55"/>
    <w:bookmarkEnd w:id="5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29"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disintermediating the 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spacing w:after="0" w:line="8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9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This creates a great opportunity for SoundHound AI: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9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8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9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9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9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Once the core features of a product are voice-enabled, it can be further enhanced in the second stage of integration: the addition of third-party content and domains. SoundHound AI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9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There are three pillars to our revenue model. The first pillar is Product Royalties, where we voice enable a product and the product creator pays us a royalty based on volume, usage or duration. SoundHound AI collects royalties when Houndify is placed in a car, smart speaker or an appliance, for example.</w:t>
      </w:r>
    </w:p>
    <w:p>
      <w:pPr>
        <w:sectPr>
          <w:pgSz w:w="11900" w:h="16838" w:orient="portrait"/>
          <w:cols w:equalWidth="0" w:num="1">
            <w:col w:w="9019"/>
          </w:cols>
          <w:pgMar w:left="1440" w:top="264" w:right="1440" w:bottom="1440" w:gutter="0" w:footer="0" w:header="0"/>
        </w:sectPr>
      </w:pP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55" w:name="page56"/>
    <w:bookmarkEnd w:id="5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second pillar is Service Subscription. This is when, for example, SoundHound AI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105"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third pillar creates a monetization ecosystem that brings the services from pillar two to the products in pillar one. When the users of a voice-enabled product in pillar one access the voice-enabled services of pillar two, these services generate new leads and transactions. SoundHound AI generates monetization revenue from the services for generating these leads and transactions, and we will share the revenue with the product creators of pillar one. For example, when the driver of a voice-enabled car places an order to a restaurant that’s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During the periods presented in the condensed consolidated financial statements, we have not generated revenue from leads and transactions on voice-enabled products from voice-enabled services other than from the SoundHound music identification app. Going forward, SoundHound AI expects monetization revenue to be generated through a combination of advertising revenue from the music identification app and from leads and transactions on voice-enabled products from voice-enabled services.</w:t>
      </w:r>
    </w:p>
    <w:p>
      <w:pPr>
        <w:spacing w:after="0" w:line="330"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All three pillars contribute to our revenues today in 2022. While the majority of the contribution is currently from our first pillar of royalties, over time, the subscription and monetization portions are expected to grow and make a bigger contribution to our overall revenue.</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ATSP Merger</w:t>
      </w:r>
    </w:p>
    <w:p>
      <w:pPr>
        <w:spacing w:after="0" w:line="14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On November 15, 2021, Archimedes Tech SPAC Partners Co. (“ATSP”), Legacy SoundHound and ATSPC Merger Sub, Inc. entered into a merger agreement (“Merger Agreement”) pursuant to which ATSPC Merger Sub, Inc. merged with and into Legacy SoundHound, with Legacy SoundHound continuing as the surviving corporation, resulting in the reverse recapitalization of SoundHound (the “Business Combination”). The Business Combination was completed on April 26, 2022 (the “Closing”). In connection with the Closing of the Business Combination, the Company issued $113.0 million of securities in the PIPE investment. Upon the Closing of the Business Combination, ATSP changed its name to SoundHound AI, Inc.</w:t>
      </w:r>
    </w:p>
    <w:p>
      <w:pPr>
        <w:spacing w:after="0" w:line="110"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Cash proceeds of the Business Combination were funded through a combination of $5.4 million in cash held in trust by ATSP (following satisfaction of redemptions by public stockholders) with 532,050 shares of SoundHound Class A common stock remaining outstanding, and $113.0 million in aggregate gross proceeds from PIPE investors in exchange for 11,300,000 shares of SoundHound AI Class A Common Stock that closed substantially contemporaneously with the Closing of the Business Combination. The combined company incurred $27.7 million of expenses related to the transaction. After giving effect to these transactions, SoundHound received $90.7 million in net proceeds, which are intended to be used for general corporate purposes, including investments in sales, marketing and advancement of product development, but which may also be used to acquire other companies in the Voice AI industry. SoundHound has not entered into any agreements to acquire companies in the Voice AI industry, nor does it require consummation of mergers or acquisitions of other businesses to achieve its stated goals. That said, if there are candidates that makes strategic, operational and financial sense, the combined company may consider such opportunities from time to time as they become available.</w:t>
      </w:r>
    </w:p>
    <w:p>
      <w:pPr>
        <w:spacing w:after="0" w:line="3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Accounting Impact of the Business Combination</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Business Combination was accounted for as a “reverse recapitalization,” with no goodwill or other intangible assets recorded, in accordance with GAAP. A reverse recapitalization did not result in a new basis of accounting, and the financial statements of the combined entity represent the continuation of the financial statements of Legacy SoundHound in many respects.</w:t>
      </w:r>
    </w:p>
    <w:p>
      <w:pPr>
        <w:sectPr>
          <w:pgSz w:w="11900" w:h="16838" w:orient="portrait"/>
          <w:cols w:equalWidth="0" w:num="1">
            <w:col w:w="9019"/>
          </w:cols>
          <w:pgMar w:left="1440" w:top="264"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56" w:name="page57"/>
    <w:bookmarkEnd w:id="5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Under this method of accounting, ATSP was treated as the “acquired” company for financial reporting purposes. For accounting purposes, SoundHound was deemed to be the accounting acquirer in the transaction and, consequently, the transaction was treated as a recapitalization of SoundHound (i.e., a capital transaction involving the issuance of stock by ATSP for the stock of SoundHound). Accordingly, the consolidated assets, liabilities and results of operations of SoundHound became the historical financial statements of the combined company, and ATSP’s assets, liabilities and results of operations were consolidated with SoundHound’s beginning on the acquisition date. Operations prior to the Business Combination were presented as those of SoundHound in future reports. The net assets of SoundHound were recognized at carrying value, with no goodwill or other intangible assets recorded.</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Committed Equity Financing</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 xml:space="preserve">On August 16, 2022, we entered into the Purchase Agreement with Cantor establishing the Facility. Upon the initial satisfaction of the conditions to Cantor’s obligation to purchase Class A Shares set forth in the Purchase Agreement, including that the registration statement of which this prospectus forms a part is declared effective by the SEC and a final prospectus relating thereto is filed with the SEC, we have the right from time to time at our option to direct Cantor to purchase up to the lesser of (i) 25,000,000 shares of Class A Common Stock and (ii) the Exchange, subject to certain limitations and conditions set forth in the Purchase Agreement. See </w:t>
      </w:r>
      <w:r>
        <w:rPr>
          <w:rFonts w:ascii="Times New Roman" w:cs="Times New Roman" w:eastAsia="Times New Roman" w:hAnsi="Times New Roman"/>
          <w:sz w:val="17"/>
          <w:szCs w:val="17"/>
          <w:i w:val="1"/>
          <w:iCs w:val="1"/>
          <w:color w:val="auto"/>
        </w:rPr>
        <w:t>The Committed Equity Financing</w:t>
      </w:r>
      <w:r>
        <w:rPr>
          <w:rFonts w:ascii="Times New Roman" w:cs="Times New Roman" w:eastAsia="Times New Roman" w:hAnsi="Times New Roman"/>
          <w:sz w:val="17"/>
          <w:szCs w:val="17"/>
          <w:color w:val="auto"/>
        </w:rPr>
        <w:t xml:space="preserve"> elsewhere in this prospectus.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Restructuring Plan</w:t>
      </w:r>
    </w:p>
    <w:p>
      <w:pPr>
        <w:spacing w:after="0" w:line="157"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On January 5, 2023, SoundHound AI announced a Restructuring Plan intended to reduce operating costs, improve operating margins, improve cash flows and accelerate SoundHound AI’s path to profitability. The Restructuring Plan includes a reduction of SoundHound AI’s current workforce by approximately 40% and select office space reductions within certain markets. Decisions regarding the elimination of employees are subject to local law and consultation requirements in certain countries, as well as SoundHound AI’s business needs.</w:t>
      </w:r>
    </w:p>
    <w:p>
      <w:pPr>
        <w:spacing w:after="0" w:line="306"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SoundHound AI estimates that it will incur approximately $4.5 million to $5.5 million in charges in connection with the Restructuring Plan, of which the majority is expected to be incurred in the first quarter of 2023. These charges consist primarily of $4.4 million to $5.2 million in charges related to severance payments, employee benefits and share-based compensation; and $0.1 million to $0.3 million in exit charges associated with the office space reductions. Of the aggregate amount of charges that SoundHound AI estimates it will incur in connection with the Restructuring Plan, SoundHound AI expects that approximately $2.0 million to $3.0 million will be in cash expenditures.</w:t>
      </w:r>
    </w:p>
    <w:p>
      <w:pPr>
        <w:spacing w:after="0" w:line="11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estimates of the charges and expenditures that SoundHound AI expects to incur in connection with the Restructuring Plan, and the timing thereof, are subject to a number of assumptions, including local law requirements in various jurisdictions, and actual amounts may differ materially from estimates.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Impact of COVID-19</w:t>
      </w:r>
    </w:p>
    <w:p>
      <w:pPr>
        <w:spacing w:after="0" w:line="159"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As the full impact of the COVID-19 pandemic on our business continues to develop, we are closely monitoring the global situation. As a supplier to multiple industries, including the automotive industry, we are adversely impacted by the decline in the production of certain of our customers’ products in connection with the COVID-19 pandemic, including reductions in automotive production, chip shortages in the semiconductor industry and broader supply chain challenges across the globe. We are unable at this time to predict the full impact of COVID-19 on our operations, liquidity and financial results, and, depending on the magnitude and duration of the COVID-19 pandemic, such impact may be material. During the nine months ended September 30, 2021, the COVID-19 pandemic had an impact on our billings and revenue recognized from per unit royalties for Houndify Solutions and, although the impact during the three and nine months ended September 30, 2022 was not considered material, the extent of impact in future periods is not currently determinable. However, we expect billings to increase as car manufacturers continue to recover from delayed production due to the pandemic. Accordingly, it may not be indicative of future results and trends for reasons other than COVID-19 discussed herein may not be indicative of future operating results and trends. While we are unable to accurately predict the full impact that COVID-19 will have on our results from operations, financial condition, liquidity and cash flows due to numerous uncertainties, including the duration and severity of the pandemic and containment measures, these measures have impacted, and may continue to impact, our business, as well as our customers and consumers.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7" w:name="page58"/>
    <w:bookmarkEnd w:id="5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SoundHound continues to monitor its operations and government recommendations and has modified its operations because of the COVID-19 pandemic, including making remote work more accessible to its employees. SoundHound does not yet know the full extent of potential impacts on our business and operations. Given the extant uncertainty, SoundHound cannot reasonably estimate the impact on our future results of operations, cash flows or financial condition.</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Known Trends, Demands, Commitments, Events or Uncertainties Impacting Our Business</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SoundHound believes that its performance and future success depend on many factors that present significant opportunities for us but also pose risks and challenges, including the following:</w:t>
      </w:r>
    </w:p>
    <w:p>
      <w:pPr>
        <w:spacing w:after="0" w:line="77" w:lineRule="exact"/>
        <w:rPr>
          <w:sz w:val="20"/>
          <w:szCs w:val="20"/>
          <w:color w:val="auto"/>
        </w:rPr>
      </w:pPr>
    </w:p>
    <w:p>
      <w:pPr>
        <w:jc w:val="both"/>
        <w:ind w:left="1440" w:right="619" w:hanging="418"/>
        <w:spacing w:after="0" w:line="263" w:lineRule="auto"/>
        <w:tabs>
          <w:tab w:leader="none" w:pos="143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Investments in Technology. </w:t>
      </w:r>
      <w:r>
        <w:rPr>
          <w:rFonts w:ascii="Times New Roman" w:cs="Times New Roman" w:eastAsia="Times New Roman" w:hAnsi="Times New Roman"/>
          <w:sz w:val="17"/>
          <w:szCs w:val="17"/>
          <w:color w:val="auto"/>
        </w:rPr>
        <w:t>Our business model since inception has been to invest significantly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Houndify platform technology in the form of dedicated research and development. We will continue to invest in the development of our software platform to deliver consumers with continually improving value and delight. Our investments include continuous enhancements to our ASR and NLU models, investments in data to help refine and improve our underlying algorithms, and other costs to attract and retain a world-class technical workforce.</w:t>
      </w:r>
    </w:p>
    <w:p>
      <w:pPr>
        <w:spacing w:after="0" w:line="92" w:lineRule="exact"/>
        <w:rPr>
          <w:rFonts w:ascii="Times New Roman" w:cs="Times New Roman" w:eastAsia="Times New Roman" w:hAnsi="Times New Roman"/>
          <w:sz w:val="17"/>
          <w:szCs w:val="17"/>
          <w:color w:val="auto"/>
        </w:rPr>
      </w:pPr>
    </w:p>
    <w:p>
      <w:pPr>
        <w:jc w:val="both"/>
        <w:ind w:left="1440" w:right="619" w:hanging="418"/>
        <w:spacing w:after="0" w:line="257" w:lineRule="auto"/>
        <w:tabs>
          <w:tab w:leader="none" w:pos="143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Revenue Growth. </w:t>
      </w:r>
      <w:r>
        <w:rPr>
          <w:rFonts w:ascii="Times New Roman" w:cs="Times New Roman" w:eastAsia="Times New Roman" w:hAnsi="Times New Roman"/>
          <w:sz w:val="17"/>
          <w:szCs w:val="17"/>
          <w:color w:val="auto"/>
        </w:rPr>
        <w:t>Our commercial success, including acceptance and use of our applications, will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depend on a number of factors, some of which are 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Additionally, as we build new customer relationships, we continually focus on maintaining and growing our existing relationships through long-term partnerships through significant upfront investment in customer specific engineering projects. Our revenue consists of subscription revenue, royalties, and monetization revenues, which we consider recurring if our customer contract does not terminate the relationship and we continue to provide the customer with same or other services in the subsequent year. For example, if we perform a one-time non-recurring engineering project for a customer and that same customer engages with us afterwards for a Product Royalty contract, the revenue in both years, regardless of the specific service, would contribute towards our overall customer retention rate. By contrast, if SoundHound provides an annual subscription contract to a customer and that customer does not execute an agreement for services for the subsequent annual period, SoundHound would not consider that customer as retained. As determined on the foregoing basis, based on the number of customers to whom we provide services during one year compared to the prior year period, our customer retention rate as of September 30, 2022 was at least 80%.</w:t>
      </w:r>
    </w:p>
    <w:p>
      <w:pPr>
        <w:spacing w:after="0" w:line="110" w:lineRule="exact"/>
        <w:rPr>
          <w:rFonts w:ascii="Times New Roman" w:cs="Times New Roman" w:eastAsia="Times New Roman" w:hAnsi="Times New Roman"/>
          <w:sz w:val="17"/>
          <w:szCs w:val="17"/>
          <w:color w:val="auto"/>
        </w:rPr>
      </w:pPr>
    </w:p>
    <w:p>
      <w:pPr>
        <w:jc w:val="both"/>
        <w:ind w:left="1440" w:right="619" w:hanging="418"/>
        <w:spacing w:after="0" w:line="262" w:lineRule="auto"/>
        <w:tabs>
          <w:tab w:leader="none" w:pos="143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Cost of Revenues. </w:t>
      </w:r>
      <w:r>
        <w:rPr>
          <w:rFonts w:ascii="Times New Roman" w:cs="Times New Roman" w:eastAsia="Times New Roman" w:hAnsi="Times New Roman"/>
          <w:sz w:val="17"/>
          <w:szCs w:val="17"/>
          <w:color w:val="auto"/>
        </w:rPr>
        <w:t>The results of our business will depend in part on our ability to establish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increase our gross margins by scaling our business 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04" w:lineRule="exact"/>
        <w:rPr>
          <w:rFonts w:ascii="Times New Roman" w:cs="Times New Roman" w:eastAsia="Times New Roman" w:hAnsi="Times New Roman"/>
          <w:sz w:val="17"/>
          <w:szCs w:val="17"/>
          <w:color w:val="auto"/>
        </w:rPr>
      </w:pPr>
    </w:p>
    <w:p>
      <w:pPr>
        <w:jc w:val="both"/>
        <w:ind w:left="1440" w:right="619" w:hanging="418"/>
        <w:spacing w:after="0" w:line="265" w:lineRule="auto"/>
        <w:tabs>
          <w:tab w:leader="none" w:pos="143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Seasonality. </w:t>
      </w:r>
      <w:r>
        <w:rPr>
          <w:rFonts w:ascii="Times New Roman" w:cs="Times New Roman" w:eastAsia="Times New Roman" w:hAnsi="Times New Roman"/>
          <w:sz w:val="17"/>
          <w:szCs w:val="17"/>
          <w:color w:val="auto"/>
        </w:rPr>
        <w:t>Our ability to accurately forecast demand for our technology could be negatively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affected by many factors, including seasonal demand. We anticipate that we will experience fluctuations in customer and user demand based on seasonality. Given that we address markets across several different industry verticals, the associated overall seasonality impact to us may not be consistent year-to-year.</w:t>
      </w:r>
    </w:p>
    <w:p>
      <w:pPr>
        <w:spacing w:after="0" w:line="90" w:lineRule="exact"/>
        <w:rPr>
          <w:rFonts w:ascii="Times New Roman" w:cs="Times New Roman" w:eastAsia="Times New Roman" w:hAnsi="Times New Roman"/>
          <w:sz w:val="17"/>
          <w:szCs w:val="17"/>
          <w:color w:val="auto"/>
        </w:rPr>
      </w:pPr>
    </w:p>
    <w:p>
      <w:pPr>
        <w:jc w:val="both"/>
        <w:ind w:left="1440" w:right="619" w:hanging="418"/>
        <w:spacing w:after="0" w:line="269" w:lineRule="auto"/>
        <w:tabs>
          <w:tab w:leader="none" w:pos="143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Development of International Markets. </w:t>
      </w:r>
      <w:r>
        <w:rPr>
          <w:rFonts w:ascii="Times New Roman" w:cs="Times New Roman" w:eastAsia="Times New Roman" w:hAnsi="Times New Roman"/>
          <w:sz w:val="17"/>
          <w:szCs w:val="17"/>
          <w:color w:val="auto"/>
        </w:rPr>
        <w:t>We have rapidly expanded our capabilities and global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reach. We have globalized our solution from 1 to 25 languages, with a roadmap of 39 languages and 114 acoustic variations. We view opportunities for conversational Voice AI to be global in reach, and we expect our growth to be fueled across multiple geographies.</w:t>
      </w:r>
    </w:p>
    <w:p>
      <w:pPr>
        <w:spacing w:after="0" w:line="98" w:lineRule="exact"/>
        <w:rPr>
          <w:rFonts w:ascii="Times New Roman" w:cs="Times New Roman" w:eastAsia="Times New Roman" w:hAnsi="Times New Roman"/>
          <w:sz w:val="17"/>
          <w:szCs w:val="17"/>
          <w:color w:val="auto"/>
        </w:rPr>
      </w:pPr>
    </w:p>
    <w:p>
      <w:pPr>
        <w:jc w:val="both"/>
        <w:ind w:left="1440" w:right="619" w:hanging="418"/>
        <w:spacing w:after="0" w:line="269" w:lineRule="auto"/>
        <w:tabs>
          <w:tab w:leader="none" w:pos="1435" w:val="left"/>
        </w:tabs>
        <w:numPr>
          <w:ilvl w:val="0"/>
          <w:numId w:val="3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Industry Risks. </w:t>
      </w:r>
      <w:r>
        <w:rPr>
          <w:rFonts w:ascii="Times New Roman" w:cs="Times New Roman" w:eastAsia="Times New Roman" w:hAnsi="Times New Roman"/>
          <w:sz w:val="17"/>
          <w:szCs w:val="17"/>
          <w:color w:val="auto"/>
        </w:rPr>
        <w:t>In addition to the COVID-19 pandemic as addressed herein, the military conflict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between Russia and Ukraine, which began on February 24, 2022, has had an adverse impact on the global economy and financial markets. Although our business has not been materially impacted by this ongoing military</w:t>
      </w:r>
    </w:p>
    <w:p>
      <w:pPr>
        <w:sectPr>
          <w:pgSz w:w="11900" w:h="16838" w:orient="portrait"/>
          <w:cols w:equalWidth="0" w:num="1">
            <w:col w:w="9019"/>
          </w:cols>
          <w:pgMar w:left="1440" w:top="264" w:right="1440"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58" w:name="page59"/>
    <w:bookmarkEnd w:id="5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1440" w:right="619"/>
        <w:spacing w:after="0" w:line="259" w:lineRule="auto"/>
        <w:rPr>
          <w:sz w:val="20"/>
          <w:szCs w:val="20"/>
          <w:color w:val="auto"/>
        </w:rPr>
      </w:pPr>
      <w:r>
        <w:rPr>
          <w:rFonts w:ascii="Times New Roman" w:cs="Times New Roman" w:eastAsia="Times New Roman" w:hAnsi="Times New Roman"/>
          <w:sz w:val="17"/>
          <w:szCs w:val="17"/>
          <w:color w:val="auto"/>
        </w:rPr>
        <w:t>conflict, it is impossible to predict the extent to which our operations, or those of our customers’ suppliers and manufacturers, will be impacted in the short and long term, or the ways in which the conflict may impact our business. The extent and duration of the military action, sanctions and resulting market disruptions are impossible to predict but could be substantial. Further, 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accompanying audited consolidated financial statements were prepared in accordance with U.S. GAAP for the year ended December 31, 2021 (“Fiscal 2021”) and December 31, 2020 (“Fiscal 2020”). The accompanying unaudited condensed consolidated financial statements were prepared in accordance with U.S. GAAP for the three and nine months ended September 30, 2022 and 2021.</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59"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SoundHound AI generates revenues through: (1) “Product Royalties,” meaning royalties from voice-enabled products which are driven by volume, usage or life of applicable products and are affected by number of devices, users and units of usage time, (2) “Service Subscriptions,” meaning subscription revenues, derived from monthly fees based on usage-based revenue, revenue per query or revenue per user, and</w:t>
      </w:r>
    </w:p>
    <w:p>
      <w:pPr>
        <w:spacing w:after="0" w:line="3" w:lineRule="exact"/>
        <w:rPr>
          <w:sz w:val="20"/>
          <w:szCs w:val="20"/>
          <w:color w:val="auto"/>
        </w:rPr>
      </w:pPr>
    </w:p>
    <w:p>
      <w:pPr>
        <w:jc w:val="both"/>
        <w:ind w:left="600" w:right="619" w:firstLine="6"/>
        <w:spacing w:after="0" w:line="259" w:lineRule="auto"/>
        <w:tabs>
          <w:tab w:leader="none" w:pos="86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“Monetization,” meaning revenues generated from focused ad targeting to users of products and services that employ our technologies. Currently, our monetization revenue is derived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9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“Houndified Products,” meaning products of our customers that employ SoundHound AI technology, and “Houndified Services,” meaning services provided to customers related to SoundHound AI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11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have and may continue to experience volatility for our remaining performance obligations and deferred revenue as a result of the timing for completing our performance obligations. We had remaining performance obligations in the amount of $23.4 million as of September 30, 2022, consisting of both billed and unbilled consideration.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spacing w:after="0" w:line="318"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 See Note 4 to our unaudited condensed consolidated financial statements for the three and nine month periods ended September 30, 2022 included elsewhere in this prospectus for more information.</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46" w:lineRule="exact"/>
        <w:rPr>
          <w:sz w:val="20"/>
          <w:szCs w:val="20"/>
          <w:color w:val="auto"/>
        </w:rPr>
      </w:pPr>
    </w:p>
    <w:p>
      <w:pPr>
        <w:jc w:val="both"/>
        <w:ind w:left="600" w:right="619" w:firstLine="416"/>
        <w:spacing w:after="0" w:line="271" w:lineRule="auto"/>
        <w:rPr>
          <w:sz w:val="20"/>
          <w:szCs w:val="20"/>
          <w:color w:val="auto"/>
        </w:rPr>
      </w:pPr>
      <w:r>
        <w:rPr>
          <w:rFonts w:ascii="Times New Roman" w:cs="Times New Roman" w:eastAsia="Times New Roman" w:hAnsi="Times New Roman"/>
          <w:sz w:val="17"/>
          <w:szCs w:val="17"/>
          <w:color w:val="auto"/>
        </w:rPr>
        <w:t>We classify our operating expenses into the following four categories, which are cost of revenues, sales and marketing, research and development, and general and administrative. Excluding cost of revenues, each expense category includes overhead, including rent and related occupancy costs, which is allocated based on headcount.</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9" w:name="page60"/>
    <w:bookmarkEnd w:id="5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Cost of Revenues</w:t>
      </w:r>
    </w:p>
    <w:p>
      <w:pPr>
        <w:spacing w:after="0" w:line="131"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AI’s cost of revenues are comprised of direct costs associated directly with SoundHound AI’s revenue streams as described above. This primarily includes costs and depreciation related to hosting for cloud-based services, such as data centers, electricity charges, content fees and certain personnel-related expenses that are directly related to these revenue streams.</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Sales and marketing expenses consist of personnel-related expenses related costs of the sales and marketing team, promotional campaigns, advertising fees and other marketing related costs. Advertising costs are expensed to sales and marketing when incurred. We expect that our sales and marketing expenses will continue to increase as we continue to increase headcount and program spend to support a greater investment in go-to-market strategies and customer engagement.</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Our research and development expenses are our largest operating expense as we continue to develop our software platforms and produce new technological capabilities.</w:t>
      </w:r>
    </w:p>
    <w:p>
      <w:pPr>
        <w:spacing w:after="0" w:line="81"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in the periods in which they are incurred. We expect that our research and development expenses will continue to increase as we continue to invest in development activities related to our current and future applications.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General and administrative expenses consist of personnel-related costs, accounting and legal expenses, third-party consulting costs, insurance and allocated overhead including rent, depreciation and utilities.</w:t>
      </w:r>
    </w:p>
    <w:p>
      <w:pPr>
        <w:spacing w:after="0" w:line="68"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We expect that our general and administrative expenses will increase due to our operations as a public company, including expenses related to compliance with the rules and regulations applicable to companies listed on a national securities exchange and related to compliance and reporting obligations pursuant to the rules and regulations of the SEC, as well as increased expenses for insurance (including director and officer insurance), investor relations activities and other administrative and professional services such as accounting, legal, regulatory and tax. We also expect our administrative expenses, including personnel related expenses, to increase as we increase our headcount and expand our facilities and information technology to support our operations as a public company. Our general and administrative expenses may fluctuate from period-to-period due to seasonality.</w:t>
      </w:r>
    </w:p>
    <w:p>
      <w:pPr>
        <w:spacing w:after="0" w:line="3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59"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Interest expense consists of stated interest incurred on our outstanding convertible notes and debt during the relevant periods, as well as the amortization of debt discounts and issuance costs over the life of the instruments or a shorter period if a lender can demand payment in the event certain events occur that are outside of the control of the Company.</w:t>
      </w:r>
    </w:p>
    <w:p>
      <w:pPr>
        <w:spacing w:after="0" w:line="9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issuance of debt instruments with direct transaction costs and the bifurcation of embedded derivatives and warrant instruments has resulted in debt discounts. Direct transaction costs consist of various transaction fees, such as bank and legal fees, that are incurred upon issuance. Overall, the discounts from debt issuance costs result in an increased amount of interest expense over the amortization period.</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Change in Fair Value of Derivative and Warrant Liability</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account for certain warrants and conversion features as liabilities at fair value and adjust the instruments to fair value at each reporting period. We determined that the conversion feature associated with one of our debt instruments is a freestanding derivative instrument. The derivative and warrant liabilities’ changes in fair value that result from remeasurement at each balance sheet date is recognized in the Company’s condensed consolidated statement of operations and comprehensive loss as other income (expense), net.</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0" w:name="page61"/>
    <w:bookmarkEnd w:id="6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Loss on Extinguishment of Convertible Note</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We did not record any losses on extinguishment of convertible note during the nine months ended September 30, 2022 or during the year ended December 31, 2021. The loss on extinguishment of convertible note during Fiscal 2020 was attributable to the convertible note issued in May 2020 that was converted into shares of our Series D-3 and D-3A preferred stock in August 2020 at a loss.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Other Income (Expense), Net</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Other income (expense), net consists of realized and unrealized gains and losses related to foreign currency revaluation. As the functional currency of the Company and its subsidiaries is the U.S. dollar, transactions denominated in foreign currency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5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Income tax expense includes federal, state and foreign taxes and is based on reported income before income taxes. We are in a cumulative loss position for tax purposes based on historical earnings. As of December 31, 2021, the Company had net operating loss carry forwards of approximately $301.5 million and $102.9 million available to reduce future taxable income, if any, for both federal and state income tax purposes, respectively. Additionally, as of December 31, 2021, the Company had net operating loss carryforwards of $3.4 million relating to net operating losses in Germany (“Germany Net Operating Losses”). The federal and state net operating loss carry forwards will start to expire in 2025 and 2028, respectively, with the exception of $212.9 million in federal net operating loss carryforwards, which can be carried forward indefinitely. The Germany Net Operating Losses can be carried forward indefinitely. The Company also had federal and state research and development credit carry forwards of approximately $8.9 million and $8.0 million, respectively, at December 31, 2021. The federal credits will expire starting in 2029 if not utilized. State research and development tax credits will carry forward indefinitely.</w:t>
      </w:r>
    </w:p>
    <w:p>
      <w:pPr>
        <w:spacing w:after="0" w:line="103"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addition, we may in the future experience ownership changes as a result of changes in our stock ownership (some of which are not in our control). For these reasons, or other factors outside of our control, such as future regulatory or other changes, our ability to utilize our NOL carryforwards and other tax attributes to reduce future tax liabilities may be limited.</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tables set forth the significant components of our results of operations for the three and nine months ended September 30, 2022 and 2021 (in thousands except for %):</w:t>
      </w:r>
    </w:p>
    <w:p>
      <w:pPr>
        <w:spacing w:after="0" w:line="110"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6"/>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6"/>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5"/>
        </w:trPr>
        <w:tc>
          <w:tcPr>
            <w:tcW w:w="20" w:type="dxa"/>
            <w:vAlign w:val="bottom"/>
          </w:tcPr>
          <w:p>
            <w:pPr>
              <w:spacing w:after="0"/>
              <w:rPr>
                <w:sz w:val="3"/>
                <w:szCs w:val="3"/>
                <w:color w:val="auto"/>
              </w:rPr>
            </w:pPr>
          </w:p>
        </w:tc>
        <w:tc>
          <w:tcPr>
            <w:tcW w:w="342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27"/>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39"/>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Cost of revenues</w:t>
            </w: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Sales and marketing</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468%</w:t>
            </w:r>
          </w:p>
        </w:tc>
      </w:tr>
      <w:tr>
        <w:trPr>
          <w:trHeight w:val="39"/>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47"/>
        </w:trPr>
        <w:tc>
          <w:tcPr>
            <w:tcW w:w="20" w:type="dxa"/>
            <w:vAlign w:val="bottom"/>
          </w:tcPr>
          <w:p>
            <w:pPr>
              <w:spacing w:after="0"/>
              <w:rPr>
                <w:sz w:val="21"/>
                <w:szCs w:val="21"/>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6"/>
        </w:trPr>
        <w:tc>
          <w:tcPr>
            <w:tcW w:w="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38,194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16,996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(27,008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(17,170</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(9,838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4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6"/>
        </w:trPr>
        <w:tc>
          <w:tcPr>
            <w:tcW w:w="20" w:type="dxa"/>
            <w:vAlign w:val="bottom"/>
          </w:tcPr>
          <w:p>
            <w:pPr>
              <w:spacing w:after="0"/>
              <w:rPr>
                <w:sz w:val="21"/>
                <w:szCs w:val="21"/>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(1,166)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(2,683)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39"/>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73"/>
        </w:trPr>
        <w:tc>
          <w:tcPr>
            <w:tcW w:w="20" w:type="dxa"/>
            <w:vAlign w:val="bottom"/>
          </w:tcPr>
          <w:p>
            <w:pPr>
              <w:spacing w:after="0"/>
              <w:rPr>
                <w:sz w:val="23"/>
                <w:szCs w:val="23"/>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(2,738)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2,854</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27"/>
        </w:trPr>
        <w:tc>
          <w:tcPr>
            <w:tcW w:w="20" w:type="dxa"/>
            <w:vAlign w:val="bottom"/>
          </w:tcPr>
          <w:p>
            <w:pPr>
              <w:spacing w:after="0"/>
              <w:rPr>
                <w:sz w:val="19"/>
                <w:szCs w:val="19"/>
                <w:color w:val="auto"/>
              </w:rPr>
            </w:pPr>
          </w:p>
        </w:tc>
        <w:tc>
          <w:tcPr>
            <w:tcW w:w="3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other expense, net</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(5,421</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w w:val="90"/>
              </w:rPr>
              <w:t>)%</w:t>
            </w:r>
          </w:p>
        </w:tc>
      </w:tr>
      <w:tr>
        <w:trPr>
          <w:trHeight w:val="26"/>
        </w:trPr>
        <w:tc>
          <w:tcPr>
            <w:tcW w:w="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(28,058)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(22,591)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(5,467)</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47"/>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6"/>
        </w:trPr>
        <w:tc>
          <w:tcPr>
            <w:tcW w:w="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(23,781</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sectPr>
          <w:pgSz w:w="11900" w:h="16838" w:orient="portrait"/>
          <w:cols w:equalWidth="0" w:num="1">
            <w:col w:w="9019"/>
          </w:cols>
          <w:pgMar w:left="1440" w:top="264"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61" w:name="page62"/>
    <w:bookmarkEnd w:id="6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4"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6"/>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5"/>
        </w:trPr>
        <w:tc>
          <w:tcPr>
            <w:tcW w:w="20" w:type="dxa"/>
            <w:vAlign w:val="bottom"/>
          </w:tcPr>
          <w:p>
            <w:pPr>
              <w:spacing w:after="0"/>
              <w:rPr>
                <w:sz w:val="3"/>
                <w:szCs w:val="3"/>
                <w:color w:val="auto"/>
              </w:rPr>
            </w:pPr>
          </w:p>
        </w:tc>
        <w:tc>
          <w:tcPr>
            <w:tcW w:w="34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27"/>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39"/>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Cost of revenues</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Sales and marketing</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318%</w:t>
            </w:r>
          </w:p>
        </w:tc>
      </w:tr>
      <w:tr>
        <w:trPr>
          <w:trHeight w:val="39"/>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42,810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47"/>
        </w:trPr>
        <w:tc>
          <w:tcPr>
            <w:tcW w:w="20" w:type="dxa"/>
            <w:vAlign w:val="bottom"/>
          </w:tcPr>
          <w:p>
            <w:pPr>
              <w:spacing w:after="0"/>
              <w:rPr>
                <w:sz w:val="21"/>
                <w:szCs w:val="21"/>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6"/>
        </w:trPr>
        <w:tc>
          <w:tcPr>
            <w:tcW w:w="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62,334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35,949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27"/>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(76,655</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(46,288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(30,367</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6"/>
        </w:trPr>
        <w:tc>
          <w:tcPr>
            <w:tcW w:w="34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6"/>
        </w:trPr>
        <w:tc>
          <w:tcPr>
            <w:tcW w:w="20" w:type="dxa"/>
            <w:vAlign w:val="bottom"/>
          </w:tcPr>
          <w:p>
            <w:pPr>
              <w:spacing w:after="0"/>
              <w:rPr>
                <w:sz w:val="21"/>
                <w:szCs w:val="21"/>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(5,715)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73"/>
        </w:trPr>
        <w:tc>
          <w:tcPr>
            <w:tcW w:w="20" w:type="dxa"/>
            <w:vAlign w:val="bottom"/>
          </w:tcPr>
          <w:p>
            <w:pPr>
              <w:spacing w:after="0"/>
              <w:rPr>
                <w:sz w:val="23"/>
                <w:szCs w:val="23"/>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(718)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3,562</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27"/>
        </w:trPr>
        <w:tc>
          <w:tcPr>
            <w:tcW w:w="20" w:type="dxa"/>
            <w:vAlign w:val="bottom"/>
          </w:tcPr>
          <w:p>
            <w:pPr>
              <w:spacing w:after="0"/>
              <w:rPr>
                <w:sz w:val="19"/>
                <w:szCs w:val="19"/>
                <w:color w:val="auto"/>
              </w:rPr>
            </w:pPr>
          </w:p>
        </w:tc>
        <w:tc>
          <w:tcPr>
            <w:tcW w:w="3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other expense, net</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(6,433</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0"/>
              </w:rPr>
              <w:t>)%</w:t>
            </w:r>
          </w:p>
        </w:tc>
      </w:tr>
      <w:tr>
        <w:trPr>
          <w:trHeight w:val="26"/>
        </w:trPr>
        <w:tc>
          <w:tcPr>
            <w:tcW w:w="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(83,088)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(56,293)</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(26,795)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47"/>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6"/>
        </w:trPr>
        <w:tc>
          <w:tcPr>
            <w:tcW w:w="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loss</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(84,693</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59"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tables summarize our revenues by type and geographic regions for the three and nine months ended September 30, 2022 and 2021 (in thousands except for %):</w:t>
      </w:r>
    </w:p>
    <w:p>
      <w:pPr>
        <w:spacing w:after="0" w:line="110"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6"/>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6"/>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10,265</w:t>
            </w:r>
          </w:p>
        </w:tc>
        <w:tc>
          <w:tcPr>
            <w:tcW w:w="6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3,380</w:t>
            </w:r>
          </w:p>
        </w:tc>
        <w:tc>
          <w:tcPr>
            <w:tcW w:w="10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6,885</w:t>
            </w:r>
          </w:p>
        </w:tc>
        <w:tc>
          <w:tcPr>
            <w:tcW w:w="140" w:type="dxa"/>
            <w:vAlign w:val="bottom"/>
            <w:tcBorders>
              <w:top w:val="single" w:sz="8" w:color="auto"/>
              <w:left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39"/>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600" w:type="dxa"/>
            <w:vAlign w:val="bottom"/>
            <w:vMerge w:val="continue"/>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320" w:type="dxa"/>
            <w:vAlign w:val="bottom"/>
            <w:gridSpan w:val="3"/>
          </w:tcPr>
          <w:p>
            <w:pPr>
              <w:jc w:val="right"/>
              <w:ind w:right="86"/>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6"/>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6"/>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19,534</w:t>
            </w:r>
          </w:p>
        </w:tc>
        <w:tc>
          <w:tcPr>
            <w:tcW w:w="6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13,833</w:t>
            </w:r>
          </w:p>
        </w:tc>
        <w:tc>
          <w:tcPr>
            <w:tcW w:w="10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5,701</w:t>
            </w:r>
          </w:p>
        </w:tc>
        <w:tc>
          <w:tcPr>
            <w:tcW w:w="140" w:type="dxa"/>
            <w:vAlign w:val="bottom"/>
            <w:tcBorders>
              <w:top w:val="single" w:sz="8" w:color="auto"/>
              <w:left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39"/>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(385)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600" w:type="dxa"/>
            <w:vAlign w:val="bottom"/>
            <w:vMerge w:val="continue"/>
          </w:tcPr>
          <w:p>
            <w:pPr>
              <w:spacing w:after="0"/>
              <w:rPr>
                <w:sz w:val="20"/>
                <w:szCs w:val="20"/>
                <w:color w:val="auto"/>
              </w:rPr>
            </w:pPr>
          </w:p>
        </w:tc>
        <w:tc>
          <w:tcPr>
            <w:tcW w:w="1180" w:type="dxa"/>
            <w:vAlign w:val="bottom"/>
            <w:gridSpan w:val="2"/>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260" w:type="dxa"/>
            <w:vAlign w:val="bottom"/>
            <w:gridSpan w:val="4"/>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16,046</w:t>
            </w:r>
          </w:p>
        </w:tc>
        <w:tc>
          <w:tcPr>
            <w:tcW w:w="320" w:type="dxa"/>
            <w:vAlign w:val="bottom"/>
            <w:gridSpan w:val="3"/>
          </w:tcPr>
          <w:p>
            <w:pPr>
              <w:jc w:val="right"/>
              <w:ind w:right="86"/>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6"/>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6"/>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237"/>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gridSpan w:val="3"/>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gridSpan w:val="3"/>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gridSpan w:val="3"/>
          </w:tcPr>
          <w:p>
            <w:pPr>
              <w:spacing w:after="0"/>
              <w:rPr>
                <w:sz w:val="3"/>
                <w:szCs w:val="3"/>
                <w:color w:val="auto"/>
              </w:rPr>
            </w:pPr>
          </w:p>
        </w:tc>
        <w:tc>
          <w:tcPr>
            <w:tcW w:w="6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w:t>
            </w:r>
          </w:p>
        </w:tc>
        <w:tc>
          <w:tcPr>
            <w:tcW w:w="6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w:t>
            </w:r>
          </w:p>
        </w:tc>
        <w:tc>
          <w:tcPr>
            <w:tcW w:w="10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Japan</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39"/>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France</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144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39"/>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Korea</w:t>
            </w: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5,751</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5,431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w:t>
            </w:r>
          </w:p>
        </w:tc>
        <w:tc>
          <w:tcPr>
            <w:tcW w:w="0" w:type="dxa"/>
            <w:vAlign w:val="bottom"/>
          </w:tcPr>
          <w:p>
            <w:pPr>
              <w:spacing w:after="0"/>
              <w:rPr>
                <w:sz w:val="1"/>
                <w:szCs w:val="1"/>
                <w:color w:val="auto"/>
              </w:rPr>
            </w:pPr>
          </w:p>
        </w:tc>
      </w:tr>
      <w:tr>
        <w:trPr>
          <w:trHeight w:val="247"/>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260" w:type="dxa"/>
            <w:vAlign w:val="bottom"/>
            <w:tcBorders>
              <w:left w:val="single" w:sz="8" w:color="CCEEFF"/>
            </w:tcBorders>
            <w:gridSpan w:val="4"/>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320" w:type="dxa"/>
            <w:vAlign w:val="bottom"/>
            <w:tcBorders>
              <w:left w:val="single" w:sz="8" w:color="CCEEFF"/>
            </w:tcBorders>
            <w:gridSpan w:val="3"/>
            <w:shd w:val="clear" w:color="auto" w:fill="CCEEFF"/>
          </w:tcPr>
          <w:p>
            <w:pPr>
              <w:jc w:val="right"/>
              <w:ind w:right="86"/>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7,158</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ectPr>
          <w:pgSz w:w="11900" w:h="16838" w:orient="portrait"/>
          <w:cols w:equalWidth="0" w:num="1">
            <w:col w:w="9019"/>
          </w:cols>
          <w:pgMar w:left="1440" w:top="264"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62" w:name="page63"/>
    <w:bookmarkEnd w:id="6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4"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4"/>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4"/>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5"/>
        </w:trPr>
        <w:tc>
          <w:tcPr>
            <w:tcW w:w="2360" w:type="dxa"/>
            <w:vAlign w:val="bottom"/>
            <w:gridSpan w:val="2"/>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4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2,315</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Japan</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39"/>
        </w:trPr>
        <w:tc>
          <w:tcPr>
            <w:tcW w:w="2360" w:type="dxa"/>
            <w:vAlign w:val="bottom"/>
            <w:gridSpan w:val="2"/>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1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(4,137)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France</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228%</w:t>
            </w:r>
          </w:p>
        </w:tc>
      </w:tr>
      <w:tr>
        <w:trPr>
          <w:trHeight w:val="39"/>
        </w:trPr>
        <w:tc>
          <w:tcPr>
            <w:tcW w:w="2360" w:type="dxa"/>
            <w:vAlign w:val="bottom"/>
            <w:gridSpan w:val="2"/>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Korea</w:t>
            </w:r>
          </w:p>
        </w:tc>
        <w:tc>
          <w:tcPr>
            <w:tcW w:w="1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r>
      <w:tr>
        <w:trPr>
          <w:trHeight w:val="247"/>
        </w:trPr>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6"/>
        </w:trPr>
        <w:tc>
          <w:tcPr>
            <w:tcW w:w="20" w:type="dxa"/>
            <w:vAlign w:val="bottom"/>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2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c>
          <w:tcPr>
            <w:tcW w:w="2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51"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Total revenues increased by $7.2 million, or 178%, in the three months ended September 30, 2022 compared to the same period in 2021. The increase is primarily attributable to $5.3 million of licensing revenue from our Houndify Edge solution, which we delivered to a customer during the three months ended September 30, 2022, related to minimum guarantee units to be utilized over the life of the contract and resulted in a corresponding increase in our Contract assets balance. The increase in revenue is also due to a $1.7 million increase in hosted services during the three months ended September 30, 2022.</w:t>
      </w:r>
    </w:p>
    <w:p>
      <w:pPr>
        <w:spacing w:after="0" w:line="11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Total revenues increased by $5.6 million, or 35%, in the nine months ended September 30, 2022, compared to the same period in 2021. The increase is primarily attributable to the $5.3 million of Houndify Edge licensing revenue and a $3.0 million increase in hosted services partially offset by a $2.7 million decrease in professional services during the nine months ended September 30, 2022. The decrease in professional services is primarily due to the recognition of $4.3 million in nonrecurring royalties revenue as a result of a contract modification to end a distinct professional service contract prior to completion with a customer in Germany during the nine months ended September 30, 2021.</w:t>
      </w:r>
    </w:p>
    <w:p>
      <w:pPr>
        <w:spacing w:after="0" w:line="110"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 addition to the revenue growth experienced in Korea due to the $5.3 million Houndify Edge licensing agreement, we benefited from growth across the United States, France and other smaller foreign regions from scaling our Houndify Products with large automotive and device makers. We experienced additional revenue growth from Houndified Products in geographic regions of France and the United States of $0.1 million and $1.4 million, and $2.0 million and $2.3 million, respectively, during the three and nine months ended September 30, 2022 compared to the same periods in 2021. In France, our revenue increased due to distinct customization services sold to an existing large automotive company which also commenced production of our Houndified Product in their vehicles. In the United States, the increase is primarily attributable to an increase in royalties from one customer due to higher usage and hosting. Additionally, we experienced a $4.1 million decrease in revenue from Germany during the nine months ended September 30, 2022 compared to the same period in 2021. This was primarily due to a one-time contract modification to end a distinct professional service contract prior to completion during the nine months ended September 30, 2021. This customer was retained through ongoing hosting services. Revenue in both periods came principally from customers across the automotive and IoT sectors, with less significant amounts derived from other industry verticals.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146"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Cost of revenues increased by $0.9 million, or 56%, and $2.0 million, or 40%, in the three and nine months ended September 30, 2022, respectively, compared to the same periods in 2021. The increases are primarily related to incurring additional data center and hosting costs due to system migrations in order to support our revenue growth. Gross margin increased to 77% during the three months ended September 30, 2022 compared to 59% during the same period in 2021 primarily due to increased margins on the Houndify Edge licensing agreement described above. Gross margin decreased to 68% during the nine months ended September 30, 2022 compared to 70% during the same period in 2021 primarily due to the one-time contract modification to end the distinct professional service contract prior to completion with a customer in Germany during the second quarter of 2021 offset by the increased margins on the Houndify Edge agreement described above. While our gross margin may continue to fluctuate in the near-term due to revenue contributions from varying product mixes, we expect it will stabilize as we continue to expand our revenue from subscriptions and monetization.</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3" w:name="page64"/>
    <w:bookmarkEnd w:id="6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4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Research and development expenses increased by $5.0 million, or 35%, and $12.1 million, or 28%, in the three and nine months ended September 30, 2022, respectively, compared to the same periods in 2021. This increase in research and development expenses was primarily related to our investment in technology and engineering and increasing our full-time engineer headcount by to ensure we remain at the forefront of innovation, while also helping to develop and scale new products and services. Research and development headcount increased by 13% and was accompanied by higher salaries and compensation packages for executive hires as well as an additional $3.7 million and $6.1 million of stock-based compensation expense in the three and nine months ended September 30, 2022, respectively, compared to the same periods in 2021.</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159"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Sales and marketing expenses increased by $5.5 million, or 468%, and $10.4 million, or 318%, in the three and nine months ended September 30, 2022, respectively, compared to the same periods in 2021. This increase is due to a 184% increase in sales and marketing headcount and increased program spend to support a greater investment in go-to-market strategies and customer engagement and drive growth in our revenue from subscriptions and monetization.</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159"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General and administrative costs increased by $5.6 million, or 138%, and $11.6 million, or 102%, in the three and nine months ended September 30, 2022, respectively, compared to the same periods in 2021. This increase represents investments in our human resources, finance and legal functions, including increased personnel-related expenses as we prepared and began to function as a public entity. General and administrative headcount increased by 83% and was accompanied by higher salaries and compensation packages for executive hires as well as an additional $3.1 million and $7.7 million of stock -based compensation expense in the three and nine months ended September 30, 2022, respectively, compared to the same periods in 2021. Our expansion efforts, focused both on geographical reach and service compatibility, led to an increase of operational costs and resources incurred. Expenses related to the Business Combination also contributed to an increase in costs related to third-party specialists during the nine months ended September 30, 2022. In addition, an increase in other public readiness costs includes directors’ and officers’ insurance, capital markets advisory, accounting and legal support for SEC filings following the Business Combination. We also continued our efforts in reviewing and realigning our cost structure based on teams’ evolving responsibilities. As a result, we shifted resources from research and development to general and administrative activities to better align with the investments being made to fuel the growth as we scale as a new public company.</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4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Interest expense decreased by $1.5 million, or 57%, in the three months ended September 30, 2022 compared to the same period in 2021. The decrease in interest expense was primarily attributable to the conversion of the promissory note issued in June 2020 (“SNAP June 2020 Note”). On April 26, 2022, all outstanding principal of $15.0 million and accrued interest of $1.4 million were converted into Class A Common Stock. As our debt balance significantly decreased in the second quarter of 2022, our interest expense and amortization of debt issuance costs have decreased as well. In addition, the Business Combination extended the SVB March 2021 Note’s maturity date, leading to a reduction in interest expense due to discounts being amortized over longer periods starting on April 26, 2022.</w:t>
      </w:r>
    </w:p>
    <w:p>
      <w:pPr>
        <w:spacing w:after="0" w:line="11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Interest expense decreased by a nominal amount in the nine months ended September 30, 2022 compared to the same period in 2021. The decrease in interest expense was primarily attributable to the conversion of the SNAP June 2020 Note, as described above, and largely offset by the issuance of the SVB March 2021 Note and SCI June 2021 Note, resulting in $30.0 million and $15.0 million draws, respectively. These debt instruments were accompanied by the issuances of related common stock warrants, resulting in debt discounts to be amortized over the life of the instrument. The increase in our debt balance related to these draws in 2021 has led to increases in interest expense and amortization of debt issuance costs during the nine months ended September 30, 2022.</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4" w:name="page65"/>
    <w:bookmarkEnd w:id="6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14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following tables summarize our other income (expense), net, by type (in thousands except for %):</w:t>
      </w:r>
    </w:p>
    <w:p>
      <w:pPr>
        <w:spacing w:after="0" w:line="197"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6"/>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6"/>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54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Change in fair value of derivative and warrant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liability</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(2,478)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39"/>
        </w:trPr>
        <w:tc>
          <w:tcPr>
            <w:tcW w:w="354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0"/>
              </w:rPr>
              <w:t>)%</w:t>
            </w: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(2,738</w:t>
            </w:r>
          </w:p>
        </w:tc>
        <w:tc>
          <w:tcPr>
            <w:tcW w:w="120" w:type="dxa"/>
            <w:vAlign w:val="bottom"/>
            <w:vMerge w:val="continue"/>
          </w:tcPr>
          <w:p>
            <w:pPr>
              <w:spacing w:after="0"/>
              <w:rPr>
                <w:sz w:val="20"/>
                <w:szCs w:val="20"/>
                <w:color w:val="auto"/>
              </w:rPr>
            </w:pPr>
          </w:p>
        </w:tc>
        <w:tc>
          <w:tcPr>
            <w:tcW w:w="32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6"/>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6"/>
              </w:rPr>
              <w:t>Nine 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6"/>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540" w:type="dxa"/>
            <w:vAlign w:val="bottom"/>
            <w:gridSpan w:val="2"/>
          </w:tcPr>
          <w:p>
            <w:pPr>
              <w:spacing w:after="0"/>
              <w:rPr>
                <w:sz w:val="3"/>
                <w:szCs w:val="3"/>
                <w:color w:val="auto"/>
              </w:rPr>
            </w:pPr>
          </w:p>
        </w:tc>
        <w:tc>
          <w:tcPr>
            <w:tcW w:w="460" w:type="dxa"/>
            <w:vAlign w:val="bottom"/>
            <w:gridSpan w:val="2"/>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Change in fair value of derivative and warrant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liability</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(606)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(3,792)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39"/>
        </w:trPr>
        <w:tc>
          <w:tcPr>
            <w:tcW w:w="354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0"/>
              </w:rPr>
              <w:t>)%</w:t>
            </w: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120" w:type="dxa"/>
            <w:vAlign w:val="bottom"/>
            <w:vMerge w:val="continue"/>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(4,280</w:t>
            </w:r>
          </w:p>
        </w:tc>
        <w:tc>
          <w:tcPr>
            <w:tcW w:w="120" w:type="dxa"/>
            <w:vAlign w:val="bottom"/>
            <w:vMerge w:val="continue"/>
          </w:tcPr>
          <w:p>
            <w:pPr>
              <w:spacing w:after="0"/>
              <w:rPr>
                <w:sz w:val="20"/>
                <w:szCs w:val="20"/>
                <w:color w:val="auto"/>
              </w:rPr>
            </w:pPr>
          </w:p>
        </w:tc>
        <w:tc>
          <w:tcPr>
            <w:tcW w:w="32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Change in Fair Value of Derivative and Warrant Liability</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losses attributable to the change in fair value of derivative and warrant liability decreased by $2.5 million, or 100%, and $3.2 million, or 84%, in the three and nine months ended September 30, 2022, respectively, compared to the same periods in 2021. The changes were primarily attributable to $1.8 million and $2.7 million in losses, from the change in fair value of the warrant liability during the three and nine months ended September 30, 2021, respectively, as compared to no change in the fair value of the warrant liability during the three and nine months ended September 30, 2022, due to the exercise of Series C Warrants in December 2021, which extinguished the Company’s corresponding warrant liability.</w:t>
      </w:r>
    </w:p>
    <w:p>
      <w:pPr>
        <w:spacing w:after="0" w:line="9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balance during the nine months ended September 30, 2022 solely reflects the change in fair value of the embedded derivative from the SNAP June 2020 Note. The fair value of the derivative liability decreased by $0.6 million during the nine months ended September 30, 2022, compared to decreases of $0.7 million and $1.1 million during the three and nine months ended September 30, 2021, respectively. The changes in fair value of the derivative liability represent corresponding gains or losses on the Condensed Consolidated Statement of Operations and Comprehensive Loss due to changes in probability assumptions of a change in control or SPAC transaction.</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 thousands except for %)</w:t>
      </w:r>
    </w:p>
    <w:p>
      <w:pPr>
        <w:spacing w:after="0" w:line="199"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4"/>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6"/>
              </w:rPr>
              <w:t>Three Months</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tcPr>
          <w:p>
            <w:pPr>
              <w:jc w:val="center"/>
              <w:ind w:left="26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4"/>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80" w:type="dxa"/>
            <w:vAlign w:val="bottom"/>
          </w:tcPr>
          <w:p>
            <w:pPr>
              <w:spacing w:after="0"/>
              <w:rPr>
                <w:sz w:val="17"/>
                <w:szCs w:val="17"/>
                <w:color w:val="auto"/>
              </w:rPr>
            </w:pPr>
          </w:p>
        </w:tc>
        <w:tc>
          <w:tcPr>
            <w:tcW w:w="1320" w:type="dxa"/>
            <w:vAlign w:val="bottom"/>
            <w:gridSpan w:val="3"/>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7"/>
                <w:szCs w:val="17"/>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46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680" w:type="dxa"/>
            <w:vAlign w:val="bottom"/>
            <w:gridSpan w:val="2"/>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9"/>
                <w:szCs w:val="19"/>
                <w:color w:val="auto"/>
              </w:rPr>
            </w:pPr>
          </w:p>
        </w:tc>
        <w:tc>
          <w:tcPr>
            <w:tcW w:w="640" w:type="dxa"/>
            <w:vAlign w:val="bottom"/>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87"/>
              </w:rPr>
              <w:t>%</w:t>
            </w:r>
          </w:p>
        </w:tc>
      </w:tr>
      <w:tr>
        <w:trPr>
          <w:trHeight w:val="45"/>
        </w:trPr>
        <w:tc>
          <w:tcPr>
            <w:tcW w:w="20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r>
      <w:tr>
        <w:trPr>
          <w:trHeight w:val="219"/>
        </w:trPr>
        <w:tc>
          <w:tcPr>
            <w:tcW w:w="20" w:type="dxa"/>
            <w:vAlign w:val="bottom"/>
          </w:tcPr>
          <w:p>
            <w:pPr>
              <w:spacing w:after="0"/>
              <w:rPr>
                <w:sz w:val="19"/>
                <w:szCs w:val="19"/>
                <w:color w:val="auto"/>
              </w:rPr>
            </w:pPr>
          </w:p>
        </w:tc>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(326)</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1,605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34"/>
        </w:trPr>
        <w:tc>
          <w:tcPr>
            <w:tcW w:w="20" w:type="dxa"/>
            <w:vAlign w:val="bottom"/>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r>
    </w:tbl>
    <w:p>
      <w:pPr>
        <w:spacing w:after="0" w:line="15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5" w:name="page66"/>
    <w:bookmarkEnd w:id="6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For Fiscal 2021 and Fiscal 2020</w:t>
      </w:r>
    </w:p>
    <w:p>
      <w:pPr>
        <w:spacing w:after="0" w:line="14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following table sets forth the significant components of our results of operations for Fiscal 2021 and</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Fiscal 2020 (in thousands except for %):</w:t>
      </w:r>
    </w:p>
    <w:p>
      <w:pPr>
        <w:spacing w:after="0" w:line="178"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6"/>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6"/>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24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Revenues</w:t>
            </w:r>
          </w:p>
        </w:tc>
        <w:tc>
          <w:tcPr>
            <w:tcW w:w="5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Operating expenses: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 of revenues</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Sales and marketing</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29"/>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59,178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54,279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16,521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5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86,524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79,021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34"/>
        </w:trPr>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(65,327)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(66,004)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expense, net</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expense</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(2,269)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29"/>
              <w:spacing w:after="0"/>
              <w:rPr>
                <w:sz w:val="20"/>
                <w:szCs w:val="20"/>
                <w:color w:val="auto"/>
              </w:rPr>
            </w:pPr>
            <w:r>
              <w:rPr>
                <w:rFonts w:ascii="Times New Roman" w:cs="Times New Roman" w:eastAsia="Times New Roman" w:hAnsi="Times New Roman"/>
                <w:sz w:val="17"/>
                <w:szCs w:val="17"/>
                <w:color w:val="auto"/>
              </w:rPr>
              <w:t>(6,073)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expense, net</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Total other expense, net</w:t>
            </w: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2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(13,757)</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(7,665)</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(6,092)</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34"/>
        </w:trPr>
        <w:tc>
          <w:tcPr>
            <w:tcW w:w="3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5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(79,084)</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(73,669)</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7"/>
                <w:szCs w:val="17"/>
                <w:color w:val="auto"/>
              </w:rPr>
              <w:t>(5,415)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20" w:type="dxa"/>
            <w:vAlign w:val="bottom"/>
          </w:tcPr>
          <w:p>
            <w:pPr>
              <w:jc w:val="right"/>
              <w:ind w:right="2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(5,133</w:t>
            </w:r>
          </w:p>
        </w:tc>
        <w:tc>
          <w:tcPr>
            <w:tcW w:w="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46"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summarizes our revenues by type for Fiscal 2021 and Fiscal 2020 (in thousands except for %):</w:t>
      </w:r>
    </w:p>
    <w:p>
      <w:pPr>
        <w:spacing w:after="0" w:line="123"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4"/>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4"/>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4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11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7,984</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39"/>
        </w:trPr>
        <w:tc>
          <w:tcPr>
            <w:tcW w:w="264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18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34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26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4"/>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4"/>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4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11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4,187</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39"/>
        </w:trPr>
        <w:tc>
          <w:tcPr>
            <w:tcW w:w="264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Japan</w:t>
            </w:r>
          </w:p>
        </w:tc>
        <w:tc>
          <w:tcPr>
            <w:tcW w:w="118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Korea</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auto"/>
              </w:rPr>
              <w:t>(482)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39"/>
        </w:trPr>
        <w:tc>
          <w:tcPr>
            <w:tcW w:w="264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France</w:t>
            </w:r>
          </w:p>
        </w:tc>
        <w:tc>
          <w:tcPr>
            <w:tcW w:w="118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0" w:type="dxa"/>
            <w:vAlign w:val="bottom"/>
          </w:tcPr>
          <w:p>
            <w:pPr>
              <w:spacing w:after="0"/>
              <w:rPr>
                <w:sz w:val="1"/>
                <w:szCs w:val="1"/>
                <w:color w:val="auto"/>
              </w:rPr>
            </w:pPr>
          </w:p>
        </w:tc>
      </w:tr>
      <w:tr>
        <w:trPr>
          <w:trHeight w:val="247"/>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30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8,180</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Total revenues increased by $8.2 million, or 63%, in Fiscal 2021, compared to Fiscal 2020. Product Royalties revenue increased by $8.0 million during Fiscal 2021 compared to Fiscal 2020. $3.0 million of the increase is attributable to customers having production-ready Houndified Products for only part of Fiscal 2020, compared to the complete period of hosting services in Fiscal 2021. Professional services revenue increased by $4.1 million in Fiscal 2021, compared to Fiscal 2020. This was largely attributed to an additional $4.3 million due to a one-time contract modification to end a distinct professional service contract prior to completion with a customer in Germany. The additional $4.3 million in professional services revenue was partially offset by a $0.3 million decrease in one-time proof of concept projects from $0.6 million during Fiscal 2020 to $0.3 million during Fiscal 2021. For further</w:t>
      </w:r>
    </w:p>
    <w:p>
      <w:pPr>
        <w:sectPr>
          <w:pgSz w:w="11900" w:h="16838" w:orient="portrait"/>
          <w:cols w:equalWidth="0" w:num="1">
            <w:col w:w="9019"/>
          </w:cols>
          <w:pgMar w:left="1440" w:top="26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66" w:name="page67"/>
    <w:bookmarkEnd w:id="6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information regarding our professional service revenue, see Note 3 “Revenue” to the consolidated financial statements as of December 31, 2021 included elsewhere in this prospectus. The remaining $0.9 million increase of total revenues was primarily due to increased usage on existing contracts.</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increase in Service Subscriptions revenue of $0.3 million, or 22%, is primarily due to an increased number of customers with production-ready Houndified Services and increased usage by end users during Fiscal 2021.</w:t>
      </w:r>
    </w:p>
    <w:p>
      <w:pPr>
        <w:spacing w:after="0" w:line="9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Monetization revenue decreased nominally during Fiscal 2021 due to a decrease in advertising revenue through decreased user impressions on the SoundHound music application.</w:t>
      </w:r>
    </w:p>
    <w:p>
      <w:pPr>
        <w:spacing w:after="0" w:line="68"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We benefited from growth across Germany, the United States, Japan and France from scaling our Houndify Products with large automotive and device makers. The growth experienced from Fiscal 2021 compared to Fiscal 2020 was in-line with the overall trend of international growth in Germany and Japan in Fiscal 2020 compared to the year ended December 31, 2019 (“Fiscal 2019”). During the period from Fiscal 2020 compared to Fiscal 2019, the Company experienced a shift in revenue with an automobile manufacturer from the United States to Germany which resulted in a temporary decrease in revenue generated domestically. We have experienced additional growth of revenue of Houndified Products in new geographic regions of France and the United Kingdom of $2.0 million and $0.4 million, respectively, during Fiscal 2021 compared to Fiscal 2020. In France, our revenue increased due to distinct customization services sold to an existing large automotive company which also commenced production of our Houndified Product in their vehicles. We further experienced a $0.5 million decrease in revenue in Korea due to migrating customers from a music driven service to a Houndified Product for which there are usage delays during the transition phase. Revenue in both periods came principally from customers across the automotive and IoT sectors, with less significant amounts derived from other industry verticals.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15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Cost of revenues increased by $0.7 million, or 12%, in Fiscal 2021, compared to Fiscal 2020. This was mainly due to increases in cloud hosting costs and, to a lesser extent, increases in salaries and benefits directly associated with revenues and costs for one of our data centers.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59"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Research and development expenses increased by $4.9 million, or 9%, in Fiscal 2021, compared to Fiscal 2020. This increase in research and development expenses was primarily related to increases in our headcount in order to meet demands of our application usability increases, as well as the restoration of pre-COVID-19 personnel-related expenses, including wage increases to compensate for prior cost-saving measures taken during the pandemic. This was partially offset by a $0.8 million decrease in our third-party consulting expenses. Lastly, our facilities and allocated expenses increased as we diversified our headcount and general testing on our service technology.</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146"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Sales and marketing expenses decreased $0.5 million, or 11%, in Fiscal 2021, compared to Fiscal 2020. This relatively small decrease was due to changing go-to market strategies. Furthermore, due to difficulties experienced during the COVID-19 pandemic, our headcount decreased to perform within our budget. However, we expect to increase sales and marketing expenses as we invest in obtaining new customers, expand existing customer relationships and enter new markets.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15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General and administrative costs increased by $2.4 million, or 17%, in Fiscal 2021 compared to Fiscal 2020. This increase represents investments in our human resources, finance and legal functions, including increased personnel-related expenses as we prepare to function as a public entity. Our expansion efforts, focused both on geographical reach and service compatibility, led to an increase of operational costs and resources incurred. Expenses related to the proposed Business Combination also contributed to an increase in costs related to third-party specialists.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7" w:name="page68"/>
    <w:bookmarkEnd w:id="6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46"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Interest expense increased by $6.1 million, or 268%, during Fiscal 2021, compared to Fiscal 2020. This increase was attributable to a $30.0 million term loan and a $15.0 million convertible note draw, both of which were accompanied by issuances of related common stock warrants. As our debt balance significantly increased for the year, our interest expense, which is incurred monthly, and our amortized debt issuance costs have proportionally increased as well.</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Other Expense, Net</w:t>
      </w:r>
    </w:p>
    <w:p>
      <w:pPr>
        <w:spacing w:after="0" w:line="159"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summarizes our other expenses by type that comprise the other expense, net account for Fiscal 2021 and Fiscal 2020 (in thousands except for %):</w:t>
      </w:r>
    </w:p>
    <w:p>
      <w:pPr>
        <w:spacing w:after="0" w:line="110"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6"/>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6"/>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3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r>
      <w:tr>
        <w:trPr>
          <w:trHeight w:val="45"/>
        </w:trPr>
        <w:tc>
          <w:tcPr>
            <w:tcW w:w="352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190"/>
        </w:trPr>
        <w:tc>
          <w:tcPr>
            <w:tcW w:w="20" w:type="dxa"/>
            <w:vAlign w:val="bottom"/>
          </w:tcPr>
          <w:p>
            <w:pPr>
              <w:spacing w:after="0"/>
              <w:rPr>
                <w:sz w:val="16"/>
                <w:szCs w:val="16"/>
                <w:color w:val="auto"/>
              </w:rPr>
            </w:pPr>
          </w:p>
        </w:tc>
        <w:tc>
          <w:tcPr>
            <w:tcW w:w="35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Change in fair value of derivative and warrant</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liability</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39"/>
        </w:trPr>
        <w:tc>
          <w:tcPr>
            <w:tcW w:w="352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extinguishment of convertible note</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47"/>
        </w:trPr>
        <w:tc>
          <w:tcPr>
            <w:tcW w:w="3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(3,053)%</w:t>
            </w:r>
          </w:p>
        </w:tc>
      </w:tr>
      <w:tr>
        <w:trPr>
          <w:trHeight w:val="26"/>
        </w:trPr>
        <w:tc>
          <w:tcPr>
            <w:tcW w:w="2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other expense, net</w:t>
            </w:r>
          </w:p>
        </w:tc>
        <w:tc>
          <w:tcPr>
            <w:tcW w:w="5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Interest income decreased by $0.2 million, or 96%, in Fiscal 2021, compared to Fiscal 2020 due to the gradual liquidation of our short-term investments throughout the prior period then ended.</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Change in Fair Value of Derivative and Warrant Liability</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change in fair value of derivative and warrant liability increased by $3.1 million, or 172%, in Fiscal 2021, compared to Fiscal 2020. This was primarily driven by the extinguishment of the warrant liability due to the exercise of Series C warrants in December 2021, which resulted in a $3.8 million loss on the Consolidated Statement of Operations and Comprehensive Loss to remeasure the liability immediately prior to exercise. Additionally, the increase was also attributed to a change in fair value of the embedded derivative from the issuance of our promissory note issued in June 2020. The fair value of the derivative liability increased by $1.1 million, representing a corresponding $1.1 million loss on the Consolidated Statement of Operations and Comprehensive Loss due to increases in probability assumptions of a change in control or SPAC transaction.</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Loss on Extinguishment of Convertible Note</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did not record any losses on extinguishment of convertible note during Fiscal 2021. The loss on extinguishment of convertible note during Fiscal 2020 was attributable to the convertible note issued in May 2020 that was converted into shares of our Series D-3 and D-3A preferred stock in August 2020 at a loss.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Sources and Uses of Liquidity</w:t>
      </w:r>
    </w:p>
    <w:p>
      <w:pPr>
        <w:spacing w:after="0" w:line="159"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As a result of the Business Combination, we raised gross proceeds of $118.4 million including a combination of $5.4 million in cash held in trust by ATSP (following satisfaction of redemptions by public stockholders), and $113.0 million in aggregate gross proceeds from PIPE investors. The combined company incurred $27.7 million of expenses related to the transaction.</w:t>
      </w:r>
    </w:p>
    <w:p>
      <w:pPr>
        <w:spacing w:after="0" w:line="105"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had $33.4 million and $9.2 million in cash and cash equivalents as of September 30, 2022 and December 31, 2022, respectively. Although the Company has incurred recurring losses each year since its inception, the Company expects it will be able to fund its operations for at least the next twelve months through a combination of cash on hand (including as a result of the net proceeds from the recently closed Series A Preferred Stock Transaction which had an aggregate issue price of approximately $25 million), securing additional funding through debt or equity financings (including through the sale of shares to Cantor pursuant to the Facility being registered herein), implement incremental</w:t>
      </w:r>
    </w:p>
    <w:p>
      <w:pPr>
        <w:sectPr>
          <w:pgSz w:w="11900" w:h="16838" w:orient="portrait"/>
          <w:cols w:equalWidth="0" w:num="1">
            <w:col w:w="9019"/>
          </w:cols>
          <w:pgMar w:left="1440" w:top="264"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68" w:name="page69"/>
    <w:bookmarkEnd w:id="6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59" w:lineRule="auto"/>
        <w:rPr>
          <w:sz w:val="20"/>
          <w:szCs w:val="20"/>
          <w:color w:val="auto"/>
        </w:rPr>
      </w:pPr>
      <w:r>
        <w:rPr>
          <w:rFonts w:ascii="Times New Roman" w:cs="Times New Roman" w:eastAsia="Times New Roman" w:hAnsi="Times New Roman"/>
          <w:sz w:val="17"/>
          <w:szCs w:val="17"/>
          <w:color w:val="auto"/>
        </w:rPr>
        <w:t>expense reduction measures or a combination thereof. Further, in the future, the Company may seek additional funding through debt or equity financing arrangements, implement incremental expense reduction measures or a combination thereof to continue financing its operations. Although management continues to pursue these plans, there is no assurance that the Company will be successful in obtaining sufficient funding on terms acceptable to the Company to fund continuing operations, if at all. The Company’s condensed consolidated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Contractual and Other Obligations</w:t>
      </w:r>
    </w:p>
    <w:p>
      <w:pPr>
        <w:spacing w:after="0" w:line="15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Because we expect to continue significantly increasing our investments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See Note 7 and Note 14 to our unaudited condensed consolidated financial statements for the three and nine month periods ended September 30, 2022 and Note 6 and Note 13 to our audited consolidated financial statements included in this prospectus for more information.</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Debt Financing</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Below are our material debt agreements as of September 30, 2022:</w:t>
      </w:r>
    </w:p>
    <w:p>
      <w:pPr>
        <w:spacing w:after="0" w:line="140" w:lineRule="exact"/>
        <w:rPr>
          <w:sz w:val="20"/>
          <w:szCs w:val="20"/>
          <w:color w:val="auto"/>
        </w:rPr>
      </w:pPr>
    </w:p>
    <w:p>
      <w:pPr>
        <w:jc w:val="both"/>
        <w:ind w:left="1440" w:right="619" w:hanging="418"/>
        <w:spacing w:after="0" w:line="263" w:lineRule="auto"/>
        <w:tabs>
          <w:tab w:leader="none" w:pos="143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SVB March 2021 </w:t>
      </w:r>
      <w:r>
        <w:rPr>
          <w:rFonts w:ascii="Times New Roman" w:cs="Times New Roman" w:eastAsia="Times New Roman" w:hAnsi="Times New Roman"/>
          <w:sz w:val="17"/>
          <w:szCs w:val="17"/>
          <w:color w:val="auto"/>
        </w:rPr>
        <w:t>— In March 2021, we entered into a loan and security agreement with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commercial bank to borrow $30.0 million (“SVB March 2021 Note”). In April 2022, the Company entered into a loan modification agreement, which extended the SVB March 2021 Note’s early maturity date from April 26, 2022 to May 26, 2022. As the SNAP June 2020 Note converted on April 26, 2022 the performance milestone was met and the SVB March 2021 Note’s maturity date was extended to September 1, 2024.</w:t>
      </w:r>
    </w:p>
    <w:p>
      <w:pPr>
        <w:spacing w:after="0" w:line="105" w:lineRule="exact"/>
        <w:rPr>
          <w:rFonts w:ascii="Times New Roman" w:cs="Times New Roman" w:eastAsia="Times New Roman" w:hAnsi="Times New Roman"/>
          <w:sz w:val="17"/>
          <w:szCs w:val="17"/>
          <w:color w:val="auto"/>
        </w:rPr>
      </w:pPr>
    </w:p>
    <w:p>
      <w:pPr>
        <w:jc w:val="both"/>
        <w:ind w:left="1440" w:right="619" w:hanging="418"/>
        <w:spacing w:after="0" w:line="268" w:lineRule="auto"/>
        <w:tabs>
          <w:tab w:leader="none" w:pos="143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SCI June 2021 Note </w:t>
      </w:r>
      <w:r>
        <w:rPr>
          <w:rFonts w:ascii="Times New Roman" w:cs="Times New Roman" w:eastAsia="Times New Roman" w:hAnsi="Times New Roman"/>
          <w:sz w:val="17"/>
          <w:szCs w:val="17"/>
          <w:color w:val="auto"/>
        </w:rPr>
        <w:t>— In June 2021, we issued a note pursuant to a loan and security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a lender to borrow up to a commitment amount of $15.0 million in $5.0 million increments (“SCI June 2021 Note”). Through December 31, 2021, we had borrowed $15.0 million. The maturity date of the loan is May 31, 2025.</w:t>
      </w:r>
    </w:p>
    <w:p>
      <w:pPr>
        <w:spacing w:after="0" w:line="1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59"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summarizes our cash flows for the nine months ended September 30, 2022 and 2021 (in thousands):</w:t>
      </w:r>
    </w:p>
    <w:p>
      <w:pPr>
        <w:spacing w:after="0" w:line="110"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1"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4077335</wp:posOffset>
            </wp:positionH>
            <wp:positionV relativeFrom="paragraph">
              <wp:posOffset>35560</wp:posOffset>
            </wp:positionV>
            <wp:extent cx="12623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72"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340" w:type="dxa"/>
            <w:vAlign w:val="bottom"/>
            <w:gridSpan w:val="2"/>
          </w:tcPr>
          <w:p>
            <w:pPr>
              <w:spacing w:after="0"/>
              <w:rPr>
                <w:sz w:val="3"/>
                <w:szCs w:val="3"/>
                <w:color w:val="auto"/>
              </w:rPr>
            </w:pPr>
          </w:p>
        </w:tc>
        <w:tc>
          <w:tcPr>
            <w:tcW w:w="1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4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(73,605)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(51,097)</w:t>
            </w:r>
          </w:p>
        </w:tc>
        <w:tc>
          <w:tcPr>
            <w:tcW w:w="0" w:type="dxa"/>
            <w:vAlign w:val="bottom"/>
          </w:tcPr>
          <w:p>
            <w:pPr>
              <w:spacing w:after="0"/>
              <w:rPr>
                <w:sz w:val="1"/>
                <w:szCs w:val="1"/>
                <w:color w:val="auto"/>
              </w:rPr>
            </w:pPr>
          </w:p>
        </w:tc>
      </w:t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(1,188)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0" w:type="dxa"/>
            <w:vAlign w:val="bottom"/>
          </w:tcPr>
          <w:p>
            <w:pPr>
              <w:spacing w:after="0"/>
              <w:rPr>
                <w:sz w:val="1"/>
                <w:szCs w:val="1"/>
                <w:color w:val="auto"/>
              </w:rPr>
            </w:pPr>
          </w:p>
        </w:tc>
      </w:tr>
      <w:tr>
        <w:trPr>
          <w:trHeight w:val="39"/>
        </w:trPr>
        <w:tc>
          <w:tcPr>
            <w:tcW w:w="4340" w:type="dxa"/>
            <w:vAlign w:val="bottom"/>
            <w:gridSpan w:val="2"/>
          </w:tcPr>
          <w:p>
            <w:pPr>
              <w:spacing w:after="0"/>
              <w:rPr>
                <w:sz w:val="3"/>
                <w:szCs w:val="3"/>
                <w:color w:val="auto"/>
              </w:rPr>
            </w:pPr>
          </w:p>
        </w:tc>
        <w:tc>
          <w:tcPr>
            <w:tcW w:w="1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85,613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34,898</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ind w:right="6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(16,433</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Cash Flows Used in Operating Activities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Net cash used in operating activities was $73.6 million during the nine months ended September 30, 2022 compared to $51.1 million during the nine months ended September 30, 2021. The $22.5 million increase in cash used in operating activities was primarily due to our increased net loss, adjusted for non-cash expenses, including stock-based compensation and depreciation and amortization, as well as an increase in our contract assets balance of $6.0 million.</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9" w:name="page70"/>
    <w:bookmarkEnd w:id="6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Cash Flows Used in Investing Activities</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Net cash used in investing activities was $1.2 million during the nine months ended September 30, 2022 compared to $0.2 million during the nine months ended September 30, 2021. The $1.0 million increase in cash used in investing activities was driven by purchases of property and equipment.</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Cash Flows Provided by Financing Activities</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Net cash provided by financing activities was $85.6 million during the nine months ended September 30, 2022 compared to $34.9 million during the nine months ended September 30, 2021. The $50.7 million increase in cash provided by financing activities was primarily due to the $90.7 million in net proceeds from the Business Combination and a $1.7 million increase in proceeds from common stock options exercised during the nine months ended September 30, 2022. This was partially offset by net proceeds of $34.9 million from the issuance of the SVB March 2021 Note and the SCI June 2021 Note during the nine months ended September 30, 2021 and payments on our notes payable of $7.5 million during the nine months ended September 30, 2022.</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off-balance sheet arrangements, as defined in the rules and regulations of the SEC.</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have no material changes to our commitments and contingencies as of September 30, 2022 as disclosed in the contractual obligations and commitment section in our unaudited condensed consolidated financial statements as of September 30, 2022 included elsewhere in this prospectus.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Indemnification Agreements</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Management Estimates</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is based on our audited consolidated financial statements and unaudited condensed consolidated financial statements, each included elsewhere in this prospectus, that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99" w:lineRule="exact"/>
        <w:rPr>
          <w:sz w:val="20"/>
          <w:szCs w:val="20"/>
          <w:color w:val="auto"/>
        </w:rPr>
      </w:pPr>
    </w:p>
    <w:p>
      <w:pPr>
        <w:jc w:val="both"/>
        <w:ind w:left="600" w:right="619" w:firstLine="416"/>
        <w:spacing w:after="0" w:line="285" w:lineRule="auto"/>
        <w:rPr>
          <w:sz w:val="20"/>
          <w:szCs w:val="20"/>
          <w:color w:val="auto"/>
        </w:rPr>
      </w:pPr>
      <w:r>
        <w:rPr>
          <w:rFonts w:ascii="Times New Roman" w:cs="Times New Roman" w:eastAsia="Times New Roman" w:hAnsi="Times New Roman"/>
          <w:sz w:val="17"/>
          <w:szCs w:val="17"/>
          <w:color w:val="auto"/>
        </w:rPr>
        <w:t>For a discussion of our critical accounting policies, see Note 2 to the audited consolidated financial statements and unaudited condensed consolidated financial statements each included elsewhere in this prospectus.</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0" w:name="page71"/>
    <w:bookmarkEnd w:id="7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46"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We recognize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We enter into contracts that can include various products or services, which are generally capable of being distinct and accounted for as separate performance obligations.</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 derive our revenue primarily from the following performance obligations: (1) hosted services,</w:t>
      </w:r>
    </w:p>
    <w:p>
      <w:pPr>
        <w:spacing w:after="0" w:line="31" w:lineRule="exact"/>
        <w:rPr>
          <w:sz w:val="20"/>
          <w:szCs w:val="20"/>
          <w:color w:val="auto"/>
        </w:rPr>
      </w:pPr>
    </w:p>
    <w:p>
      <w:pPr>
        <w:ind w:left="600" w:right="619" w:firstLine="6"/>
        <w:spacing w:after="0" w:line="270" w:lineRule="auto"/>
        <w:tabs>
          <w:tab w:leader="none" w:pos="84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professional services, (3) monetization, and (4) licensing. Revenue is reported net of applicable sales and use taxes that are passed through to customers.</w:t>
      </w:r>
    </w:p>
    <w:p>
      <w:pPr>
        <w:spacing w:after="0" w:line="10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 have the following performance obligations in contracts with customers: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Hosted Services</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have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We recognize revenue as each distinct service period is performed (i.e., recognized as incurred).</w:t>
      </w:r>
    </w:p>
    <w:p>
      <w:pPr>
        <w:spacing w:after="0" w:line="9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0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instances where we concluded that the up-front services are not distinct performance obligations, revenue for these activities is recognized over the period which the hosted services are provided and is included within hosted services revenue.</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Professional Services</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Revenue from distinct professional services, such as non-integrated development services, is either recognized over time based upon the progress towards completion of the project, or at a point in time at project completion. We assess distinct professional services to determine whether the transfer of control is over-time or at a point in time. We consider three criteria in making their assessment, including (1) the customer simultaneously receives and consumes the benefits; (2) our performance creates or enhances an asset that the customer controls as the asset is created or enhanced; or (3) our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9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1" w:name="page72"/>
    <w:bookmarkEnd w:id="7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Monetization</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Monetization revenues are primarily derived from advertising payments associated with ad impressions placed on the SoundHound music identification application. We derive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we recognize the related revenues at a point in time when advertisements are placed, when commissions are paid or when the SoundHound application is downloaded. The determination of whether revenue should be reported on a gross or net basis is based on an assessment of whether we are acting as a principal or an agent in the transaction. We have determined that we do not act as the principal in monetization arrangements because we do not control the transfer of the service and we do not set the price. Based on these factors, we report revenue on a net basis.</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Licensing</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We license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We record licensing revenue as a usage-based royalty from customers’ usage of intellectual property in the same period in which the underlying sale occurs. We provide assurance-type warranty services and to date, post-contract support has been an immaterial performance obligation within the context of the contract.</w:t>
      </w:r>
    </w:p>
    <w:p>
      <w:pPr>
        <w:spacing w:after="0" w:line="11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we estimate SSP by considering the following factors:</w:t>
      </w:r>
    </w:p>
    <w:p>
      <w:pPr>
        <w:spacing w:after="0" w:line="97" w:lineRule="exact"/>
        <w:rPr>
          <w:sz w:val="20"/>
          <w:szCs w:val="20"/>
          <w:color w:val="auto"/>
        </w:rPr>
      </w:pPr>
    </w:p>
    <w:p>
      <w:pPr>
        <w:ind w:left="1440" w:hanging="418"/>
        <w:spacing w:after="0"/>
        <w:tabs>
          <w:tab w:leader="none" w:pos="14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developing and supplying each performance obligation;</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standards;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product groupings; and</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margin objectives and pricing practices, such as contractually stated prices, discounts offered, and applicable price lists.</w:t>
      </w:r>
    </w:p>
    <w:p>
      <w:pPr>
        <w:spacing w:after="0" w:line="8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These factors may vary over time, depending upon the unique facts and circumstances related to each deliverable. If the facts and circumstances underlying the factors considered change or should future facts and circumstances lead us to consider additional factors, our best estimate of SSP may also change.</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Notes and Derivative Liabilities</w:t>
      </w:r>
    </w:p>
    <w:p>
      <w:pPr>
        <w:spacing w:after="0" w:line="15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We evaluate our convertible notes, and other contracts, if any, to determine if those contracts or embedded components of those contracts qualify as derivatives requiring bifurcation. We account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income (expense), net in the condensed consolidated statements of operations and comprehensive loss. The fair value of the conversion features has been estimated using a probability-weighted discount model with and without the conversion feature until extinguished on April 26, 2022 in connection with the Business Combination.</w:t>
      </w:r>
    </w:p>
    <w:p>
      <w:pPr>
        <w:spacing w:after="0" w:line="9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held our convertible notes at amortized cost and amortized the associated debt discount created from bifurcated derivatives and issuance costs under the effective interest or straight-line method until maturity or early conversion pursuant to the contractual terms of the arrangement.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2" w:name="page73"/>
    <w:bookmarkEnd w:id="7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Warrants</w:t>
      </w:r>
    </w:p>
    <w:p>
      <w:pPr>
        <w:spacing w:after="0" w:line="146"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determine whether to classify contracts, such as warrants, that may be settled in its own stock as equity of the entity or as a liability. An equity-linked financial instrument must be considered indexed to our stock to qualify for equity classification. We classify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59"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determine whether to classify contracts, such as warrants, that may be settled in our stock as equity of the entity or as a liability. An equity-linked financial instrument must be considered indexed to our stock to qualify for equity classification. We classify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Determination of Fair Value of Common Stock</w:t>
      </w:r>
    </w:p>
    <w:p>
      <w:pPr>
        <w:spacing w:after="0" w:line="133"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As there had been no public market for our common stock prior to the Business Combination, the estimated fair value of our common stock had been determined by our Board, or compensation committee thereof, as of the date of each option grant, with input from management, considering our most recently available third-party valuations of common stock and our Board’s assessment of additional objective and subjective factors that it believed were relevant and which may have changed from the date of the most recent valuation through the date of the grant. Historically, these independent third-party valuations of our equity instruments were performed contemporaneously with identified value inflection points, including recent preferred stock financings. These third-party valuations were performed in accordance with the guidance outlined in the American Institute of Certified Public Accountants’ Accounting and Valuation Guide, Valuation of Privately-Held-Company Equity Securities Issued as Compensation, or the Practice Aid. The Practice Aid identifies various available methods for allocating the enterprise value across classes of capital stock in determining the fair value of our common stock at each valuation date.</w:t>
      </w:r>
    </w:p>
    <w:p>
      <w:pPr>
        <w:spacing w:after="0" w:line="103"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Based on our stage of development and other relevant factors, for the valuation as of July 31, 2020, we considered both the Probability Weighted Expected Return Method (“PWERM”) and the option pricing method, or OPM, as appropriate methods for estimating our enterprise value to determine the fair value of our common stock.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w:t>
      </w:r>
    </w:p>
    <w:p>
      <w:pPr>
        <w:spacing w:after="0" w:line="88"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For our July 31, 2020 valuation, it was determined that the Hybrid Method was the most appropriate method for determining the fair value of our common stock. The Hybrid Method is PWERM, where the equity value in one or more scenarios is calculated using an OPM. The PWERM scenarios included Sale scenarios and an IPO. The OPM scenario was based on the Company’s Series D-3 financing.</w:t>
      </w:r>
    </w:p>
    <w:p>
      <w:pPr>
        <w:spacing w:after="0" w:line="7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our March 31, 2021 analysis, it was determined that the Hybrid Method was still the most appropriate method for determining the value of our common stock. The PWERM scenarios included SPAC, Sale and IPO, and Stay Private scenarios.</w:t>
      </w:r>
    </w:p>
    <w:p>
      <w:pPr>
        <w:spacing w:after="0" w:line="8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Similarly, for our August 31, 2021 analysis, it was determined that the Hybrid Method was still the most appropriate method for determining the fair value of the common stock. As of this valuation date, the model weighted the SPAC scenario by the largest percentage, particularly in light of the Letter of Intent the Company received regarding the potential SPAC acquisition prior to the valuation date.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3" w:name="page74"/>
    <w:bookmarkEnd w:id="7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our November 17, 2021 analysis, the model continued to rely on the Hybrid Method in determining the fair value of our common stock. An even greater percentage weighting was placed on the SPAC scenario value as the Company continued to make progress towards completing a SPAC transaction in early 2022.</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addition to considering the results of these independent third-party valuations, our Board considered various objective and subjective factors to determine the fair value of our common stock as of each grant date, including:</w:t>
      </w:r>
    </w:p>
    <w:p>
      <w:pPr>
        <w:spacing w:after="0" w:line="97" w:lineRule="exact"/>
        <w:rPr>
          <w:sz w:val="20"/>
          <w:szCs w:val="20"/>
          <w:color w:val="auto"/>
        </w:rPr>
      </w:pPr>
    </w:p>
    <w:p>
      <w:pPr>
        <w:ind w:left="1440" w:right="619" w:hanging="418"/>
        <w:spacing w:after="0" w:line="293" w:lineRule="auto"/>
        <w:tabs>
          <w:tab w:leader="none" w:pos="14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prices at which we sold shares of our preferred stock and the superior rights, preferences and privileges of our preferred stock relative to our common stock at the time of each grant;</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features of the SNAP June 2020 Note, including valuation terms;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stage of development and outlook for the continued commercialization our business strategy;</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external market conditions and trends within the industry, including a review of the performance and metrics of guideline public companies;</w:t>
      </w:r>
    </w:p>
    <w:p>
      <w:pPr>
        <w:spacing w:after="0" w:line="68"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position, including cash on hand, and our historical and forecasted performance and operating results;</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an active public market for our common stock and our preferred stock; and</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likelihood of achieving a liquidity event, such as a SPAC transaction, or sale of our company in light of prevailing market conditions.</w:t>
      </w:r>
    </w:p>
    <w:p>
      <w:pPr>
        <w:spacing w:after="0" w:line="68"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assumptions underlying these valuations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0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As the result of the establishment of a public trading market for our Class A Common after the consummation of the Business Combination, it is no longer necessary for our Board to estimate the fair value of our Class A Common stock in connection with our accounting for granted stock options and other such awards we may grant, as the fair value of our Class A Common Stock will be determined based on the quoted market price of our Class A Common Stock.</w:t>
      </w:r>
    </w:p>
    <w:p>
      <w:pPr>
        <w:spacing w:after="0" w:line="107"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The above listing is not intended to be a comprehensive list of all of our accounting policies. In many cases, the accounting treatment of a particular transaction is specifically dictated by U.S. GAAP. There are also areas in which our management’s judgment in selecting any available alternative would not produce a materially different result. Please see our consolidated financial statements as of December 31, 2021 and the related notes included elsewhere in this prospectus, which contain accounting policies and other disclosures required by U.S. GAAP.</w:t>
      </w:r>
    </w:p>
    <w:p>
      <w:pPr>
        <w:spacing w:after="0" w:line="3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Recently Issued and Adopted Accounting Standards</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See Note 2 to our consolidated financial statements as of December 31, 2021 included elsewhere in this prospectus for more information, including a description of certain issued accounting standards that have not been adopted by us which may impact our results of operations in future reporting periods.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15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We are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we have the option to adopt the new or revised standard at the time nonpublic companies adopt the new or revised standard and can do so until such time that we either</w:t>
      </w:r>
    </w:p>
    <w:p>
      <w:pPr>
        <w:spacing w:after="0" w:line="3" w:lineRule="exact"/>
        <w:rPr>
          <w:sz w:val="20"/>
          <w:szCs w:val="20"/>
          <w:color w:val="auto"/>
        </w:rPr>
      </w:pPr>
    </w:p>
    <w:p>
      <w:pPr>
        <w:jc w:val="both"/>
        <w:ind w:left="600" w:right="619" w:firstLine="6"/>
        <w:spacing w:after="0" w:line="262" w:lineRule="auto"/>
        <w:tabs>
          <w:tab w:leader="none" w:pos="82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irrevocably elect to “opt out” of such extended transition period or (ii) no longer qualify as an emerging growth company. We have elected to use the extended transition period for complying with new or revised accounting standards unless we otherwise early adopt select standards.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4" w:name="page75"/>
    <w:bookmarkEnd w:id="7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BUSINESS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Our Mission</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SoundHound AI’s mission is to voice-enable the world with conversational intelligence through an independent AI platform enabling humans to interact with products and services like they interact with each other — by speaking naturally.</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57" w:lineRule="exact"/>
        <w:rPr>
          <w:sz w:val="20"/>
          <w:szCs w:val="20"/>
          <w:color w:val="auto"/>
        </w:rPr>
      </w:pPr>
    </w:p>
    <w:p>
      <w:pPr>
        <w:jc w:val="both"/>
        <w:ind w:left="600" w:right="619" w:firstLine="416"/>
        <w:spacing w:after="0" w:line="253" w:lineRule="auto"/>
        <w:rPr>
          <w:sz w:val="20"/>
          <w:szCs w:val="20"/>
          <w:color w:val="auto"/>
        </w:rPr>
      </w:pPr>
      <w:r>
        <w:rPr>
          <w:rFonts w:ascii="Times New Roman" w:cs="Times New Roman" w:eastAsia="Times New Roman" w:hAnsi="Times New Roman"/>
          <w:sz w:val="17"/>
          <w:szCs w:val="17"/>
          <w:color w:val="auto"/>
        </w:rPr>
        <w:t>SoundHound AI is a leading innovator of conversational intelligence, offering an independent Voice AI platform that enables businesses across industries to deliver high quality conversational experiences to their customers. Built on proprietary Speech-to-Meaning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and Deep Meaning Understanding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technologies developed over the past 16 years, our advanced Voice AI platform provides exceptional speed and accuracy.</w:t>
      </w:r>
    </w:p>
    <w:p>
      <w:pPr>
        <w:spacing w:after="0" w:line="11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envision a future where people interact with products on a daily basis through voice-enabled AI. Our technology provides a conversational voice-enabled user interface, allowing a more natural and more productive way of interacting with the products and services we use. SoundHound AI is also committed to enabling product creators to design, customize, differentiate, innovate, and monetize the voice interfaces to their own products and services, as opposed to outsourcing to a third-party assistant.</w:t>
      </w:r>
    </w:p>
    <w:p>
      <w:pPr>
        <w:spacing w:after="0" w:line="9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More often than not, we currently interact with voice-enabled third-party assistants using halted speech patterns, consciously dividing queries into limited, broken, and unnatural instructions. By contrast, using SoundHound AI,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“internet of things”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1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AI’s technology is currently being used globally by customers that include Hyundai, Mercedes-Benz, Pandora, Deutsche Telekom, Snap, VIZIO, KIA, and Stellantis. We have seen significant inflection in customer adoption of our technology, as measured through monthly queries on our Houndify platform, which doubled over the first six months of 2021, are now in excess of 100 million queries per month and surpassed 1 billion annual queries in 2021 (for the nine months ended September 30, 2022, queries were over 100% greater than during the same period in 2021). Our current customers, which in many cases have contractual obligations that average multiple years (often between three to five years), span multiple industries and geographies, and together have an estimated combined reach of over two billion end users. We consider our long-term customers our “partners” and, by growing these strategic relationships, SoundHound AI’s revenues have grown by more than 50% year over year each fiscal year over the past three years. The cumulative value of contracts with our existing partners has already exceeded $300M.</w:t>
      </w:r>
    </w:p>
    <w:p>
      <w:pPr>
        <w:spacing w:after="0" w:line="174" w:lineRule="exact"/>
        <w:rPr>
          <w:sz w:val="20"/>
          <w:szCs w:val="20"/>
          <w:color w:val="auto"/>
        </w:rPr>
      </w:pPr>
    </w:p>
    <w:p>
      <w:pPr>
        <w:jc w:val="both"/>
        <w:ind w:left="600" w:right="619" w:firstLine="416"/>
        <w:spacing w:after="0" w:line="253" w:lineRule="auto"/>
        <w:rPr>
          <w:sz w:val="20"/>
          <w:szCs w:val="20"/>
          <w:color w:val="auto"/>
        </w:rPr>
      </w:pPr>
      <w:r>
        <w:rPr>
          <w:rFonts w:ascii="Times New Roman" w:cs="Times New Roman" w:eastAsia="Times New Roman" w:hAnsi="Times New Roman"/>
          <w:sz w:val="17"/>
          <w:szCs w:val="17"/>
          <w:color w:val="auto"/>
        </w:rPr>
        <w:t>We support our customers by providing them access to Houndify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 an open-access platform that allows developers to leverage SoundHound AI’s Voice AI technology and a library of over 100 content domains, including commonly used domains for points of interest, weather, flight status, sports, and more. To ensure that our content domains continue to evolve and grow, our platform is built on our breakthrough Collective</w:t>
      </w:r>
    </w:p>
    <w:p>
      <w:pPr>
        <w:spacing w:after="0" w:line="36" w:lineRule="exact"/>
        <w:rPr>
          <w:sz w:val="20"/>
          <w:szCs w:val="20"/>
          <w:color w:val="auto"/>
        </w:rPr>
      </w:pPr>
    </w:p>
    <w:p>
      <w:pPr>
        <w:jc w:val="both"/>
        <w:ind w:left="600" w:right="619"/>
        <w:spacing w:after="0" w:line="253" w:lineRule="auto"/>
        <w:rPr>
          <w:sz w:val="20"/>
          <w:szCs w:val="20"/>
          <w:color w:val="auto"/>
        </w:rPr>
      </w:pPr>
      <w:r>
        <w:rPr>
          <w:rFonts w:ascii="Times New Roman" w:cs="Times New Roman" w:eastAsia="Times New Roman" w:hAnsi="Times New Roman"/>
          <w:sz w:val="17"/>
          <w:szCs w:val="17"/>
          <w:color w:val="auto"/>
        </w:rPr>
        <w:t>AI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 an architecture for connecting domain knowledge, which encourages collaboration and contribution among developers, is always learning, and is greater than the sum of its parts. This architecture allows us to improve the understanding capability of our platform super-linearly and even exponentially based on linear contributions because of how the domains interact with one another. They can be inter-connected and can learn from each other and, as developers contribute to the platform, its understanding capability can grow exponentially.</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technology is backed by SoundHound AI’s investments in intellectual property, with over 250 granted or pending patents, spanning multiple fields including speech recognition, natural language, machine learning, monetization, and more. We have achieved this critical momentum in part thanks to a leadership team with deep expertise and proven ability to attract and retain talent.</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5" w:name="page76"/>
    <w:bookmarkEnd w:id="7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Market Opportunity</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 significant addressable market</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To take advantage of opportunities created by the expansion of Voice AI, companies across industries are turning to independent providers with disruptive technology offerings to help them design and build custom voice assistants. The demand for Voice AI technology is growing exponentially as companies compete to lead the market with the best technology, excellent customer relationships, and greatest innovations.</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Industry sources predict that 90% of new vehicles globally will have voice assistants by 2028 and that there will be 75 billion connected devices worldwide by 2025. The number of devices with their own voice assistant is expected to overtake the world’s population within four years.</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Across industries, 94% of large companies expect to use Voice AI within two years, according to a Pindrop Security, Inc. study, indicating the imperative most companies feel to provide a voice user interface to their products and services.</w:t>
      </w:r>
    </w:p>
    <w:p>
      <w:pPr>
        <w:spacing w:after="0" w:line="8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Custom, branded voice assistants are allowing companies to improve their customer interactions at every touchpoint. In a recent study by Opus Research (sponsored by SoundHound AI), 77% of business leaders across eight industries stated that voice assistants drive value through improved customer support and 76% agreed that they help companies to control their brand identity and user experience.</w:t>
      </w:r>
    </w:p>
    <w:p>
      <w:pPr>
        <w:spacing w:after="0" w:line="105"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For those already employing a voice assistant, 81% are using the technology to improve customer service and 52% are using them for sales activity.</w:t>
      </w:r>
    </w:p>
    <w:p>
      <w:pPr>
        <w:spacing w:after="0" w:line="81"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For the estimated 75 billion IoT devices in existence by 2025, we believe many of them won’t have the physical or economical room to add a keyboard or touch screen, but they can easily have a small, inexpensive microphone. With a microphone, companies can add Voice AI to their products, unleashing the full capabilities of the internet to their end users. Voice AI can bring these products “to life”, and convert IoT to AI IoT.</w:t>
      </w:r>
    </w:p>
    <w:p>
      <w:pPr>
        <w:spacing w:after="0" w:line="92"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According to Juniper Research, the broader market for Voice AI transactions will exceed $160 billion by 2026, enabled by a growing need for Voice AI in many industries.</w:t>
      </w:r>
    </w:p>
    <w:p>
      <w:pPr>
        <w:spacing w:after="0" w:line="8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All these trends are adding up to exponential growth for Voice AI in a variety of markets, including IoT, automotive, retail, hospitality, enterprise, healthcare, contact center, and banking and finance.</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Strategy</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We believe that Voice AI is poised to be the next disruption in computing and the timing is right for our company and our vision.</w:t>
      </w:r>
    </w:p>
    <w:p>
      <w:pPr>
        <w:spacing w:after="0" w:line="68"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Human-computer interfaces became popularized through computers offering a keyboard and mouse. After that came mobile devices with touch screens. We now have IoT devices with Voice AI. After the internet became mainstream, every company needed to have a website. After the mobile ecosystem became mature, every company needed to have a mobile strategy. We note that some very successful companies were created purely on the mobile ecosystem.</w:t>
      </w:r>
    </w:p>
    <w:p>
      <w:pPr>
        <w:spacing w:after="0" w:line="107"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We believe the same concept will apply to the world of Voice AI where every company will need to have a strategy and there will exist success stories built on top of platforms like ours. These interfaces will co-exist: for example, mobile and touch screens did not completely replace computers with a keyboard and mouse, therefore Voice AI will also co-exist with computers and mobile. However, with billions of IoT devices that don’t have a keyboard or a mouse or a touch screen, voice will be the preferred or the only way to interact with these devices.</w:t>
      </w:r>
    </w:p>
    <w:p>
      <w:pPr>
        <w:spacing w:after="0" w:line="31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market position is strengthened by the significant technical barriers to entry that often face potential participants in the Voice AI space, reducing the likelihood that significant competitors will enter the market in the near term.</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6" w:name="page77"/>
    <w:bookmarkEnd w:id="7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Technical Development</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2005, when, as recent graduates from Stanford, our founders began envisioning a future where we would be talking to products just as we do other people. Inspired to make their vision a reality, the company was founded with a simple and powerful mission: Add Voice AI to everything. To this day, the company is still run by its original founding team.</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AI’s technology represents the evolution of several disruptive breakthroughs in voice-AI and sound recognition developed over the past 16 years. Using innovative audio and music identification technology, in 2009, our founders launched the SoundHound AI music identification app. Since its inception, the app has received over 315 million downloads and continues to be a top-ranked music app today.</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parallel, the founding team worked in stealth on a fundamentally new technology — one that had the potential to revolutionize human-to-computer voice interaction. Up until then, all voice interactions relied on speech-to-text and then text-to-meaning. Our engineers knew that for a true voice engine to flourish, it needed to understand speech directly, just like humans do.</w:t>
      </w:r>
    </w:p>
    <w:p>
      <w:pPr>
        <w:spacing w:after="0" w:line="9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2015, SoundHound AI introduced the Houndify Voice AI platform incorporating breakthrough Speech-to-Meaning and Deep Meaning Understanding technologies, which, to SoundHound AI’s knowledge represented voice interaction technologies not yet broadly available at the time as its foundation.</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SoundHound AI’s Vision</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 xml:space="preserve">A typical reaction to SoundHound AI’s technology is “Wow! Even humans cannot do this.” This is the crux of our vision: </w:t>
      </w:r>
      <w:r>
        <w:rPr>
          <w:rFonts w:ascii="Times New Roman" w:cs="Times New Roman" w:eastAsia="Times New Roman" w:hAnsi="Times New Roman"/>
          <w:sz w:val="17"/>
          <w:szCs w:val="17"/>
          <w:i w:val="1"/>
          <w:iCs w:val="1"/>
          <w:color w:val="auto"/>
        </w:rPr>
        <w:t>Create a Voice AI platform that exceeds human capabilities and brings value and delight via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 ecosystem of billions of products enhanced by innovation and monetization opportunities.</w:t>
      </w:r>
    </w:p>
    <w:p>
      <w:pPr>
        <w:spacing w:after="0" w:line="9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Computers are better than humans at computing, but they’re not always better than humans at performing certain tasks. For example, we used to easily beat computers in the game of chess, but now computers can even top grandmasters. When it comes to language understanding, the general perception is computers are not yet as good as humans. People talk using complex conversations with each other, but when they talk to voice assistants, they lower their expectations and use short, simple, keyword-based queries. We aim to change that by making computers better than humans in language understanding. As a result, SoundHound AI can make humans more productive and help make the world a better place.</w:t>
      </w:r>
    </w:p>
    <w:p>
      <w:pPr>
        <w:spacing w:after="0" w:line="9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To provide another example, if a user is looking for a restaurant, but anything other than Chinese (because they had Chinese food yesterday) they can ask the concierge of a hotel: “Show me restaurants, excluding Chinese”, and the concierge can point the customer in the right direction. But when talking to a typical voice assistant, users often don’t ask the question: “show me restaurants, excluding Chinese”, because they don’t expect that it will work. And in fact, most other voice assistants will offer Chinese restaurants when asked to show restaurants excluding Chinese. With SoundHound AI’s technology, users can ask even more complicated questions, such as: “show me Asian restaurants in San Francisco, excluding Chinese and Japanese, and only show the ones that have more than three stars and are open after 9:00 PM on Wednesdays.”</w:t>
      </w:r>
    </w:p>
    <w:p>
      <w:pPr>
        <w:spacing w:after="0" w:line="112"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In addition, users can follow up and ask it to refine the criteria such as “remove Korean and Vietnamese, sort by rating then by price, and only show the ones that are good for kids and have a patio.”</w:t>
      </w:r>
    </w:p>
    <w:p>
      <w:pPr>
        <w:spacing w:after="0" w:line="81"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vision further includes empowering billions of devices around the world using our technology, with innovation and monetization opportunities for the product creators that integrate the Houndify platform. It means product creators can not only use Voice AI to make their product better they can also generate incremental recurring revenues from customer interactions.</w:t>
      </w:r>
    </w:p>
    <w:p>
      <w:pPr>
        <w:spacing w:after="0" w:line="9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7" w:name="page78"/>
    <w:bookmarkEnd w:id="7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note that today’s voice assistants are far from being able to answer every question and perform every task, and our vision is long-term. However, we have already achieved superhuman capabilities in many of the domains that we have delivered to our customers.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Technology Breakthroughs</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SoundHound AI’s momentum in the Voice AI market can, in large part, be attributed to our large number of technology breakthroughs. These are anchored by three important innovations: Speech-to-Meaning, Deep Meaning Understanding and Collective AI.</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Speech-to-Meaning</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Speech-to-Meaning refers to SoundHound AI’s ability to convert speech to meaning simultaneously and in real time. Most traditional approaches first convert speech to text, and then convert text to meaning. This approach can be both slower and less accurate. It’s slower because the two steps are done in sequence, and the additional processing time of the second step can be noticeable by the end user. It can also be less accurate because if the first step of speech to text makes a mistake, the resulting incorrect text is then sent to the second step, and the error further propagates.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73025</wp:posOffset>
            </wp:positionV>
            <wp:extent cx="4480560" cy="36061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480560" cy="3606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Our development of Speech to Meaning technology was inspired by the human brain. As we listen to someone speaking, our brain does not convert speech to text, and then text to meaning. Instead, our brain converts speech to meaning simultaneously and in real time. With Speech-to-Meaning, as you speak to SoundHound AI’s technology, it performs both speech recognition and language understanding simultaneously, which results in faster response time and higher accuracy, because real-time language understanding can feed into the real-time speech recognizer as additional information to reduce errors.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8" w:name="page79"/>
    <w:bookmarkEnd w:id="7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Deep Meaning Understanding</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Deep Meaning Understanding is our innovative approach to language understanding that allows our Voice AI platform to understand highly complex conversation.</w:t>
      </w:r>
    </w:p>
    <w:p>
      <w:pPr>
        <w:spacing w:after="0" w:line="8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example it can understand: “Show me hotels in San Francisco that are less than $600, but not less than $300, are pet friendly, have a gym and a pool with at least three stars staying for two nights, and don’t include anything that doesn’t have Wi-Fi.”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73660</wp:posOffset>
            </wp:positionV>
            <wp:extent cx="4942840" cy="36226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42840" cy="3622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 complex search like this will take many minutes to perform on a website with complex forms, but it can be done within a few seconds using SoundHound AI technology, which we believe to be unique in its ability to handle complex queries of this nature at scale.</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Collective AI</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third breakthrough is called Collective AI: an architecture that gives potential to SoundHound AI to improve the understanding capability of its platform exponentially based on linear contributions</w:t>
      </w:r>
    </w:p>
    <w:p>
      <w:pPr>
        <w:spacing w:after="0" w:line="81"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Most other platforms add skills or domains that are separate and don’t interact with each other. For them, linear contribution results in linear growth in understanding, which is less scalable. With the Collective AI architecture, SoundHound AI domains can be interconnected and learn from each other. As developers contribute to the platform, the platform’s understanding capability can grow exponentially.</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9" w:name="page80"/>
    <w:bookmarkEnd w:id="7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SoundHound AI Products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Houndify platform</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SoundHound AI’s Voice AI platform combines advanced AI with engineering expertise to help brands build conversational voice assistants. From proprietary components to customizable and scalable solutions, we offer tools to build a highly accurate and responsive voice user interface.</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suite of Houndify tools includes Application Programming Interfaces (“API”) for text and voice queries, support for custom commands, extensive library of content domains, inclusive Software Development Kit platforms, collaboration capabilities, diagnostic tools, and built-in analytics.</w:t>
      </w:r>
    </w:p>
    <w:p>
      <w:pPr>
        <w:spacing w:after="0" w:line="9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Houndify provides a web API that takes in text queries or audio and returns actionable JavaScript Object Notation to anyone with an internet connection wanting to add Voice AI to any product or application.</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Automatic Speech Recognition (“ASR”)</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highly optimized, tunable, and scalable ASR engine supports vocabulary sizes containing millions of words. Houndify’s machine learning infrastructure allows us to tune the engine to achieve optimal Computer Processing Unit (“CPU”) performance while delivering high accuracy rates.</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Natural Language Understanding (“NLU”)</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proprietary Speech-to-Meaning technology tracks 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w:t>
      </w:r>
    </w:p>
    <w:p>
      <w:pPr>
        <w:spacing w:after="0" w:line="92" w:lineRule="exact"/>
        <w:rPr>
          <w:sz w:val="20"/>
          <w:szCs w:val="20"/>
          <w:color w:val="auto"/>
        </w:rPr>
      </w:pPr>
    </w:p>
    <w:p>
      <w:pPr>
        <w:jc w:val="both"/>
        <w:ind w:left="600" w:right="619" w:firstLine="416"/>
        <w:spacing w:after="0" w:line="271" w:lineRule="auto"/>
        <w:rPr>
          <w:sz w:val="20"/>
          <w:szCs w:val="20"/>
          <w:color w:val="auto"/>
        </w:rPr>
      </w:pPr>
      <w:r>
        <w:rPr>
          <w:rFonts w:ascii="Times New Roman" w:cs="Times New Roman" w:eastAsia="Times New Roman" w:hAnsi="Times New Roman"/>
          <w:sz w:val="17"/>
          <w:szCs w:val="17"/>
          <w:color w:val="auto"/>
        </w:rPr>
        <w:t>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w:t>
      </w:r>
    </w:p>
    <w:p>
      <w:pPr>
        <w:spacing w:after="0" w:line="31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Wake Words</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Wake words are the entry point into branded voice experiences, allowing users to invoke the assistant by literally speaking the company’s name. Examples range from “Hey Pandora” in a mobile app to “Hey Peugeot” within a vehicle.</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0" w:name="page81"/>
    <w:bookmarkEnd w:id="8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Custom Domains</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library of over 100 public domains is available with a free Houndify account. Houndify public domains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example, an automotive manufacturer can make helpful updates about the car’s user manual over time. In this way, SoundHound AI becomes a long-term “partner” to its customers, helping companies create the domains that they need in order to improve brand value for their own customers or end users.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Text-to-speech (“TTS”)</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 high quality TTS can help companies create a unique voice that differentiates them from the competition. Brands can fully express their personality by choosing the gender, tone, and personality that will become their vocal identity.</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Edge (Embedded)</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 fully-embedded voice solution for brands seeking the convenience of a voice user interface without the privacy or connectivity concerns of the internet. Includes full access to custom commands and the ability to instantly update commands during development. We have not generated revenue from Edge during the years presented in this prospectus.</w:t>
      </w:r>
    </w:p>
    <w:p>
      <w:pPr>
        <w:spacing w:after="0" w:line="9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 xml:space="preserve">To harness the capabilities of full cloud connectivity with the reliability of embedded voice technology. </w:t>
      </w:r>
      <w:r>
        <w:rPr>
          <w:rFonts w:ascii="Times New Roman" w:cs="Times New Roman" w:eastAsia="Times New Roman" w:hAnsi="Times New Roman"/>
          <w:sz w:val="17"/>
          <w:szCs w:val="17"/>
          <w:i w:val="1"/>
          <w:iCs w:val="1"/>
          <w:color w:val="auto"/>
        </w:rPr>
        <w:t xml:space="preserve">Houndify Edge Hybrid </w:t>
      </w:r>
      <w:r>
        <w:rPr>
          <w:rFonts w:ascii="Times New Roman" w:cs="Times New Roman" w:eastAsia="Times New Roman" w:hAnsi="Times New Roman"/>
          <w:sz w:val="17"/>
          <w:szCs w:val="17"/>
          <w:color w:val="auto"/>
        </w:rPr>
        <w:t>solutions are designed to ensure that devices are always-on and responsive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commands. Allows for over-the-air product updates and a broader voice experience with the level of cloud-connectivity that best matches the product and its users.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Competitive Strengths and Differentiators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Independent Disruptor</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We believe there is a growing void and demand for an independent Voice AI platform such as SoundHound AI. Looking across industries, there has been a notable rise of independent disruptors. These new companies were able to beat the legacy giants using focused technologies and business models. The majority of participants in the Voice AI industry can be characterized as either “big tech” companies (meaning large corporations offering Voice AI as an extension of other services) and “legacy vendors” (meaning long-time Voice-AI industry participants with older technologies).</w:t>
      </w:r>
    </w:p>
    <w:p>
      <w:pPr>
        <w:spacing w:after="0" w:line="11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Voice AI offerings from big tech companies are primarily an extension of their services. In many cases, rather than strengthening or interacting with the host product, big tech offerings tend to take over the entire product experience, thus “hijacking” the company’s brand, users, and data. As a result,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1" w:name="page82"/>
    <w:bookmarkEnd w:id="8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6" w:lineRule="auto"/>
        <w:rPr>
          <w:sz w:val="20"/>
          <w:szCs w:val="20"/>
          <w:color w:val="auto"/>
        </w:rPr>
      </w:pPr>
      <w:r>
        <w:rPr>
          <w:rFonts w:ascii="Times New Roman" w:cs="Times New Roman" w:eastAsia="Times New Roman" w:hAnsi="Times New Roman"/>
          <w:sz w:val="17"/>
          <w:szCs w:val="17"/>
          <w:color w:val="auto"/>
        </w:rPr>
        <w:t>The Voice AI market currently also includes “legacy vendors,” a number of whom offer dated technologies at a high price.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spacing w:after="0" w:line="316"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Due to the high barrier to entry in Voice AI, the number of full solution platform providers is very limited. In our view, it takes many years and significant investment to build all the components of Voice AI. It then takes further time and resources to make the solutions competitive, mature, and viable for adoption. Finally, it requires significant investment to globalize the solution in multiple languages and regions. Although the number of platforms is limited, we note that the big tech players have significant resources. Against this landscape, SoundHound AI has achieved its successes to date through technology innovation, business model innovation, and global alliances that we believe make us well-positioned to continue to grow and execute our business plan.</w:t>
      </w:r>
    </w:p>
    <w:p>
      <w:pPr>
        <w:spacing w:after="0" w:line="110"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69850</wp:posOffset>
            </wp:positionV>
            <wp:extent cx="4942840" cy="26650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42840" cy="266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2" w:name="page83"/>
    <w:bookmarkEnd w:id="8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Revenue Model</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Market Momentum</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entry into the Voice AI space began with 10 years of constant innovation in “stealth” building disruptive technologies in Voice AI using innovative approaches. Our goal was to build a differentiated Voice AI technology that we fully own and which is significantly better than other solutions in the market. We achieved that goal and unveiled the result in 2015, launching it as the Houndify platform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78105</wp:posOffset>
            </wp:positionV>
            <wp:extent cx="4942840" cy="24669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42840" cy="246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Building a Diverse, Global Customer Base</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SoundHound AI continues to expand the capabilities that make us well-positioned to serve the needs of customers globally. We have grown our solution from a single language capability to 22 languages, with a roadmap to expand to 38 languages and 114 acoustic variations.</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customers include a range of product and service providers of all sizes, spanning a range of industries, including automotive, IoT, apps, restaurants, and more. Many of our global customers have end users in multiple regions and industries and we have seen our products successfully used by them across multiple contexts and purposes.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3" w:name="page84"/>
    <w:bookmarkEnd w:id="8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Three pillars for growth</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We have identified three pillars for revenue growth: Royalties, Subscription, and Monetization, and all three pillars contribute to our current revenues today. While the majority of current revenues come from royalties, over time we expect our revenues from subscription and monetization pillars to increase and eventually represent a larger portion of our overall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78105</wp:posOffset>
            </wp:positionV>
            <wp:extent cx="4942840" cy="25082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42840" cy="250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440" w:right="619" w:hanging="418"/>
        <w:spacing w:after="0" w:line="275" w:lineRule="auto"/>
        <w:tabs>
          <w:tab w:leader="none" w:pos="142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Royalties</w:t>
      </w:r>
      <w:r>
        <w:rPr>
          <w:rFonts w:ascii="Times New Roman" w:cs="Times New Roman" w:eastAsia="Times New Roman" w:hAnsi="Times New Roman"/>
          <w:sz w:val="17"/>
          <w:szCs w:val="17"/>
          <w:color w:val="auto"/>
        </w:rPr>
        <w:t>: This involves voice-enabling a product. The product creator pays us a royalty based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volume, usage, or duration. SoundHound AI collects royalties when Houndify is integrated into a product such as a car, smart speaker, or appliance.</w:t>
      </w:r>
    </w:p>
    <w:p>
      <w:pPr>
        <w:spacing w:after="0" w:line="94" w:lineRule="exact"/>
        <w:rPr>
          <w:rFonts w:ascii="Times New Roman" w:cs="Times New Roman" w:eastAsia="Times New Roman" w:hAnsi="Times New Roman"/>
          <w:sz w:val="17"/>
          <w:szCs w:val="17"/>
          <w:color w:val="auto"/>
        </w:rPr>
      </w:pPr>
    </w:p>
    <w:p>
      <w:pPr>
        <w:jc w:val="both"/>
        <w:ind w:left="1440" w:right="619" w:hanging="418"/>
        <w:spacing w:after="0" w:line="268" w:lineRule="auto"/>
        <w:tabs>
          <w:tab w:leader="none" w:pos="142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Subscription</w:t>
      </w:r>
      <w:r>
        <w:rPr>
          <w:rFonts w:ascii="Times New Roman" w:cs="Times New Roman" w:eastAsia="Times New Roman" w:hAnsi="Times New Roman"/>
          <w:sz w:val="17"/>
          <w:szCs w:val="17"/>
          <w:color w:val="auto"/>
        </w:rPr>
        <w:t>: This involves voice-enabling a service that doesn’t rely on a physical product.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Examples include when SoundHound AI enables customer service or food ordering for restaurants or content management, appointments, or voice commerce, we generate subscription revenue from the service providers.</w:t>
      </w:r>
    </w:p>
    <w:p>
      <w:pPr>
        <w:spacing w:after="0" w:line="88" w:lineRule="exact"/>
        <w:rPr>
          <w:rFonts w:ascii="Times New Roman" w:cs="Times New Roman" w:eastAsia="Times New Roman" w:hAnsi="Times New Roman"/>
          <w:sz w:val="17"/>
          <w:szCs w:val="17"/>
          <w:color w:val="auto"/>
        </w:rPr>
      </w:pPr>
    </w:p>
    <w:p>
      <w:pPr>
        <w:jc w:val="both"/>
        <w:ind w:left="1440" w:right="619" w:hanging="418"/>
        <w:spacing w:after="0" w:line="260" w:lineRule="auto"/>
        <w:tabs>
          <w:tab w:leader="none" w:pos="142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Monetization</w:t>
      </w:r>
      <w:r>
        <w:rPr>
          <w:rFonts w:ascii="Times New Roman" w:cs="Times New Roman" w:eastAsia="Times New Roman" w:hAnsi="Times New Roman"/>
          <w:sz w:val="17"/>
          <w:szCs w:val="17"/>
          <w:color w:val="auto"/>
        </w:rPr>
        <w:t>: This pillar creates an ecosystem that enables monetization services in products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services from both pillar one and pillar two. When users of a voice-enabled product access the voice-enabled monetization, this creates new leads and transactions. SoundHound AI generates monetization revenue for generating these leads and transactions, and will share revenue with the product creators. During the years presented in this prospectus we have not generated revenue from leads and transactions on voice-enabled products from voice-enabled services other than from the SoundHound AI music identification app. Going forward, SoundHound AI expects monetization revenue to be generated through a combination of advertising revenue from the music identification app and from leads and transactions on voice-enabled products from voice-enabled services.</w:t>
      </w:r>
    </w:p>
    <w:p>
      <w:pPr>
        <w:spacing w:after="0" w:line="110"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For example, imagine a driver asks their Houndify-enabled car what restaurants are on the way home. The car can then respond with options, including restaurants that are also on the Houndify platform. These restaurants can accept orders directly from the car and the user can order using their voice. In that case, we will have unlocked a seamless transaction. Accordingly, the restaurant will pay us for that order and we will share that revenue with the car manufacturer. In this example, each party receives value in the ecosystem. The restaurant gets value because they generated a new lead and booked a sale. The driver gets value because they have placed an order just by speaking to their car. And finally, the car manufacturer delivered value to the end user and generated additional revenue from the usage of their product.</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4" w:name="page85"/>
    <w:bookmarkEnd w:id="8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6" w:lineRule="auto"/>
        <w:rPr>
          <w:sz w:val="20"/>
          <w:szCs w:val="20"/>
          <w:color w:val="auto"/>
        </w:rPr>
      </w:pPr>
      <w:r>
        <w:rPr>
          <w:rFonts w:ascii="Times New Roman" w:cs="Times New Roman" w:eastAsia="Times New Roman" w:hAnsi="Times New Roman"/>
          <w:sz w:val="17"/>
          <w:szCs w:val="17"/>
          <w:color w:val="auto"/>
        </w:rPr>
        <w:t>We expect the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212090</wp:posOffset>
            </wp:positionV>
            <wp:extent cx="4942840" cy="34163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42840" cy="3416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This ecosystem has a compound impact on our business. First, it increases adoption because more products will be motivated to integrate into our platform. Without the three-pillar model, only products that can afford the cost of Voice AI would be able to adopt it. With this model, products will be able to see a path to add incremental recurring revenue from the usage of their product, increasing overall return on investment while making their product better, which will increase overall adoption. Second, our total available market increases with new revenue streams and puts SoundHound AI on a trajectory with much higher potential.</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5" w:name="page86"/>
    <w:bookmarkEnd w:id="8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SoundHound AI’s undeniable criteria for adoption</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When it comes to criteria for adoption, our goal is to win on every dimension. We envision that if we win on all criteria for adoption, the only reason not to choose SoundHound AI is human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63500</wp:posOffset>
            </wp:positionV>
            <wp:extent cx="4942840" cy="22110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42840" cy="2211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600" w:right="619" w:firstLine="416"/>
        <w:spacing w:after="0" w:line="265" w:lineRule="auto"/>
        <w:rPr>
          <w:sz w:val="20"/>
          <w:szCs w:val="20"/>
          <w:color w:val="auto"/>
        </w:rPr>
      </w:pPr>
      <w:r>
        <w:rPr>
          <w:rFonts w:ascii="Times New Roman" w:cs="Times New Roman" w:eastAsia="Times New Roman" w:hAnsi="Times New Roman"/>
          <w:sz w:val="17"/>
          <w:szCs w:val="17"/>
          <w:color w:val="auto"/>
        </w:rPr>
        <w:t xml:space="preserve">The first two criteria customers typically consider are </w:t>
      </w:r>
      <w:r>
        <w:rPr>
          <w:rFonts w:ascii="Times New Roman" w:cs="Times New Roman" w:eastAsia="Times New Roman" w:hAnsi="Times New Roman"/>
          <w:sz w:val="17"/>
          <w:szCs w:val="17"/>
          <w:b w:val="1"/>
          <w:bCs w:val="1"/>
          <w:color w:val="auto"/>
        </w:rPr>
        <w:t>technology</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brand control</w:t>
      </w:r>
      <w:r>
        <w:rPr>
          <w:rFonts w:ascii="Times New Roman" w:cs="Times New Roman" w:eastAsia="Times New Roman" w:hAnsi="Times New Roman"/>
          <w:sz w:val="17"/>
          <w:szCs w:val="17"/>
          <w:color w:val="auto"/>
        </w:rPr>
        <w:t>.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90"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color w:val="auto"/>
        </w:rPr>
        <w:t xml:space="preserve">With our disruptive monetization strategy, we also provide a path to </w:t>
      </w:r>
      <w:r>
        <w:rPr>
          <w:rFonts w:ascii="Times New Roman" w:cs="Times New Roman" w:eastAsia="Times New Roman" w:hAnsi="Times New Roman"/>
          <w:sz w:val="17"/>
          <w:szCs w:val="17"/>
          <w:b w:val="1"/>
          <w:bCs w:val="1"/>
          <w:color w:val="auto"/>
        </w:rPr>
        <w:t>monetization</w:t>
      </w:r>
      <w:r>
        <w:rPr>
          <w:rFonts w:ascii="Times New Roman" w:cs="Times New Roman" w:eastAsia="Times New Roman" w:hAnsi="Times New Roman"/>
          <w:sz w:val="17"/>
          <w:szCs w:val="17"/>
          <w:color w:val="auto"/>
        </w:rPr>
        <w:t>. By choosing our platform, product creators can generate additional revenue while making their product better using Voice AI, providing further incentive to choose our platform.</w:t>
      </w:r>
    </w:p>
    <w:p>
      <w:pPr>
        <w:spacing w:after="0" w:line="9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 xml:space="preserve">We offer a superior </w:t>
      </w:r>
      <w:r>
        <w:rPr>
          <w:rFonts w:ascii="Times New Roman" w:cs="Times New Roman" w:eastAsia="Times New Roman" w:hAnsi="Times New Roman"/>
          <w:sz w:val="17"/>
          <w:szCs w:val="17"/>
          <w:b w:val="1"/>
          <w:bCs w:val="1"/>
          <w:color w:val="auto"/>
        </w:rPr>
        <w:t>ecosystem</w:t>
      </w:r>
      <w:r>
        <w:rPr>
          <w:rFonts w:ascii="Times New Roman" w:cs="Times New Roman" w:eastAsia="Times New Roman" w:hAnsi="Times New Roman"/>
          <w:sz w:val="17"/>
          <w:szCs w:val="17"/>
          <w:color w:val="auto"/>
        </w:rPr>
        <w:t xml:space="preserve"> with Collective AI along with definable </w:t>
      </w:r>
      <w:r>
        <w:rPr>
          <w:rFonts w:ascii="Times New Roman" w:cs="Times New Roman" w:eastAsia="Times New Roman" w:hAnsi="Times New Roman"/>
          <w:sz w:val="17"/>
          <w:szCs w:val="17"/>
          <w:b w:val="1"/>
          <w:bCs w:val="1"/>
          <w:color w:val="auto"/>
        </w:rPr>
        <w:t>privacy</w:t>
      </w:r>
      <w:r>
        <w:rPr>
          <w:rFonts w:ascii="Times New Roman" w:cs="Times New Roman" w:eastAsia="Times New Roman" w:hAnsi="Times New Roman"/>
          <w:sz w:val="17"/>
          <w:szCs w:val="17"/>
          <w:color w:val="auto"/>
        </w:rPr>
        <w:t xml:space="preserve"> controls, which are becoming increasingly important in the industry of Voice AI. Additionally, there is </w:t>
      </w:r>
      <w:r>
        <w:rPr>
          <w:rFonts w:ascii="Times New Roman" w:cs="Times New Roman" w:eastAsia="Times New Roman" w:hAnsi="Times New Roman"/>
          <w:sz w:val="17"/>
          <w:szCs w:val="17"/>
          <w:b w:val="1"/>
          <w:bCs w:val="1"/>
          <w:color w:val="auto"/>
        </w:rPr>
        <w:t>no conflict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interest </w:t>
      </w:r>
      <w:r>
        <w:rPr>
          <w:rFonts w:ascii="Times New Roman" w:cs="Times New Roman" w:eastAsia="Times New Roman" w:hAnsi="Times New Roman"/>
          <w:sz w:val="17"/>
          <w:szCs w:val="17"/>
          <w:color w:val="auto"/>
        </w:rPr>
        <w:t>between us and our partners and customers as we do not compete with them (as some other Voice AI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vendors do). We also offer </w:t>
      </w:r>
      <w:r>
        <w:rPr>
          <w:rFonts w:ascii="Times New Roman" w:cs="Times New Roman" w:eastAsia="Times New Roman" w:hAnsi="Times New Roman"/>
          <w:sz w:val="17"/>
          <w:szCs w:val="17"/>
          <w:b w:val="1"/>
          <w:bCs w:val="1"/>
          <w:color w:val="auto"/>
        </w:rPr>
        <w:t>edge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hybrid</w:t>
      </w:r>
      <w:r>
        <w:rPr>
          <w:rFonts w:ascii="Times New Roman" w:cs="Times New Roman" w:eastAsia="Times New Roman" w:hAnsi="Times New Roman"/>
          <w:sz w:val="17"/>
          <w:szCs w:val="17"/>
          <w:color w:val="auto"/>
        </w:rPr>
        <w:t xml:space="preserve"> solutions. This means our technology can optionally run without a cloud connection for increased flexibility and privacy. Our focus is on delivering the most advanced Voice AI in the world and thus allowing our partners to </w:t>
      </w:r>
      <w:r>
        <w:rPr>
          <w:rFonts w:ascii="Times New Roman" w:cs="Times New Roman" w:eastAsia="Times New Roman" w:hAnsi="Times New Roman"/>
          <w:sz w:val="17"/>
          <w:szCs w:val="17"/>
          <w:b w:val="1"/>
          <w:bCs w:val="1"/>
          <w:color w:val="auto"/>
        </w:rPr>
        <w:t>differentiate and innovate</w:t>
      </w:r>
      <w:r>
        <w:rPr>
          <w:rFonts w:ascii="Times New Roman" w:cs="Times New Roman" w:eastAsia="Times New Roman" w:hAnsi="Times New Roman"/>
          <w:sz w:val="17"/>
          <w:szCs w:val="17"/>
          <w:color w:val="auto"/>
        </w:rPr>
        <w:t xml:space="preserve"> their overall experiences for their brands.</w:t>
      </w:r>
    </w:p>
    <w:p>
      <w:pPr>
        <w:spacing w:after="0" w:line="3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Research and development have been the foundation of our company since its origin. We have invested significantly over the years in making conversational Voice AI technology by leveraging advanced technologies across signal processing, speech recognition, machine learning and more. The complexities of our design and the associated technological breakthroughs has required more than ten years of research and development activities to fine tune our technology for commercial use. We continue to explore different innovation strategies to strengthen our capabilities.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6" w:name="page87"/>
    <w:bookmarkEnd w:id="8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particular, we are continually working to improve the speed and accuracy of our Voice AI solutions and make customer adoption easier and faster. We have protected our innovations throughout with patents and trade secrets, and we have continued to strengthen our competitive positioning by staying on top of the latest advancements in the Voice AI industry. We expect to continue to keep research and development and, more broadly, innovation and product quality at the forefront of our strategy and core focus.</w:t>
      </w:r>
    </w:p>
    <w:p>
      <w:pPr>
        <w:spacing w:after="0" w:line="1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To further our transformative strategy as a leading innovator, we expect research and development to remain a significant part of our growth and investment. Our research and development activities are centered in our Santa Clara headquarters, but we also carry out research and development in other locations, including internationally. Our employees’ expertise ranges from cloud-based software development to embedded hardware integration.</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We take an insight-driven, account-based marketing approach to build and expand our relationships with commercial partners. We collect feedback directly from commercial partners to garner insights that help drive the business and product. We also work with analysts and higher education institutions to conduct studies, test and validate technology performance, providing key proof points for commercial partners considering our products. In parallel, marketing and communications drive our brand equity and narrative through ongoing announcements, campaigns, events, speaking opportunities, and public relations efforts.</w:t>
      </w:r>
    </w:p>
    <w:p>
      <w:pPr>
        <w:spacing w:after="0" w:line="97"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Our demand generation efforts span the full customer funnel to target prospects across a variety of channels including: advertising, email, social media, and search engines. We employ Account-Based Marketing (“ABM”) leveraging leading-edge platforms supported by fully-current Marketing Automation tools to capture and nurture business leads through to Marketing Qualified Leads (“MQL”), Sales Accepted Leads (“SAL”), and Sales Qualified Leads (“SQL”) ultimately to drive towards return-on-investment-positive marketing expenditures.</w:t>
      </w:r>
    </w:p>
    <w:p>
      <w:pPr>
        <w:spacing w:after="0" w:line="319"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Sales and marketing will play a critical role in the next phase of our evolution as a company, with key ongoing investments in our team and leadership. While our products are already scaling with existing customers, we see significant opportunities to grow into new markets and verticals. Increased sales and marketing efforts will enable us to capitalize on the tremendous momentum we are building and we expect to continue expanding resources to grow our personnel and leadership team focused on sales and marketing.</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Key Strategic Global Partners</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SoundHound AI sees strategic partnerships as the foundation for our ongoing growth and success. Our deep collaboration with leading companies across industries has allowed our technology to reach millions of customers. Largely through our existing customer base, query volume exceeded 1 billion at the end of 2021, with over 100 million queries per month. Additionally, traffic has experienced over 100% growth through the first half of 2022 compared to the same period in 2021. Information provided to us by our strategic partners suggest that our customers’ products are currently used by have a reach over a billion users.</w:t>
      </w:r>
    </w:p>
    <w:p>
      <w:pPr>
        <w:spacing w:after="0" w:line="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Some of the strategic partners that are featured here utilizes SoundHound AI’s product integrations:</w:t>
      </w:r>
    </w:p>
    <w:p>
      <w:pPr>
        <w:spacing w:after="0" w:line="155" w:lineRule="exact"/>
        <w:rPr>
          <w:sz w:val="20"/>
          <w:szCs w:val="20"/>
          <w:color w:val="auto"/>
        </w:rPr>
      </w:pPr>
    </w:p>
    <w:p>
      <w:pPr>
        <w:ind w:left="1440" w:hanging="418"/>
        <w:spacing w:after="0"/>
        <w:tabs>
          <w:tab w:leader="none" w:pos="14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Mercedes: MBUX (multiple models in North America)</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Hyundai/KIA: Dynamic Voice Recognition (multiple models in North America and India)</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Honda: Select models in Japan and Europe</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Snapchat: Voice Scan and Captioning features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Pandora: In-app Voice Mode</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VIZIO: Smart TV Voice Remote for multiple product lines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White Castle: Voice AI Drive Through</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Stellantis N.V.: multiple models in Europe</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Mastercard: voice AI-enabled customer service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7" w:name="page88"/>
    <w:bookmarkEnd w:id="8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SoundHound AI’s intellectual property portfolio includes over 250 granted or pending patents. These patents cover areas such as speech recognition, natural language understanding, machine learning, human interfaces, and others, including monetization and advertising.</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Out of our over 250 granted and pending patents, more than 40 of these patents are in conversational monetization. Because we predict that search traffic will change from keyword-based queries to conversational interactions, we have a large number of patents in the area of conversational advertising.</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As of December 31, 2022, SoundHound AI had a team of 436 members, 431 of which were full-time employees and 5 of which were part-time, with a presence spanning 16 countries. On January 5, 2023, we announced our Restructuring Plan, which includes a reduction in force of approximately 40% and select office space reductions, see “</w:t>
      </w:r>
      <w:r>
        <w:rPr>
          <w:rFonts w:ascii="Times New Roman" w:cs="Times New Roman" w:eastAsia="Times New Roman" w:hAnsi="Times New Roman"/>
          <w:sz w:val="17"/>
          <w:szCs w:val="17"/>
          <w:i w:val="1"/>
          <w:iCs w:val="1"/>
          <w:color w:val="auto"/>
        </w:rPr>
        <w:t>Prospectus Summary — Recent Developments</w:t>
      </w:r>
      <w:r>
        <w:rPr>
          <w:rFonts w:ascii="Times New Roman" w:cs="Times New Roman" w:eastAsia="Times New Roman" w:hAnsi="Times New Roman"/>
          <w:sz w:val="17"/>
          <w:szCs w:val="17"/>
          <w:color w:val="auto"/>
        </w:rPr>
        <w:t>” herein for further details regarding the Restructuring Plan.</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Facilities</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corporate headquarters is located in Santa Clara, California, within a consolidated building covering 61,360 square feet. Our lease began in 2017 and is set to expire in 2024. In addition to our headquarters, we lease offices in Boulder, CO; Toronto, Paris, Tokyo, and Beijing and leverage shared workspace offices in Berlin and Seoul.</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Government Regulations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are subject to various laws, regulations, and permitting requirements of federal, state, and local authorities, related to health and safety, consumer privacy, anti-corruption and export controls. The foregoing may include the U.S. Foreign Corrupt Practices Act of 1977, the U.S. Export Administration Regulations, Money Laundering Control Act of 1986 and any other equivalent or comparable laws of other countries. We believe that we are in material compliance with all such laws, regulations, and permitting requirements.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From time to time, we may become involved in actions, claims, suits and other legal proceedings arising in the ordinary course of our business, including assertions by third parties relating to personal injuries sustained using our products and services, intellectual property infringement, breaches of contract or warranties or employment-related matters. We are not currently a party to any actions, claims, suits or other legal proceedings the outcome of which, if determined adversely to us, would individually or in the aggregate have a material adverse effect on our business, financial condition and results of operations.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8" w:name="page89"/>
    <w:bookmarkEnd w:id="8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Executive Officers and Directors</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provides information regarding our executive officers and directors as of the date of this prospectus:</w:t>
      </w:r>
    </w:p>
    <w:p>
      <w:pPr>
        <w:spacing w:after="0" w:line="162"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3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7"/>
                <w:szCs w:val="17"/>
                <w:color w:val="auto"/>
              </w:rPr>
            </w:pPr>
          </w:p>
        </w:tc>
        <w:tc>
          <w:tcPr>
            <w:tcW w:w="4260" w:type="dxa"/>
            <w:vAlign w:val="bottom"/>
          </w:tcPr>
          <w:p>
            <w:pPr>
              <w:ind w:left="186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5"/>
        </w:trPr>
        <w:tc>
          <w:tcPr>
            <w:tcW w:w="22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2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Keyvan Mohajer</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 Chief Executive Officer</w:t>
            </w:r>
          </w:p>
        </w:tc>
      </w:tr>
      <w:tr>
        <w:trPr>
          <w:trHeight w:val="234"/>
        </w:trPr>
        <w:tc>
          <w:tcPr>
            <w:tcW w:w="2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James Hom</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39</w:t>
            </w:r>
          </w:p>
        </w:tc>
        <w:tc>
          <w:tcPr>
            <w:tcW w:w="43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Director, Vice President of Products</w:t>
            </w:r>
          </w:p>
        </w:tc>
      </w:tr>
      <w:tr>
        <w:trPr>
          <w:trHeight w:val="39"/>
        </w:trPr>
        <w:tc>
          <w:tcPr>
            <w:tcW w:w="22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Larry Marcus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43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Director</w:t>
            </w:r>
          </w:p>
        </w:tc>
      </w:tr>
      <w:tr>
        <w:trPr>
          <w:trHeight w:val="234"/>
        </w:trPr>
        <w:tc>
          <w:tcPr>
            <w:tcW w:w="2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Diana Sroka</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43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Director</w:t>
            </w:r>
          </w:p>
        </w:tc>
      </w:tr>
      <w:tr>
        <w:trPr>
          <w:trHeight w:val="39"/>
        </w:trPr>
        <w:tc>
          <w:tcPr>
            <w:tcW w:w="22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Dr. Eric Ball</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43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Director</w:t>
            </w:r>
          </w:p>
        </w:tc>
      </w:tr>
      <w:tr>
        <w:trPr>
          <w:trHeight w:val="234"/>
        </w:trPr>
        <w:tc>
          <w:tcPr>
            <w:tcW w:w="2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Dr. Majid Emami</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43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Vice President of Engineering</w:t>
            </w:r>
          </w:p>
        </w:tc>
      </w:tr>
      <w:tr>
        <w:trPr>
          <w:trHeight w:val="39"/>
        </w:trPr>
        <w:tc>
          <w:tcPr>
            <w:tcW w:w="22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Timothy Stonehocker</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43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Chief Technology Officer</w:t>
            </w:r>
          </w:p>
        </w:tc>
      </w:tr>
      <w:tr>
        <w:trPr>
          <w:trHeight w:val="234"/>
        </w:trPr>
        <w:tc>
          <w:tcPr>
            <w:tcW w:w="2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Nitesh Sharan</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43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39"/>
        </w:trPr>
        <w:tc>
          <w:tcPr>
            <w:tcW w:w="22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34"/>
        </w:trPr>
        <w:tc>
          <w:tcPr>
            <w:tcW w:w="20" w:type="dxa"/>
            <w:vAlign w:val="bottom"/>
          </w:tcPr>
          <w:p>
            <w:pPr>
              <w:spacing w:after="0"/>
              <w:rPr>
                <w:sz w:val="20"/>
                <w:szCs w:val="20"/>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Zagorsek</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4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Chief Operating Officer</w:t>
            </w:r>
          </w:p>
        </w:tc>
      </w:tr>
      <w:tr>
        <w:trPr>
          <w:trHeight w:val="39"/>
        </w:trPr>
        <w:tc>
          <w:tcPr>
            <w:tcW w:w="20" w:type="dxa"/>
            <w:vAlign w:val="bottom"/>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60" w:type="dxa"/>
            <w:vAlign w:val="bottom"/>
            <w:shd w:val="clear" w:color="auto" w:fill="CCEEFF"/>
          </w:tcPr>
          <w:p>
            <w:pPr>
              <w:spacing w:after="0"/>
              <w:rPr>
                <w:sz w:val="3"/>
                <w:szCs w:val="3"/>
                <w:color w:val="auto"/>
              </w:rPr>
            </w:pPr>
          </w:p>
        </w:tc>
      </w:tr>
    </w:tbl>
    <w:p>
      <w:pPr>
        <w:spacing w:after="0" w:line="14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Keyvan Mohajer. </w:t>
      </w:r>
      <w:r>
        <w:rPr>
          <w:rFonts w:ascii="Times New Roman" w:cs="Times New Roman" w:eastAsia="Times New Roman" w:hAnsi="Times New Roman"/>
          <w:sz w:val="17"/>
          <w:szCs w:val="17"/>
          <w:color w:val="auto"/>
        </w:rPr>
        <w:t>Dr. Keyvan Mohajer has been our Chief Executive Officer and a member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Board since the consummation of the Business Combination in April 2022. Prior to that, Dr. Mohajer served as Legacy SoundHound’s Chief Executive Officer and a member of the Legacy SoundHound’s board of directors (the “Legacy SoundHound Board”) since 2005, when he co-founded Legacy SoundHound. Dr. Mohajer is a technical founder and visionary entrepreneur with over 20 years of experience scaling multiple companies. Dr. Mohajer is a key contributor to the Company’s core technologies, with over 90 patents granted or pending. He also plays a major role in our business development and has successfully raised over $280 million of funding on the Company’s behalf from global industry leaders. In 2017, Dr. Mohajer was named a “Top 40 Under 40” business leader by Silicon Valley Business Journal. Dr. Mohajer received his Bachelor of Science degree in Electrical Engineering from the University of Toronto in 2000, his Master of Science from Stanford University in 2002 and his Ph.D. in Electrical Engineering from Stanford University in 2007. We believe that Dr. Mohajer is well qualified to serve as a member of the Board because, as a co-founder of Legacy SoundHound and its chief executive officer, he has extensive knowledge of the Company’s business.</w:t>
      </w:r>
    </w:p>
    <w:p>
      <w:pPr>
        <w:spacing w:after="0" w:line="11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James Hom. </w:t>
      </w:r>
      <w:r>
        <w:rPr>
          <w:rFonts w:ascii="Times New Roman" w:cs="Times New Roman" w:eastAsia="Times New Roman" w:hAnsi="Times New Roman"/>
          <w:sz w:val="17"/>
          <w:szCs w:val="17"/>
          <w:color w:val="auto"/>
        </w:rPr>
        <w:t>James Hom has been a member of the Board and Vice President of Products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Mr. Hom, one of Legacy SoundHound’s co-founders, has served as Vice President of Products and a member of the Legacy SoundHound Board since 2006. As Vice President of Products, Mr. Hom leads product development and advancement for the Houndify Voice AI platform and multiple business-to-consumer products. Mr. Hom earned his Bachelor of Science Degree in Computer Science from Stanford University in 2005. We believe that Mr. Hom is well qualified to serve as a member of the Board because, as a co-founder and officer of Legacy SoundHound, he has extensive knowledge of the Company’s business.</w:t>
      </w:r>
    </w:p>
    <w:p>
      <w:pPr>
        <w:spacing w:after="0" w:line="93"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Larry Marcus. </w:t>
      </w:r>
      <w:r>
        <w:rPr>
          <w:rFonts w:ascii="Times New Roman" w:cs="Times New Roman" w:eastAsia="Times New Roman" w:hAnsi="Times New Roman"/>
          <w:sz w:val="17"/>
          <w:szCs w:val="17"/>
          <w:color w:val="auto"/>
        </w:rPr>
        <w:t>Larry Marcus has been a member of the Board since the consummation of the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Combination in April 2022. Prior to that, Mr. Marcus served as a member of the Legacy SoundHound Board since 2009. He is a Co-founder and Managing Director of Marcy Venture Partners, a San Francisco-based venture capital firm investing in consumer, culture and positive impact businesses since February 2018. Since June 2000, Mr. Marcus has also been a Managing Director at Walden Venture Capital. Previously, Mr. Marcus was a digital media sell-side equity research analyst at Deutsche Bank Alex Brown from 1995 to 2000. Mr. Marcus currently serves, and in the past has served, on the boards of directors of a number private companies, some of which have gone on to become public companies. Mr. Marcus received his Bachelor of Arts in Political Economy of Industrial Societies in 1987 and his Master of Business Administration in 1993, both from the University of California, Berkeley. We believe that Mr. Marcus is well qualified to serve as a member of the Board because, as a member of the Legacy SoundHound Board, he has extensive knowledge of the Company’s business, and also because of this significant venture capital and finance experience.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9" w:name="page90"/>
    <w:bookmarkEnd w:id="8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8"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Diana Sroka. </w:t>
      </w:r>
      <w:r>
        <w:rPr>
          <w:rFonts w:ascii="Times New Roman" w:cs="Times New Roman" w:eastAsia="Times New Roman" w:hAnsi="Times New Roman"/>
          <w:sz w:val="17"/>
          <w:szCs w:val="17"/>
          <w:color w:val="auto"/>
        </w:rPr>
        <w:t>Diana Sroka has been a member of the Board since the consummation of the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Combination in April 2022. In 2001, Ms. Sroka joined HP Inc. (“HP”) (f/k/a Hewlett-Packard Company) (NYSE:HPQ), a global technology company based in Palo Alto, California, and has held various leadership roles in finance and business functions within HP. Since November 2020, Ms. Sroka has served as the Global Head of Consumer Printer Services. Prior to that, from March 2017 to November 2020, Ms. Sroka served as HP’s Chief Executive Officer’s Chief of Staff, where she was responsible for regular review and approval of internal Sarbanes-Oxley Act controls related to matters managed by the Executive Leadership Team. Prior to serving as Chief of Staff, Ms. Sroka served as an Investor Relations Officer on HP’s Investor Relations team commencing in June 2014. From November 2015 through March 2017, she served as HP’s Head of Investor Relations. Prior to her employment at HP, Ms. Sroka was a Business Planning Analyst for Visteon Corporation and a Product Engineer with Ford Motor Company. Ms. Sroka earned her Bachelor of Science Degree in Mechanical Engineering from Pennsylvania State University in 1995 and her Master of Business Administration Degree from the University of Michigan in 2000. We believe that Ms. Sroka is well qualified to serve as a member of the Board because she has extensive background in accounting, financial management and internal accounting controls.</w:t>
      </w:r>
    </w:p>
    <w:p>
      <w:pPr>
        <w:spacing w:after="0" w:line="10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Eric R. Ball. </w:t>
      </w:r>
      <w:r>
        <w:rPr>
          <w:rFonts w:ascii="Times New Roman" w:cs="Times New Roman" w:eastAsia="Times New Roman" w:hAnsi="Times New Roman"/>
          <w:sz w:val="17"/>
          <w:szCs w:val="17"/>
          <w:color w:val="auto"/>
        </w:rPr>
        <w:t>Dr. Eric R. Ball has been a member of our Board since our IPO in 2021. Since 2016,</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Dr. Ball has been the General Partner of Impact 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has also served as an advisor to Kyriba, a private treasury management software provider, since 2017. Dr. Ball has also served as a board member and Audit Chairman of Glu Mobile Inc, a developer and publisher of mobile games from 2013 until April 2021.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 We believe that Dr. Ball is well-qualified to serve as a director of the company given his extensive finance, mergers and acquisition, investing and public company experience in the technology industry.</w:t>
      </w:r>
    </w:p>
    <w:p>
      <w:pPr>
        <w:spacing w:after="0" w:line="10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Majid Emami. </w:t>
      </w:r>
      <w:r>
        <w:rPr>
          <w:rFonts w:ascii="Times New Roman" w:cs="Times New Roman" w:eastAsia="Times New Roman" w:hAnsi="Times New Roman"/>
          <w:sz w:val="17"/>
          <w:szCs w:val="17"/>
          <w:color w:val="auto"/>
        </w:rPr>
        <w:t>Dr. Majid Emami has been Vice President of Engineering of the Company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Dr. Emami is a co-founder of Legacy SoundHound and has served as Vice President of Engineering since 2006. Dr. Emami leads the Company’s research and development efforts related to speech recognition and machine learning and holds 16 patents related to Voice AI technology. Dr. Emami received a Bachelor of Science in Electrical Engineering in 2000 from the University of Toronto and a Masters and a Ph.D. in Electrical Engineering, with a focus in wireless communications, in 2007, both from Stanford University.</w:t>
      </w:r>
    </w:p>
    <w:p>
      <w:pPr>
        <w:spacing w:after="0" w:line="91"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Timothy Stonehocker. </w:t>
      </w:r>
      <w:r>
        <w:rPr>
          <w:rFonts w:ascii="Times New Roman" w:cs="Times New Roman" w:eastAsia="Times New Roman" w:hAnsi="Times New Roman"/>
          <w:sz w:val="17"/>
          <w:szCs w:val="17"/>
          <w:color w:val="auto"/>
        </w:rPr>
        <w:t>Timothy Stonehocker has been Chief Technology Officer of the Company since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consummation of the Business Combination in April 2022. Prior to that, Mr. Stonehocker served as Legacy SoundHound’s Chief Technology Officer since 2010. Mr. Stonehocker specializes in audio recognition algorithms, search technologies, and scalable systems, and has applied his experience to positions he has held since joining SoundHound in 2006, including as SoundHound’s Principal Search Architect before assuming his current role as Chief Technology Officer. Prior to SoundHound, Mr. Stonehocker worked on core order pipeline systems at Amazon, Inc. in Seattle and was part of the team of engineers that relocated to Palo Alto in 2004 to form the Amazon, Inc. subsidiary A9.com. He earned his Bachelor of Science Degree with distinction in Computer Science in 2003 and his Master of Arts in Music in 2003, both from Stanford University.</w:t>
      </w:r>
    </w:p>
    <w:p>
      <w:pPr>
        <w:spacing w:after="0" w:line="108"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Nitesh Sharan. </w:t>
      </w:r>
      <w:r>
        <w:rPr>
          <w:rFonts w:ascii="Times New Roman" w:cs="Times New Roman" w:eastAsia="Times New Roman" w:hAnsi="Times New Roman"/>
          <w:sz w:val="17"/>
          <w:szCs w:val="17"/>
          <w:color w:val="auto"/>
        </w:rPr>
        <w:t>Nitesh Sharan has been Chief Financial Officer of the Company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Prior to that, Mr. Sharan served as the Chief Financial Officer of Legacy SoundHound since September 2021. In this capacity, Mr. Sharan oversees the Company’s accounting, financial planning, investor relations, treasury and capital planning functions. Prior to joining Legacy SoundHound, between May 2016 and September 2021, Mr. Sharan held several executive roles at Nike, Inc. including Treasurer, Head of Investor Relations and Chief Financial Officer of Global Operations. Prior to Nike Inc., Mr. Sharan was the Vice President and Assistant Treasurer at Hewlett-Packard Inc., from June 2001 to April 2016, and was a Senior Consultant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0" w:name="page91"/>
    <w:bookmarkEnd w:id="9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8" w:lineRule="auto"/>
        <w:rPr>
          <w:sz w:val="20"/>
          <w:szCs w:val="20"/>
          <w:color w:val="auto"/>
        </w:rPr>
      </w:pPr>
      <w:r>
        <w:rPr>
          <w:rFonts w:ascii="Times New Roman" w:cs="Times New Roman" w:eastAsia="Times New Roman" w:hAnsi="Times New Roman"/>
          <w:sz w:val="17"/>
          <w:szCs w:val="17"/>
          <w:color w:val="auto"/>
        </w:rPr>
        <w:t>at Accenture plc from 1996 to 2000. Mr. Sharan received a Bachelor of Science in Management from Case Western Reserve University in 1996 and a Master of Business of Administration from Northwestern University in 2001. He is a CFA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charterholder.</w:t>
      </w:r>
    </w:p>
    <w:p>
      <w:pPr>
        <w:spacing w:after="0" w:line="43"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Michael Zagorsek. </w:t>
      </w:r>
      <w:r>
        <w:rPr>
          <w:rFonts w:ascii="Times New Roman" w:cs="Times New Roman" w:eastAsia="Times New Roman" w:hAnsi="Times New Roman"/>
          <w:sz w:val="17"/>
          <w:szCs w:val="17"/>
          <w:color w:val="auto"/>
        </w:rPr>
        <w:t>Michael Zagorsek has been Chief Operating Officer of the Company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Prior to that, Mr. Zagorsek served as Legacy SoundHound’s Chief Operating Officer since November 2020. Mr. Zagorsek is principally responsible for the Company’s operations, oversight of business workflow, company planning, reporting, goal-setting, and strategy. Prior to assuming that role, Mr. Zagorsek was Legacy SoundHound’s Vice President of Product Marketing, from July 2016 to November 2020, in which capacity he was responsible for Legacy SoundHound’s marketing activities, including demand generation, product marketing, content marketing, public relations and design. Prior to his employment with Legacy SoundHound, Mr. Zagorsek was the Head of Product Marketing for Core Products at Square, Inc. from October 2014 to July 2016 and the Vice President of Product Marketing at Leap Motion Inc., from October 2012 to March 2014. From 2007 to 2012, Mr. Zagorsek was Director of Marketing Communications at Apple Inc., overseeing apple.com, email marketing, Apple Online Store and retail digital marketing communications. Mr. Zagorsek received a Bachelor of Commerce from Carleton University in 1998 and a Masters of Arts in International Business from Bradford University in 1998.</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Kamyar Mohajer, the brother of the Company’s CEO, Keyvan Mohajer, is an employee of SoundHound and serves as the Company’s Vice President of Corporate Strategy and International Expansion.</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Nasdaq listing rules require that a majority of the board of directors of a company listed on Nasdaq be composed of “independent directors,”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has determined that each of Dr. Ball, Mr. Marcus and Ms. Sroka, will be an independent director under the Nasdaq listing rules and Rule 10A-3 of the Exchange Act. In making these determinations, our Board considered the current and prior relationships that each non-employee director has with SoundHound AI and all other facts and circumstances our Board deemed relevant in determining independence, including the beneficial ownership of our common stock by each non-employee director, and the transactions involving them described in the section entitled “</w:t>
      </w:r>
      <w:r>
        <w:rPr>
          <w:rFonts w:ascii="Times New Roman" w:cs="Times New Roman" w:eastAsia="Times New Roman" w:hAnsi="Times New Roman"/>
          <w:sz w:val="17"/>
          <w:szCs w:val="17"/>
          <w:i w:val="1"/>
          <w:iCs w:val="1"/>
          <w:color w:val="auto"/>
        </w:rPr>
        <w:t>Certain Relationships and Related Transactions</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Our Board has one class of directors, with each director being elected in each year and serving a one-year term.</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Role of Board in Risk Oversight Process</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We face a number of risks, including those described under the caption “Risk Factors” contained elsewhere in this prospectus. Our Board believes that risk management is an important part of establishing, updating and executing on our business strategy. Our Board has oversight responsibility relating to risks that could affect the corporate strategy, business objectives, compliance, operations, and the financial condition and performance of our company. Our Board focuses its oversight on the most significant risks facing us and on our processes to identify, prioritize, assess, manage and mitigate those risks. Our Board receives regular reports from members of our senior management on areas of material risk to us, including strategic, operational, financial, legal and regulatory risks. While our Board has an oversight role, management is principally tasked with direct responsibility for management and assessment of risks and the implementation of processes and controls to mitigate their effects on us.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1" w:name="page92"/>
    <w:bookmarkEnd w:id="9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standing committees of our Board consist of an Audit Committee, a Compensation Committee, and a Nominating and Corporate Governance Committee. The composition of each committee is set forth below.</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Our Audit Committee has been established in accordance with Section 3(a)(58)(A) of the Exchange Act and consists of Dr. Ball, Mr. Marcus and Ms. Sroka, each of whom is an independent director and is “financially literate” as defined under the Nasdaq listing standards. Dr. Ball serves as chair of the Audit Committee. Our Board has determined that Dr. Ball, qualifies as an “audit committee financial expert,” as defined under rules and regulations of the SEC.</w:t>
      </w:r>
    </w:p>
    <w:p>
      <w:pPr>
        <w:spacing w:after="0" w:line="1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audit committee’s duties are specified in our Audit Committee Charter.</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Compensation Committee consists of Mr. Marcus and Dr. Ball, each of whom is an independent director under Nasdaq’s listing standards, and Mr. Marcus serves as chair of the Compensation Committee. The functions of the Compensation Committee are set forth in a Compensation Committee Charter.</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Nominating and Corporate Governance Committee</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Our Nominating and Corporate Governance Committee consists of Mr. Marcus, and Dr. Ball, each of whom is an independent director under Nasdaq’s listing standards. Mr. Marcus serves as the chair of the Nominating and Corporate Governance Committee. The Nominating and Corporate Governance Committee is responsible for overseeing the selection of persons to be nominated to serve on the Board. The Nominating and Corporate Governance Committee considers persons identified by its members, management, shareholders, investment bankers and others.</w:t>
      </w:r>
    </w:p>
    <w:p>
      <w:pPr>
        <w:spacing w:after="0" w:line="11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guidelines for selecting nominees, including nominees who will permit the Continuing Company to comply with applicable California and Nasdaq diversity standards, will be specified in the Nominating and Corporate Governance Committee Charter.</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Code of Business Conduct and Ethics</w:t>
      </w:r>
    </w:p>
    <w:p>
      <w:pPr>
        <w:spacing w:after="0" w:line="14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 xml:space="preserve">We have adopted a new Code of Business Conduct and Ethics for our directors, officers, employees and certain affiliates in accordance with applicable federal securities laws, a copy of which is available on our website at </w:t>
      </w:r>
      <w:r>
        <w:rPr>
          <w:rFonts w:ascii="Times New Roman" w:cs="Times New Roman" w:eastAsia="Times New Roman" w:hAnsi="Times New Roman"/>
          <w:sz w:val="17"/>
          <w:szCs w:val="17"/>
          <w:i w:val="1"/>
          <w:iCs w:val="1"/>
          <w:color w:val="auto"/>
        </w:rPr>
        <w:t>www.soundhound.com</w:t>
      </w:r>
      <w:r>
        <w:rPr>
          <w:rFonts w:ascii="Times New Roman" w:cs="Times New Roman" w:eastAsia="Times New Roman" w:hAnsi="Times New Roman"/>
          <w:sz w:val="17"/>
          <w:szCs w:val="17"/>
          <w:color w:val="auto"/>
        </w:rPr>
        <w:t>. A printed copy of the Code of Business Conduct and Ethics available to any stockholder who so requests. Requests for a printed copy may be directed to: 5400 Betsy Ross Drive, Santa Clara, CA 95054 Attention: Dr. Keyvan Mohajer.</w:t>
      </w:r>
    </w:p>
    <w:p>
      <w:pPr>
        <w:spacing w:after="0" w:line="107"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 xml:space="preserve">If we amend or grant a waiver of one or more of the provisions of our Code of Business Conduct and Ethics, we intend to satisfy the requirements under Item 5.05 of Form 8-K regarding the disclosure of amendments to or waivers from provisions of our Code of Business Conduct and Ethics that apply to our principal executive officer, principal financial officer and principal accounting officer by posting the required information on our website at </w:t>
      </w:r>
      <w:r>
        <w:rPr>
          <w:rFonts w:ascii="Times New Roman" w:cs="Times New Roman" w:eastAsia="Times New Roman" w:hAnsi="Times New Roman"/>
          <w:sz w:val="17"/>
          <w:szCs w:val="17"/>
          <w:i w:val="1"/>
          <w:iCs w:val="1"/>
          <w:color w:val="auto"/>
        </w:rPr>
        <w:t>www.soundhound.com</w:t>
      </w:r>
      <w:r>
        <w:rPr>
          <w:rFonts w:ascii="Times New Roman" w:cs="Times New Roman" w:eastAsia="Times New Roman" w:hAnsi="Times New Roman"/>
          <w:sz w:val="17"/>
          <w:szCs w:val="17"/>
          <w:color w:val="auto"/>
        </w:rPr>
        <w:t>. The information on this website is not part of this prospectus.</w:t>
      </w:r>
    </w:p>
    <w:p>
      <w:pPr>
        <w:spacing w:after="0" w:line="3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Officer and Director Compensation</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Our Board adopted a nonemployee director compensation program (the “Director Compensation Policy”). The Director Compensation Policy is designed to align compensation with our business objectives and the creation of stockholder value, while enabling us to attract, retain, incentivize and reward non-employee directors who contribute to our long-term success. The Director Compensation Policy provides for an annual cash retainer for all</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2" w:name="page93"/>
    <w:bookmarkEnd w:id="9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6" w:lineRule="auto"/>
        <w:rPr>
          <w:sz w:val="20"/>
          <w:szCs w:val="20"/>
          <w:color w:val="auto"/>
        </w:rPr>
      </w:pPr>
      <w:r>
        <w:rPr>
          <w:rFonts w:ascii="Times New Roman" w:cs="Times New Roman" w:eastAsia="Times New Roman" w:hAnsi="Times New Roman"/>
          <w:sz w:val="17"/>
          <w:szCs w:val="17"/>
          <w:color w:val="auto"/>
        </w:rPr>
        <w:t>non-employee directors, in addition to equity grants determined by the compensation committee and reimbursement for reasonable expenses incurred in connection with attending Board and committee meetings. Our Board expects to review non-employee director compensation periodically to ensure that non-employee director compensation remains competitive such that we are able to recruit and retain qualified directors.</w:t>
      </w:r>
    </w:p>
    <w:p>
      <w:pPr>
        <w:spacing w:after="0" w:line="316"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Our policies with respect to the compensation of its executive officers are administered by our Board in consultation with its compensation committee. We may also rely on data and analyses from third parties, such as compensation consultants, in connection with its compensation programs. We intend to design and implement programs to provide for compensation that is sufficient to attract, motivate and retain executives and potentially other individuals and to establish an appropriate relationship between executive compensation and the creation of stockholder value.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3" w:name="page94"/>
    <w:bookmarkEnd w:id="9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142"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i w:val="1"/>
          <w:iCs w:val="1"/>
          <w:color w:val="auto"/>
        </w:rPr>
        <w:t>Throughout this section, unless otherwise noted, “we,” “us,” “our,” the “Company” and similar terms refer to SoundHound AI and its subsidiaries after the Business Combination. “Legacy SoundHound” refers to SoundHound, Inc. prior to the consummation of the Business Combination.</w:t>
      </w:r>
    </w:p>
    <w:p>
      <w:pPr>
        <w:spacing w:after="0" w:line="9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To achieve the Company’s goals, we are in the process of designing a compensation and benefits program to attract, retain, incentivize and reward deeply talented and qualified executives who share its philosophy and desire to work towards achieving our goals. We believe our compensation program should promote our success and align executive incentives with the long-term interests of our stockholders. Legacy SoundHound’s compensation arrangements consisted principally of a base salary, an annual cash incentive bonus and equity compensation, as described below.</w:t>
      </w:r>
    </w:p>
    <w:p>
      <w:pPr>
        <w:spacing w:after="0" w:line="110"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Legacy SoundHound’s board of directors (the “Legacy SoundHound Board”) had historically determined the compensation of Legacy SoundHound’s executive officers. Subsequent to the Business Combination, our Board has determined the compensation of our executive officers. For the year ended December 31, 2022, SoundHound AI’s named executive officers were Dr. Keyvan Mohajer, Chief Executive Officer, Nitesh Sharan, Chief Financial Officer, and Zubin Irani, Chief Revenue Officer.</w:t>
      </w:r>
    </w:p>
    <w:p>
      <w:pPr>
        <w:spacing w:after="0" w:line="9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This section provides an overview of our executive compensation arrangements with our executive officers, including a narrative description of the material factors necessary to understand the information disclosed in the summary compensation table below. This section may contain forward-looking statements that are based on our current plans, considerations, expectations and determinations regarding future compensation programs. See “New Employment Agreements with Named Executive Officers” below for information regarding our current compensation arrangements with named executive officers.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Summary Compensation Table for Fiscal Years 2021 and 2022</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sets forth information concerning the compensation of the named executive officers for the fiscal years ended December 31, 2021 and 2022.</w:t>
      </w:r>
    </w:p>
    <w:p>
      <w:pPr>
        <w:spacing w:after="0" w:line="110"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0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700" w:type="dxa"/>
            <w:vAlign w:val="bottom"/>
          </w:tcPr>
          <w:p>
            <w:pPr>
              <w:jc w:val="right"/>
              <w:spacing w:after="0" w:line="195" w:lineRule="exact"/>
              <w:rPr>
                <w:sz w:val="20"/>
                <w:szCs w:val="20"/>
                <w:color w:val="auto"/>
              </w:rPr>
            </w:pPr>
            <w:r>
              <w:rPr>
                <w:rFonts w:ascii="Times New Roman" w:cs="Times New Roman" w:eastAsia="Times New Roman" w:hAnsi="Times New Roman"/>
                <w:sz w:val="16"/>
                <w:szCs w:val="16"/>
                <w:b w:val="1"/>
                <w:bCs w:val="1"/>
                <w:color w:val="auto"/>
              </w:rPr>
              <w:t>Salary</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Bonus</w:t>
            </w:r>
          </w:p>
        </w:tc>
        <w:tc>
          <w:tcPr>
            <w:tcW w:w="100" w:type="dxa"/>
            <w:vAlign w:val="bottom"/>
          </w:tcPr>
          <w:p>
            <w:pPr>
              <w:spacing w:after="0"/>
              <w:rPr>
                <w:sz w:val="16"/>
                <w:szCs w:val="16"/>
                <w:color w:val="auto"/>
              </w:rPr>
            </w:pPr>
          </w:p>
        </w:tc>
        <w:tc>
          <w:tcPr>
            <w:tcW w:w="880" w:type="dxa"/>
            <w:vAlign w:val="bottom"/>
            <w:gridSpan w:val="2"/>
          </w:tcPr>
          <w:p>
            <w:pPr>
              <w:jc w:val="center"/>
              <w:ind w:right="140"/>
              <w:spacing w:after="0" w:line="195" w:lineRule="exact"/>
              <w:rPr>
                <w:sz w:val="20"/>
                <w:szCs w:val="20"/>
                <w:color w:val="auto"/>
              </w:rPr>
            </w:pPr>
            <w:r>
              <w:rPr>
                <w:rFonts w:ascii="Times New Roman" w:cs="Times New Roman" w:eastAsia="Times New Roman" w:hAnsi="Times New Roman"/>
                <w:sz w:val="16"/>
                <w:szCs w:val="16"/>
                <w:b w:val="1"/>
                <w:bCs w:val="1"/>
                <w:color w:val="auto"/>
                <w:w w:val="92"/>
              </w:rPr>
              <w:t>Awards</w:t>
            </w:r>
            <w:r>
              <w:rPr>
                <w:rFonts w:ascii="Times New Roman" w:cs="Times New Roman" w:eastAsia="Times New Roman" w:hAnsi="Times New Roman"/>
                <w:sz w:val="18"/>
                <w:szCs w:val="18"/>
                <w:b w:val="1"/>
                <w:bCs w:val="1"/>
                <w:color w:val="auto"/>
                <w:w w:val="92"/>
                <w:vertAlign w:val="superscript"/>
              </w:rPr>
              <w:t>(2)</w:t>
            </w:r>
          </w:p>
        </w:tc>
        <w:tc>
          <w:tcPr>
            <w:tcW w:w="860" w:type="dxa"/>
            <w:vAlign w:val="bottom"/>
          </w:tcPr>
          <w:p>
            <w:pPr>
              <w:jc w:val="center"/>
              <w:spacing w:after="0" w:line="195" w:lineRule="exact"/>
              <w:rPr>
                <w:sz w:val="20"/>
                <w:szCs w:val="20"/>
                <w:color w:val="auto"/>
              </w:rPr>
            </w:pPr>
            <w:r>
              <w:rPr>
                <w:rFonts w:ascii="Times New Roman" w:cs="Times New Roman" w:eastAsia="Times New Roman" w:hAnsi="Times New Roman"/>
                <w:sz w:val="16"/>
                <w:szCs w:val="16"/>
                <w:b w:val="1"/>
                <w:bCs w:val="1"/>
                <w:color w:val="auto"/>
                <w:w w:val="89"/>
              </w:rPr>
              <w:t>Awards</w:t>
            </w:r>
            <w:r>
              <w:rPr>
                <w:rFonts w:ascii="Times New Roman" w:cs="Times New Roman" w:eastAsia="Times New Roman" w:hAnsi="Times New Roman"/>
                <w:sz w:val="18"/>
                <w:szCs w:val="18"/>
                <w:b w:val="1"/>
                <w:bCs w:val="1"/>
                <w:color w:val="auto"/>
                <w:w w:val="89"/>
                <w:vertAlign w:val="superscript"/>
              </w:rPr>
              <w:t>(3)</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86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5"/>
        </w:trPr>
        <w:tc>
          <w:tcPr>
            <w:tcW w:w="2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and Position</w:t>
            </w:r>
          </w:p>
        </w:tc>
        <w:tc>
          <w:tcPr>
            <w:tcW w:w="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2"/>
          </w:tcPr>
          <w:p>
            <w:pPr>
              <w:jc w:val="center"/>
              <w:ind w:left="16"/>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gridSpan w:val="2"/>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86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Dr. Keyvan Mohajer, </w:t>
            </w:r>
            <w:r>
              <w:rPr>
                <w:rFonts w:ascii="Times New Roman" w:cs="Times New Roman" w:eastAsia="Times New Roman" w:hAnsi="Times New Roman"/>
                <w:sz w:val="17"/>
                <w:szCs w:val="17"/>
                <w:i w:val="1"/>
                <w:iCs w:val="1"/>
                <w:color w:val="auto"/>
              </w:rPr>
              <w:t>CEO</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2021</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260,000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260,000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2022</w:t>
            </w:r>
          </w:p>
        </w:tc>
        <w:tc>
          <w:tcPr>
            <w:tcW w:w="8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381,042</w:t>
            </w:r>
          </w:p>
        </w:tc>
        <w:tc>
          <w:tcPr>
            <w:tcW w:w="10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10,054,500</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10,435,542</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vMerge w:val="continue"/>
          </w:tcPr>
          <w:p>
            <w:pPr>
              <w:spacing w:after="0"/>
              <w:rPr>
                <w:sz w:val="23"/>
                <w:szCs w:val="23"/>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Nitesh Sharan, </w:t>
            </w:r>
            <w:r>
              <w:rPr>
                <w:rFonts w:ascii="Times New Roman" w:cs="Times New Roman" w:eastAsia="Times New Roman" w:hAnsi="Times New Roman"/>
                <w:sz w:val="17"/>
                <w:szCs w:val="17"/>
                <w:i w:val="1"/>
                <w:iCs w:val="1"/>
                <w:color w:val="auto"/>
              </w:rPr>
              <w:t>CFO</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2021</w:t>
            </w: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83,333</w:t>
            </w:r>
            <w:r>
              <w:rPr>
                <w:rFonts w:ascii="Times New Roman" w:cs="Times New Roman" w:eastAsia="Times New Roman" w:hAnsi="Times New Roman"/>
                <w:sz w:val="20"/>
                <w:szCs w:val="20"/>
                <w:color w:val="auto"/>
                <w:vertAlign w:val="superscript"/>
              </w:rPr>
              <w:t>(4)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w:t>
            </w:r>
            <w:r>
              <w:rPr>
                <w:rFonts w:ascii="Times New Roman" w:cs="Times New Roman" w:eastAsia="Times New Roman" w:hAnsi="Times New Roman"/>
                <w:sz w:val="20"/>
                <w:szCs w:val="20"/>
                <w:color w:val="auto"/>
                <w:vertAlign w:val="superscript"/>
              </w:rPr>
              <w:t>(5)</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952,070</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1,110,403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2022</w:t>
            </w:r>
          </w:p>
        </w:tc>
        <w:tc>
          <w:tcPr>
            <w:tcW w:w="8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328,958</w:t>
            </w:r>
          </w:p>
        </w:tc>
        <w:tc>
          <w:tcPr>
            <w:tcW w:w="70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color w:val="auto"/>
              </w:rPr>
              <w:t>75,000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4,302,250</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4,706,208</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vMerge w:val="continue"/>
          </w:tcPr>
          <w:p>
            <w:pPr>
              <w:spacing w:after="0"/>
              <w:rPr>
                <w:sz w:val="23"/>
                <w:szCs w:val="23"/>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Zubin Irani, </w:t>
            </w:r>
            <w:r>
              <w:rPr>
                <w:rFonts w:ascii="Times New Roman" w:cs="Times New Roman" w:eastAsia="Times New Roman" w:hAnsi="Times New Roman"/>
                <w:sz w:val="17"/>
                <w:szCs w:val="17"/>
                <w:i w:val="1"/>
                <w:iCs w:val="1"/>
                <w:color w:val="auto"/>
              </w:rPr>
              <w:t>CRO</w:t>
            </w:r>
            <w:r>
              <w:rPr>
                <w:rFonts w:ascii="Times New Roman" w:cs="Times New Roman" w:eastAsia="Times New Roman" w:hAnsi="Times New Roman"/>
                <w:sz w:val="20"/>
                <w:szCs w:val="20"/>
                <w:i w:val="1"/>
                <w:iCs w:val="1"/>
                <w:color w:val="auto"/>
                <w:vertAlign w:val="superscript"/>
              </w:rPr>
              <w:t>(6)</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2021</w:t>
            </w: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81,167</w:t>
            </w:r>
          </w:p>
        </w:tc>
        <w:tc>
          <w:tcPr>
            <w:tcW w:w="7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75,000</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634,713</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793,880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2022</w:t>
            </w:r>
          </w:p>
        </w:tc>
        <w:tc>
          <w:tcPr>
            <w:tcW w:w="8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319,146</w:t>
            </w:r>
          </w:p>
        </w:tc>
        <w:tc>
          <w:tcPr>
            <w:tcW w:w="10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5,096,250</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5,415,396</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____________</w:t>
      </w:r>
    </w:p>
    <w:p>
      <w:pPr>
        <w:spacing w:after="0" w:line="102" w:lineRule="exact"/>
        <w:rPr>
          <w:sz w:val="20"/>
          <w:szCs w:val="20"/>
          <w:color w:val="auto"/>
        </w:rPr>
      </w:pPr>
    </w:p>
    <w:p>
      <w:pPr>
        <w:ind w:left="1020" w:hanging="414"/>
        <w:spacing w:after="0"/>
        <w:tabs>
          <w:tab w:leader="none" w:pos="10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15% reduction in salary beginning in December 2022.</w:t>
      </w:r>
    </w:p>
    <w:p>
      <w:pPr>
        <w:spacing w:after="0" w:line="18" w:lineRule="exact"/>
        <w:rPr>
          <w:rFonts w:ascii="Times New Roman" w:cs="Times New Roman" w:eastAsia="Times New Roman" w:hAnsi="Times New Roman"/>
          <w:sz w:val="16"/>
          <w:szCs w:val="16"/>
          <w:color w:val="auto"/>
        </w:rPr>
      </w:pPr>
    </w:p>
    <w:p>
      <w:pPr>
        <w:jc w:val="both"/>
        <w:ind w:left="1020" w:right="619" w:hanging="414"/>
        <w:spacing w:after="0" w:line="254" w:lineRule="auto"/>
        <w:tabs>
          <w:tab w:leader="none" w:pos="10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disclosed represent the aggregate grant date fair value of stock awards granted to our named executive officers during the fiscal year ended December 31, 2022 under our 2022 Incentive Plan, calculated in accordance with Financial Accounting Standards Board ASC Topic 718. The assumptions used in calculating the grant date fair value of the stock awards will be set forth in the notes to our audited financial statements for the fiscal year ended December 31, 2022. This amount includes performance based stock awards which are not anticipated to vest as of the date of this prospectus. This amount does not reflect the actual economic value that may be realized by the named executive officer.</w:t>
      </w:r>
    </w:p>
    <w:p>
      <w:pPr>
        <w:spacing w:after="0" w:line="1" w:lineRule="exact"/>
        <w:rPr>
          <w:rFonts w:ascii="Times New Roman" w:cs="Times New Roman" w:eastAsia="Times New Roman" w:hAnsi="Times New Roman"/>
          <w:sz w:val="16"/>
          <w:szCs w:val="16"/>
          <w:color w:val="auto"/>
        </w:rPr>
      </w:pPr>
    </w:p>
    <w:p>
      <w:pPr>
        <w:jc w:val="both"/>
        <w:ind w:left="1020" w:right="619" w:hanging="414"/>
        <w:spacing w:after="0" w:line="290" w:lineRule="auto"/>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disclosed represent the aggregate grant date fair value of stock options granted to our named executive officers during the fiscal year ended December 31, 2021 under our 2016 Incentive Plan, calculated in accordance with Financial Accounting Standards Board ASC Topic 718. The assumptions used in calculating the grant date fair value of the stock options are set forth in the notes to our audited financial statements included elsewhere in this prospectus. This amount does not reflect the actual economic value that may be realized by the named executive officer.</w:t>
      </w:r>
    </w:p>
    <w:p>
      <w:pPr>
        <w:spacing w:after="0" w:line="1" w:lineRule="exact"/>
        <w:rPr>
          <w:rFonts w:ascii="Times New Roman" w:cs="Times New Roman" w:eastAsia="Times New Roman" w:hAnsi="Times New Roman"/>
          <w:sz w:val="14"/>
          <w:szCs w:val="14"/>
          <w:color w:val="auto"/>
        </w:rPr>
      </w:pPr>
    </w:p>
    <w:p>
      <w:pPr>
        <w:ind w:left="1020" w:right="619" w:hanging="414"/>
        <w:spacing w:after="0" w:line="254" w:lineRule="auto"/>
        <w:tabs>
          <w:tab w:leader="none" w:pos="10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Sharan assumed responsibilities as Legacy SoundHound’s Chief Financial Officer in October 2021. Pursuant to his offer letter, Mr. Sharan’s annual salary was $300,000.</w:t>
      </w:r>
    </w:p>
    <w:p>
      <w:pPr>
        <w:ind w:left="1020" w:hanging="414"/>
        <w:spacing w:after="0"/>
        <w:tabs>
          <w:tab w:leader="none" w:pos="10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Sharan received a $75,000 sign-on/retention payment.</w:t>
      </w:r>
    </w:p>
    <w:p>
      <w:pPr>
        <w:spacing w:after="0" w:line="10" w:lineRule="exact"/>
        <w:rPr>
          <w:rFonts w:ascii="Times New Roman" w:cs="Times New Roman" w:eastAsia="Times New Roman" w:hAnsi="Times New Roman"/>
          <w:sz w:val="16"/>
          <w:szCs w:val="16"/>
          <w:color w:val="auto"/>
        </w:rPr>
      </w:pPr>
    </w:p>
    <w:p>
      <w:pPr>
        <w:ind w:left="1020" w:hanging="414"/>
        <w:spacing w:after="0"/>
        <w:tabs>
          <w:tab w:leader="none" w:pos="10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Irani’s employment status was changed to an advisor on February 3, 2023.</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4" w:name="page95"/>
    <w:bookmarkEnd w:id="9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Narrative Disclosure to Summary Compensation Table</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2022 Equity Incentive Plan</w:t>
      </w:r>
    </w:p>
    <w:p>
      <w:pPr>
        <w:spacing w:after="0" w:line="142" w:lineRule="exact"/>
        <w:rPr>
          <w:sz w:val="20"/>
          <w:szCs w:val="20"/>
          <w:color w:val="auto"/>
        </w:rPr>
      </w:pPr>
    </w:p>
    <w:p>
      <w:pPr>
        <w:jc w:val="both"/>
        <w:ind w:left="600" w:right="619" w:firstLine="416"/>
        <w:spacing w:after="0" w:line="295" w:lineRule="auto"/>
        <w:rPr>
          <w:sz w:val="20"/>
          <w:szCs w:val="20"/>
          <w:color w:val="auto"/>
        </w:rPr>
      </w:pPr>
      <w:r>
        <w:rPr>
          <w:rFonts w:ascii="Times New Roman" w:cs="Times New Roman" w:eastAsia="Times New Roman" w:hAnsi="Times New Roman"/>
          <w:sz w:val="17"/>
          <w:szCs w:val="17"/>
          <w:color w:val="auto"/>
        </w:rPr>
        <w:t xml:space="preserve">For a summary of the Company’s 2022 Equity Incentive Plan see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Arrangements — 2022 Equity Incentive Plan </w:t>
      </w:r>
      <w:r>
        <w:rPr>
          <w:rFonts w:ascii="Times New Roman" w:cs="Times New Roman" w:eastAsia="Times New Roman" w:hAnsi="Times New Roman"/>
          <w:sz w:val="17"/>
          <w:szCs w:val="17"/>
          <w:color w:val="auto"/>
        </w:rPr>
        <w:t>elsewhere in this prospectus.</w:t>
      </w:r>
    </w:p>
    <w:p>
      <w:pPr>
        <w:spacing w:after="0" w:line="1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2022 Employee Stock Purchase Plan</w:t>
      </w:r>
    </w:p>
    <w:p>
      <w:pPr>
        <w:spacing w:after="0" w:line="155" w:lineRule="exact"/>
        <w:rPr>
          <w:sz w:val="20"/>
          <w:szCs w:val="20"/>
          <w:color w:val="auto"/>
        </w:rPr>
      </w:pPr>
    </w:p>
    <w:p>
      <w:pPr>
        <w:jc w:val="both"/>
        <w:ind w:left="600" w:right="639" w:firstLine="416"/>
        <w:spacing w:after="0" w:line="295" w:lineRule="auto"/>
        <w:rPr>
          <w:sz w:val="20"/>
          <w:szCs w:val="20"/>
          <w:color w:val="auto"/>
        </w:rPr>
      </w:pPr>
      <w:r>
        <w:rPr>
          <w:rFonts w:ascii="Times New Roman" w:cs="Times New Roman" w:eastAsia="Times New Roman" w:hAnsi="Times New Roman"/>
          <w:sz w:val="17"/>
          <w:szCs w:val="17"/>
          <w:color w:val="auto"/>
        </w:rPr>
        <w:t>For a summary of the Company’s 2022 Employee Stock Purchase Plan see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Arrangements — 2022 Employee Stock Purchase Plan</w:t>
      </w:r>
      <w:r>
        <w:rPr>
          <w:rFonts w:ascii="Times New Roman" w:cs="Times New Roman" w:eastAsia="Times New Roman" w:hAnsi="Times New Roman"/>
          <w:sz w:val="17"/>
          <w:szCs w:val="17"/>
          <w:color w:val="auto"/>
        </w:rPr>
        <w:t>” elsewhere in this prospectus.</w:t>
      </w:r>
    </w:p>
    <w:p>
      <w:pPr>
        <w:spacing w:after="0" w:line="1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2016 Equity Incentive Plan</w:t>
      </w:r>
    </w:p>
    <w:p>
      <w:pPr>
        <w:spacing w:after="0" w:line="155" w:lineRule="exact"/>
        <w:rPr>
          <w:sz w:val="20"/>
          <w:szCs w:val="20"/>
          <w:color w:val="auto"/>
        </w:rPr>
      </w:pPr>
    </w:p>
    <w:p>
      <w:pPr>
        <w:jc w:val="both"/>
        <w:ind w:left="600" w:right="619" w:firstLine="416"/>
        <w:spacing w:after="0" w:line="295" w:lineRule="auto"/>
        <w:rPr>
          <w:sz w:val="20"/>
          <w:szCs w:val="20"/>
          <w:color w:val="auto"/>
        </w:rPr>
      </w:pPr>
      <w:r>
        <w:rPr>
          <w:rFonts w:ascii="Times New Roman" w:cs="Times New Roman" w:eastAsia="Times New Roman" w:hAnsi="Times New Roman"/>
          <w:sz w:val="17"/>
          <w:szCs w:val="17"/>
          <w:color w:val="auto"/>
        </w:rPr>
        <w:t>For a summary of the 2016 Equity Incentive Plan see “</w:t>
      </w:r>
      <w:r>
        <w:rPr>
          <w:rFonts w:ascii="Times New Roman" w:cs="Times New Roman" w:eastAsia="Times New Roman" w:hAnsi="Times New Roman"/>
          <w:sz w:val="17"/>
          <w:szCs w:val="17"/>
          <w:i w:val="1"/>
          <w:iCs w:val="1"/>
          <w:color w:val="auto"/>
        </w:rPr>
        <w:t>Executive Compensation Arrangements — 2016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Equity Incentive Plan</w:t>
      </w:r>
      <w:r>
        <w:rPr>
          <w:rFonts w:ascii="Times New Roman" w:cs="Times New Roman" w:eastAsia="Times New Roman" w:hAnsi="Times New Roman"/>
          <w:sz w:val="17"/>
          <w:szCs w:val="17"/>
          <w:color w:val="auto"/>
        </w:rPr>
        <w:t>” elsewhere in this prospectus.</w:t>
      </w:r>
    </w:p>
    <w:p>
      <w:pPr>
        <w:spacing w:after="0" w:line="1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2006 Stock Plan</w:t>
      </w:r>
    </w:p>
    <w:p>
      <w:pPr>
        <w:spacing w:after="0" w:line="142" w:lineRule="exact"/>
        <w:rPr>
          <w:sz w:val="20"/>
          <w:szCs w:val="20"/>
          <w:color w:val="auto"/>
        </w:rPr>
      </w:pPr>
    </w:p>
    <w:p>
      <w:pPr>
        <w:jc w:val="both"/>
        <w:ind w:left="600" w:right="619" w:firstLine="416"/>
        <w:spacing w:after="0" w:line="295" w:lineRule="auto"/>
        <w:rPr>
          <w:sz w:val="20"/>
          <w:szCs w:val="20"/>
          <w:color w:val="auto"/>
        </w:rPr>
      </w:pPr>
      <w:r>
        <w:rPr>
          <w:rFonts w:ascii="Times New Roman" w:cs="Times New Roman" w:eastAsia="Times New Roman" w:hAnsi="Times New Roman"/>
          <w:sz w:val="17"/>
          <w:szCs w:val="17"/>
          <w:color w:val="auto"/>
        </w:rPr>
        <w:t>For a summary of the 2006 Stock Plan see “</w:t>
      </w:r>
      <w:r>
        <w:rPr>
          <w:rFonts w:ascii="Times New Roman" w:cs="Times New Roman" w:eastAsia="Times New Roman" w:hAnsi="Times New Roman"/>
          <w:sz w:val="17"/>
          <w:szCs w:val="17"/>
          <w:i w:val="1"/>
          <w:iCs w:val="1"/>
          <w:color w:val="auto"/>
        </w:rPr>
        <w:t>Executive Compensation Arrangements — 2006 Stock Plan</w:t>
      </w:r>
      <w:r>
        <w:rPr>
          <w:rFonts w:ascii="Times New Roman" w:cs="Times New Roman" w:eastAsia="Times New Roman" w:hAnsi="Times New Roman"/>
          <w:sz w:val="17"/>
          <w:szCs w:val="17"/>
          <w:color w:val="auto"/>
        </w:rPr>
        <w:t>” elsewhere in this prospectus.</w:t>
      </w:r>
    </w:p>
    <w:p>
      <w:pPr>
        <w:spacing w:after="0" w:line="1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Agreements with the Company’s Named Executive Officers as of December 31, 2022</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Chief Executive Officer was party to an employment Agreement with Legacy SoundHound and then SoundHound AI through June 2, 2022. Our Chief Financial Officer and Chief Revenue Officer were parties to letter agreements with Legacy SoundHound and then SoundHound AI through June 2, 2022, provided that the letter agreement with Mr. Zubin Irani, our Chief Revenue Officer was not effective until January 5, 2022.</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New Employment Agreements with Named Executive Officers</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June 2, 2022, our Compensation Committee and full Board approved certain compensation adjustments for its named executive officers. The Company also entered into new employment letter agreements with Dr. Keyvan Mohajer, the Company’s Chief Executive Officer; Mr. Nitesh Sharan, the Company’s Chief Financial Officer; and Mr. Zubin Irani, the Company’s Chief Revenue Officer, which replaced and superseded all prior employment agreements with such named executive officers. In addition, the Board adopted and approved a Non-Employee Director Compensation Policy.</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Employment Agreement with Keyvan Mohajer, Chief Executive Officer</w:t>
      </w:r>
    </w:p>
    <w:p>
      <w:pPr>
        <w:spacing w:after="0" w:line="142"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Under Dr. Mohajer’s employment agreement (the “June 2022 CEO Employment Agreement”), Dr. Mohajer receives a base salary of $450,000, effective retroactively as of May 1, 2022. In addition, Dr. Mohajer is eligible to earn an annual incentive bonus, with a target equal to 100% of his annual base salary as then in effect, with a maximum payout at 150% of annual target. The annual bonus will be determined by the Company in its sole discretion based upon achievement of performance objectives to be determined by the Company.</w:t>
      </w:r>
    </w:p>
    <w:p>
      <w:pPr>
        <w:spacing w:after="0" w:line="31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June 2022 CEO Employment Agreement provides for the grant to Dr. Mohajer of 720,000 restricted stock units (the “RSUs”) under the SoundHound AI, Inc. 2022 Incentive Award Plan (the “2022 Incentive Award Plan”), which grant became effective upon the filing of the Company’s Registration Statement on Form S-8 (the “Form S-8”) filed with the Securities and Exchange Commission (“SEC”) on July 20, 2022 to register shares under the 2022 Incentive Award Plan. The RSUs have a 10-year term and 4-year vesting period, vesting in equal quarterly installments with vesting measured from the vesting commencement date of May 1, 2022, subject to continued employment with the Company through each vesting date. In August 2022, Dr. Mohajer was granted an additional 450,000 RSUs under the 2022 Incentive Award Plan. The RSUs have a 10-year term and 3-year vesting period, vesting in equal monthly installments with vesting measured from the vesting commencement date of August 1, 2022, subject to continued employment with the Company through each vesting date.</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5" w:name="page96"/>
    <w:bookmarkEnd w:id="9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Dr. Mohajer was also granted 480,000 RSUs that are subject to performance-based vesting (the “PSUs”) under the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10"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In addition, Dr. Mohajer is eligible to participate in the standard benefit plans offered to similarly situated employees by the Company from time to time.</w:t>
      </w:r>
    </w:p>
    <w:p>
      <w:pPr>
        <w:spacing w:after="0" w:line="81"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June 2022 CEO Employment Agreement provides for “at will employment,” and specifies certain compensation following termination of employment, including potential severance payments of three months of Dr. Mohajer’s then current base salary and payment for three months of any COBRA premiums if Dr. Mohajer’s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96"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Dr. Mohajer has also entered into the Company’s standard form of confidential information and inventions assignment agreement.</w:t>
      </w:r>
    </w:p>
    <w:p>
      <w:pPr>
        <w:spacing w:after="0" w:line="14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Employment Agreement with Nitesh Sharan, Chief Financial Officer</w:t>
      </w:r>
    </w:p>
    <w:p>
      <w:pPr>
        <w:spacing w:after="0" w:line="15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Under Mr. Sharan’s employment agreement (the “June 2022 CFO Employment Agreement”), Mr. Sharan receives a base salary of $350,000, effective retroactively as of May 1, 2022. In addition, Mr. Sharan is eligible to earn an annual incentive bonus, with a target equal to 60% of his annual base salary as then in effect, with a maximum payout at 150% of annual target. The annual bonus will be determined by the Company in its sole discretion, based upon achievement of performance objectives to be determined by the Company.</w:t>
      </w:r>
    </w:p>
    <w:p>
      <w:pPr>
        <w:spacing w:after="0" w:line="10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June 2022 CFO Employment Agreement provides for a grant to Mr. Sharan of 300,000 RSUs under the 2022 Incentive Award Plan, which grant became effective upon the filing of the Form S-8 with the SEC. The RSUs have a 10-year term and 4-year vesting period vesting in equal quarterly installments with vesting measured from the vesting commencement date of September 15, 2021, subject to continued employment with the Company through each vesting date. In August 2022, Mr. Sharan was granted an additional 225,000 RSUs under the 2022 Incentive Award Plan. The RSUs have a 10-year term and 3-year vesting period, vesting in equal monthly installments with vesting measured from the vesting commencement date of August 1, 2022, subject to continued employment with the Company through each vesting date.</w:t>
      </w:r>
    </w:p>
    <w:p>
      <w:pPr>
        <w:spacing w:after="0" w:line="9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Mr. Sharan was also granted 200,000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10"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In addition, Mr. Sharan is eligible to participate in the standard benefit plans offered to similarly-situated employees by the Company from time to time.</w:t>
      </w:r>
    </w:p>
    <w:p>
      <w:pPr>
        <w:spacing w:after="0" w:line="81"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June 2022 CFO Employment Agreement provides for “at will employment,” and specifies certain compensation following termination of employment, including potential severance payments of three months of Mr. Sharan’s then current base salary and payment for three months of any COBRA premiums if Mr. Sharan’s employment is terminated by the Company without “Cause” (as defined in the Incentive Award Plan) or if the executive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6" w:name="page97"/>
    <w:bookmarkEnd w:id="9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1" w:lineRule="auto"/>
        <w:rPr>
          <w:sz w:val="20"/>
          <w:szCs w:val="20"/>
          <w:color w:val="auto"/>
        </w:rPr>
      </w:pPr>
      <w:r>
        <w:rPr>
          <w:rFonts w:ascii="Times New Roman" w:cs="Times New Roman" w:eastAsia="Times New Roman" w:hAnsi="Times New Roman"/>
          <w:sz w:val="17"/>
          <w:szCs w:val="17"/>
          <w:color w:val="auto"/>
        </w:rPr>
        <w:t>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10"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Mr. Sharan has also entered into the Company’s standard form of confidential information and inventions assignment agreement.</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Agreement with Zubin Irani, Chief Revenue Officer</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Mr. Zubin Irani, who commenced his service as Legacy SoundHound’s Chief Revenue Officer in January 2022, pursuant to the terms of an offer letter agreement dated September 14, 2021 (the “CRO Letter Agreement”). Under the CRO letter agreement, Mr. Irani was entitled to a base salary of $300,000 per year.</w:t>
      </w:r>
    </w:p>
    <w:p>
      <w:pPr>
        <w:spacing w:after="0" w:line="8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connection with his engagement, during the 2021 fiscal year, Mr. Irani received options to purchase 37,037 shares of Legacy SoundHound common stock, at an exercise price of $41.75 per share, pursuant to the 2016 Incentive Plan. As of December 21, 2021, the options had a fair value of $634,180 (calculated in accordance with Financial Accounting Standards Board ASC Topic 718).</w:t>
      </w:r>
    </w:p>
    <w:p>
      <w:pPr>
        <w:spacing w:after="0" w:line="10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Under Mr. Irani’s employment agreement that was entered into in June 2022 (the “June 2022 CRO Employment Agreement”), Mr. Irani received a base salary of $335,000, effective retroactively as of May 1, 2022. In addition, Mr. Irani was eligible to earn an annual incentive bonus, with a target equal to 100% of his annual base salary as then in effect, with a maximum payout at 200% of annual target. The annual bonus was determined by the Company in its sole discretion, based upon achievement of performance objectives to be determined by the Company.</w:t>
      </w:r>
    </w:p>
    <w:p>
      <w:pPr>
        <w:spacing w:after="0" w:line="110"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Under the CRO Letter Agreement, the Company agreed to recommend an award of 300,000 restricted stock units (“RSUs”) and 300,000 performance stock units (“PSUs”) on the listing date of a liquidity event (based on a converted cap table of 200 million shares). The RSU and PSU grants were made pursuant to the SoundHound AI, Inc. 2022 Incentive Award Plan and were approved by the Board and awarded as of August 4, 2022. In August 2022, Mr. Irani was granted an additional 225,000 RSUs under the 2022 Incentive Award Plan. The RSUs have a 10-year term and 3-year vesting period, vesting in equal monthly installments with vesting measured from the vesting commencement date of August 1, 2022, subject to continued employment with the Company through each vesting date.</w:t>
      </w:r>
    </w:p>
    <w:p>
      <w:pPr>
        <w:spacing w:after="0" w:line="99" w:lineRule="exact"/>
        <w:rPr>
          <w:sz w:val="20"/>
          <w:szCs w:val="20"/>
          <w:color w:val="auto"/>
        </w:rPr>
      </w:pPr>
    </w:p>
    <w:p>
      <w:pPr>
        <w:jc w:val="both"/>
        <w:ind w:left="600" w:right="619" w:firstLine="416"/>
        <w:spacing w:after="0" w:line="253" w:lineRule="auto"/>
        <w:rPr>
          <w:sz w:val="20"/>
          <w:szCs w:val="20"/>
          <w:color w:val="auto"/>
        </w:rPr>
      </w:pPr>
      <w:r>
        <w:rPr>
          <w:rFonts w:ascii="Times New Roman" w:cs="Times New Roman" w:eastAsia="Times New Roman" w:hAnsi="Times New Roman"/>
          <w:sz w:val="17"/>
          <w:szCs w:val="17"/>
          <w:color w:val="auto"/>
        </w:rPr>
        <w:t>With the exception of the August 2022 RSU grant, the Options, RSUs, and PSUs have a four-year time-based vesting schedule, with 3/48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of the award vesting on each quarter following the CRO’s hire date, subject to Mr. Irani’s continued employment through such dates. Following a change in control (as defined in the CRO letter agreement), any unvested portion of the option or RSU awards shall accelerate if the CRO is terminated without cause or terminates due to a constructive termination (each as defined in the CRO letter agreement).</w:t>
      </w:r>
    </w:p>
    <w:p>
      <w:pPr>
        <w:spacing w:after="0" w:line="1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PSUs  are  subject  to  additional  GAAP  revenue  performance-based  vesting  conditions,  with</w:t>
      </w:r>
    </w:p>
    <w:p>
      <w:pPr>
        <w:spacing w:after="0" w:line="31" w:lineRule="exact"/>
        <w:rPr>
          <w:sz w:val="20"/>
          <w:szCs w:val="20"/>
          <w:color w:val="auto"/>
        </w:rPr>
      </w:pPr>
    </w:p>
    <w:p>
      <w:pPr>
        <w:jc w:val="both"/>
        <w:ind w:left="600" w:right="619" w:firstLine="6"/>
        <w:spacing w:after="0" w:line="257" w:lineRule="auto"/>
        <w:tabs>
          <w:tab w:leader="none" w:pos="842"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200,000 PSUs vesting, with respect to 50,000 PSUs each, upon the first achievement of (i) $30.0 million of GAAP revenue, (ii) $100.0 million or GAAP revenue exceeds the revenue target set by the Board for fiscal year 2023, (iii) $200.0 million or GAAP revenue exceeds the revenue target set by the Board for fiscal year 2024 and (iv) $300.0 million or GAAP revenue exceeds the revenue target set by the Board for fiscal year 2025 in a trailing 12 months during the four-year PSU period; (b) 50,000 PSUs vesting upon the first achievement of the Class A Common Stock closing at a 90-day average closing price on the Nasdaq Global Market of $15.00 or higher; and (c) 50,000 PSUs vesting upon the first achievement of the Class A Common Stock closing at a 90-day average closing price on the Nasdaq Global Market of $20.00 or higher.</w:t>
      </w:r>
    </w:p>
    <w:p>
      <w:pPr>
        <w:spacing w:after="0" w:line="113"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In addition, Mr. Irani was eligible to participate in the standard benefit plans offered to similarly-situated employees by the Company from time to time.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7" w:name="page98"/>
    <w:bookmarkEnd w:id="9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June 2022 CRO Employment Agreement provided for “at will employment,” and specifies certain compensation following termination of employment, including potential severance payments of three months of Mr. Irani’s then current base salary and payment for three months of any COBRA premiums if Mr. Irani’s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09"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Mr. Irani has also entered into the Company’s standard form of confidential information and inventions assignment agreement.</w:t>
      </w:r>
    </w:p>
    <w:p>
      <w:pPr>
        <w:spacing w:after="0" w:line="81" w:lineRule="exact"/>
        <w:rPr>
          <w:sz w:val="20"/>
          <w:szCs w:val="20"/>
          <w:color w:val="auto"/>
        </w:rPr>
      </w:pPr>
    </w:p>
    <w:p>
      <w:pPr>
        <w:jc w:val="center"/>
        <w:ind w:left="2340" w:right="120"/>
        <w:spacing w:after="0" w:line="500" w:lineRule="auto"/>
        <w:rPr>
          <w:sz w:val="20"/>
          <w:szCs w:val="20"/>
          <w:color w:val="auto"/>
        </w:rPr>
      </w:pPr>
      <w:r>
        <w:rPr>
          <w:rFonts w:ascii="Times New Roman" w:cs="Times New Roman" w:eastAsia="Times New Roman" w:hAnsi="Times New Roman"/>
          <w:sz w:val="17"/>
          <w:szCs w:val="17"/>
          <w:color w:val="auto"/>
        </w:rPr>
        <w:t>Mr. Irani’s employment agreement was terminated on February 3, 2023 and Mr. Irani became an advisor.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-133350</wp:posOffset>
            </wp:positionV>
            <wp:extent cx="49510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8" w:name="page99"/>
    <w:bookmarkEnd w:id="9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OUTSTANDING EQUITY AWARDS AT 2022 FISCAL YEAR END</w:t>
      </w:r>
    </w:p>
    <w:p>
      <w:pPr>
        <w:spacing w:after="0" w:line="144"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presents information regarding outstanding equity awards held by the Company’s Named Executive Officers as of December 31, 2022.</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Option Awards</w:t>
      </w:r>
    </w:p>
    <w:p>
      <w:pPr>
        <w:spacing w:after="0" w:line="172" w:lineRule="exact"/>
        <w:rPr>
          <w:sz w:val="20"/>
          <w:szCs w:val="20"/>
          <w:color w:val="auto"/>
        </w:rPr>
      </w:pPr>
    </w:p>
    <w:tbl>
      <w:tblPr>
        <w:tblLayout w:type="fixed"/>
        <w:tblInd w:w="236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vMerge w:val="restart"/>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center"/>
              <w:ind w:left="11"/>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740" w:type="dxa"/>
            <w:vAlign w:val="bottom"/>
            <w:vMerge w:val="continue"/>
          </w:tcPr>
          <w:p>
            <w:pPr>
              <w:spacing w:after="0"/>
              <w:rPr>
                <w:sz w:val="12"/>
                <w:szCs w:val="12"/>
                <w:color w:val="auto"/>
              </w:rPr>
            </w:pPr>
          </w:p>
        </w:tc>
        <w:tc>
          <w:tcPr>
            <w:tcW w:w="780" w:type="dxa"/>
            <w:vAlign w:val="bottom"/>
            <w:vMerge w:val="restart"/>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0" w:type="dxa"/>
            <w:vAlign w:val="bottom"/>
          </w:tcPr>
          <w:p>
            <w:pPr>
              <w:spacing w:after="0"/>
              <w:rPr>
                <w:sz w:val="1"/>
                <w:szCs w:val="1"/>
                <w:color w:val="auto"/>
              </w:rPr>
            </w:pPr>
          </w:p>
        </w:tc>
      </w:tr>
      <w:tr>
        <w:trPr>
          <w:trHeight w:val="143"/>
        </w:trPr>
        <w:tc>
          <w:tcPr>
            <w:tcW w:w="8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Vesting</w:t>
            </w:r>
          </w:p>
        </w:tc>
        <w:tc>
          <w:tcPr>
            <w:tcW w:w="8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7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40" w:type="dxa"/>
            <w:vAlign w:val="bottom"/>
            <w:vMerge w:val="continue"/>
          </w:tcPr>
          <w:p>
            <w:pPr>
              <w:spacing w:after="0"/>
              <w:rPr>
                <w:sz w:val="12"/>
                <w:szCs w:val="12"/>
                <w:color w:val="auto"/>
              </w:rPr>
            </w:pPr>
          </w:p>
        </w:tc>
        <w:tc>
          <w:tcPr>
            <w:tcW w:w="880" w:type="dxa"/>
            <w:vAlign w:val="bottom"/>
          </w:tcPr>
          <w:p>
            <w:pPr>
              <w:jc w:val="center"/>
              <w:ind w:left="11"/>
              <w:spacing w:after="0" w:line="143" w:lineRule="exact"/>
              <w:rPr>
                <w:sz w:val="20"/>
                <w:szCs w:val="20"/>
                <w:color w:val="auto"/>
              </w:rPr>
            </w:pPr>
            <w:r>
              <w:rPr>
                <w:rFonts w:ascii="Times New Roman" w:cs="Times New Roman" w:eastAsia="Times New Roman" w:hAnsi="Times New Roman"/>
                <w:sz w:val="14"/>
                <w:szCs w:val="14"/>
                <w:b w:val="1"/>
                <w:bCs w:val="1"/>
                <w:color w:val="auto"/>
                <w:w w:val="98"/>
              </w:rPr>
              <w:t>Exercisable</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740" w:type="dxa"/>
            <w:vAlign w:val="bottom"/>
          </w:tcPr>
          <w:p>
            <w:pPr>
              <w:jc w:val="center"/>
              <w:ind w:right="11"/>
              <w:spacing w:after="0" w:line="143"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780" w:type="dxa"/>
            <w:vAlign w:val="bottom"/>
          </w:tcPr>
          <w:p>
            <w:pPr>
              <w:jc w:val="center"/>
              <w:ind w:left="71"/>
              <w:spacing w:after="0" w:line="143"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0" w:type="dxa"/>
            <w:vAlign w:val="bottom"/>
          </w:tcPr>
          <w:p>
            <w:pPr>
              <w:spacing w:after="0"/>
              <w:rPr>
                <w:sz w:val="1"/>
                <w:szCs w:val="1"/>
                <w:color w:val="auto"/>
              </w:rPr>
            </w:pPr>
          </w:p>
        </w:tc>
      </w:tr>
      <w:tr>
        <w:trPr>
          <w:trHeight w:val="183"/>
        </w:trPr>
        <w:tc>
          <w:tcPr>
            <w:tcW w:w="800" w:type="dxa"/>
            <w:vAlign w:val="bottom"/>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Start Date</w:t>
            </w:r>
          </w:p>
        </w:tc>
        <w:tc>
          <w:tcPr>
            <w:tcW w:w="880" w:type="dxa"/>
            <w:vAlign w:val="bottom"/>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720" w:type="dxa"/>
            <w:vAlign w:val="bottom"/>
            <w:shd w:val="clear" w:color="auto" w:fill="CCEEFF"/>
          </w:tcPr>
          <w:p>
            <w:pPr>
              <w:spacing w:after="0" w:line="36" w:lineRule="exact"/>
              <w:rPr>
                <w:sz w:val="20"/>
                <w:szCs w:val="20"/>
                <w:color w:val="auto"/>
              </w:rPr>
            </w:pPr>
            <w:r>
              <w:rPr>
                <w:rFonts w:ascii="Times New Roman" w:cs="Times New Roman" w:eastAsia="Times New Roman" w:hAnsi="Times New Roman"/>
                <w:sz w:val="4"/>
                <w:szCs w:val="4"/>
                <w:color w:val="auto"/>
              </w:rPr>
              <w:t>Dr. Keyvan Mohajer,</w:t>
            </w:r>
          </w:p>
        </w:tc>
        <w:tc>
          <w:tcPr>
            <w:tcW w:w="740" w:type="dxa"/>
            <w:vAlign w:val="bottom"/>
            <w:shd w:val="clear" w:color="auto" w:fill="000000"/>
          </w:tcPr>
          <w:p>
            <w:pPr>
              <w:jc w:val="right"/>
              <w:spacing w:after="0" w:line="36" w:lineRule="exact"/>
              <w:rPr>
                <w:sz w:val="20"/>
                <w:szCs w:val="20"/>
                <w:color w:val="auto"/>
              </w:rPr>
            </w:pPr>
            <w:r>
              <w:rPr>
                <w:rFonts w:ascii="Times New Roman" w:cs="Times New Roman" w:eastAsia="Times New Roman" w:hAnsi="Times New Roman"/>
                <w:sz w:val="4"/>
                <w:szCs w:val="4"/>
                <w:color w:val="auto"/>
              </w:rPr>
              <w:t>03/28/2017</w:t>
            </w:r>
          </w:p>
        </w:tc>
        <w:tc>
          <w:tcPr>
            <w:tcW w:w="100" w:type="dxa"/>
            <w:vAlign w:val="bottom"/>
            <w:shd w:val="clear" w:color="auto" w:fill="CCEEFF"/>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000000"/>
          </w:tcPr>
          <w:p>
            <w:pPr>
              <w:jc w:val="right"/>
              <w:spacing w:after="0" w:line="36" w:lineRule="exact"/>
              <w:rPr>
                <w:sz w:val="20"/>
                <w:szCs w:val="20"/>
                <w:color w:val="auto"/>
              </w:rPr>
            </w:pPr>
            <w:r>
              <w:rPr>
                <w:rFonts w:ascii="Times New Roman" w:cs="Times New Roman" w:eastAsia="Times New Roman" w:hAnsi="Times New Roman"/>
                <w:sz w:val="4"/>
                <w:szCs w:val="4"/>
                <w:color w:val="auto"/>
              </w:rPr>
              <w:t>833,435</w:t>
            </w:r>
          </w:p>
        </w:tc>
        <w:tc>
          <w:tcPr>
            <w:tcW w:w="100" w:type="dxa"/>
            <w:vAlign w:val="bottom"/>
            <w:shd w:val="clear" w:color="auto" w:fill="CCEEFF"/>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000000"/>
          </w:tcPr>
          <w:p>
            <w:pPr>
              <w:jc w:val="right"/>
              <w:ind w:right="118"/>
              <w:spacing w:after="0" w:line="36" w:lineRule="exact"/>
              <w:rPr>
                <w:sz w:val="20"/>
                <w:szCs w:val="20"/>
                <w:color w:val="auto"/>
              </w:rPr>
            </w:pPr>
            <w:r>
              <w:rPr>
                <w:rFonts w:ascii="Times New Roman" w:cs="Times New Roman" w:eastAsia="Times New Roman" w:hAnsi="Times New Roman"/>
                <w:sz w:val="4"/>
                <w:szCs w:val="4"/>
                <w:color w:val="auto"/>
              </w:rPr>
              <w:t>$</w:t>
            </w:r>
          </w:p>
        </w:tc>
        <w:tc>
          <w:tcPr>
            <w:tcW w:w="440" w:type="dxa"/>
            <w:vAlign w:val="bottom"/>
            <w:shd w:val="clear" w:color="auto" w:fill="000000"/>
          </w:tcPr>
          <w:p>
            <w:pPr>
              <w:jc w:val="right"/>
              <w:spacing w:after="0" w:line="36" w:lineRule="exact"/>
              <w:rPr>
                <w:sz w:val="20"/>
                <w:szCs w:val="20"/>
                <w:color w:val="auto"/>
              </w:rPr>
            </w:pPr>
            <w:r>
              <w:rPr>
                <w:rFonts w:ascii="Times New Roman" w:cs="Times New Roman" w:eastAsia="Times New Roman" w:hAnsi="Times New Roman"/>
                <w:sz w:val="4"/>
                <w:szCs w:val="4"/>
                <w:color w:val="auto"/>
              </w:rPr>
              <w:t>2.18</w:t>
            </w:r>
          </w:p>
        </w:tc>
        <w:tc>
          <w:tcPr>
            <w:tcW w:w="80" w:type="dxa"/>
            <w:vAlign w:val="bottom"/>
            <w:shd w:val="clear" w:color="auto" w:fill="CCEEFF"/>
          </w:tcPr>
          <w:p>
            <w:pPr>
              <w:spacing w:after="0"/>
              <w:rPr>
                <w:sz w:val="3"/>
                <w:szCs w:val="3"/>
                <w:color w:val="auto"/>
              </w:rPr>
            </w:pPr>
          </w:p>
        </w:tc>
        <w:tc>
          <w:tcPr>
            <w:tcW w:w="880" w:type="dxa"/>
            <w:vAlign w:val="bottom"/>
            <w:shd w:val="clear" w:color="auto" w:fill="000000"/>
          </w:tcPr>
          <w:p>
            <w:pPr>
              <w:jc w:val="right"/>
              <w:ind w:right="21"/>
              <w:spacing w:after="0" w:line="36" w:lineRule="exact"/>
              <w:rPr>
                <w:sz w:val="20"/>
                <w:szCs w:val="20"/>
                <w:color w:val="auto"/>
              </w:rPr>
            </w:pPr>
            <w:r>
              <w:rPr>
                <w:rFonts w:ascii="Times New Roman" w:cs="Times New Roman" w:eastAsia="Times New Roman" w:hAnsi="Times New Roman"/>
                <w:sz w:val="4"/>
                <w:szCs w:val="4"/>
                <w:color w:val="auto"/>
              </w:rPr>
              <w:t>03/28/2027</w:t>
            </w:r>
          </w:p>
        </w:tc>
      </w:tr>
      <w:tr>
        <w:trPr>
          <w:trHeight w:val="135"/>
        </w:trPr>
        <w:tc>
          <w:tcPr>
            <w:tcW w:w="20" w:type="dxa"/>
            <w:vAlign w:val="bottom"/>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261"/>
        </w:trPr>
        <w:tc>
          <w:tcPr>
            <w:tcW w:w="20" w:type="dxa"/>
            <w:vAlign w:val="bottom"/>
          </w:tcPr>
          <w:p>
            <w:pPr>
              <w:spacing w:after="0"/>
              <w:rPr>
                <w:sz w:val="22"/>
                <w:szCs w:val="22"/>
                <w:color w:val="auto"/>
              </w:rPr>
            </w:pPr>
          </w:p>
        </w:tc>
        <w:tc>
          <w:tcPr>
            <w:tcW w:w="1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CEO</w:t>
            </w: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73"/>
        </w:trPr>
        <w:tc>
          <w:tcPr>
            <w:tcW w:w="20" w:type="dxa"/>
            <w:vAlign w:val="bottom"/>
          </w:tcPr>
          <w:p>
            <w:pPr>
              <w:spacing w:after="0"/>
              <w:rPr>
                <w:sz w:val="23"/>
                <w:szCs w:val="23"/>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Nitesh Sharan, CFO</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09/27/2021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09/15/2021</w:t>
            </w:r>
            <w:r>
              <w:rPr>
                <w:rFonts w:ascii="Times New Roman" w:cs="Times New Roman" w:eastAsia="Times New Roman" w:hAnsi="Times New Roman"/>
                <w:sz w:val="20"/>
                <w:szCs w:val="20"/>
                <w:color w:val="auto"/>
                <w:vertAlign w:val="superscript"/>
              </w:rPr>
              <w:t>(2)</w:t>
            </w:r>
          </w:p>
        </w:tc>
        <w:tc>
          <w:tcPr>
            <w:tcW w:w="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96,460</w:t>
            </w: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212,217</w:t>
            </w:r>
          </w:p>
        </w:tc>
        <w:tc>
          <w:tcPr>
            <w:tcW w:w="80" w:type="dxa"/>
            <w:vAlign w:val="bottom"/>
          </w:tcPr>
          <w:p>
            <w:pPr>
              <w:spacing w:after="0"/>
              <w:rPr>
                <w:sz w:val="23"/>
                <w:szCs w:val="23"/>
                <w:color w:val="auto"/>
              </w:rPr>
            </w:pPr>
          </w:p>
        </w:tc>
        <w:tc>
          <w:tcPr>
            <w:tcW w:w="1140" w:type="dxa"/>
            <w:vAlign w:val="bottom"/>
            <w:gridSpan w:val="3"/>
          </w:tcPr>
          <w:p>
            <w:pPr>
              <w:jc w:val="right"/>
              <w:ind w:right="118"/>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8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09/27/2031</w:t>
            </w:r>
          </w:p>
        </w:tc>
      </w:tr>
      <w:tr>
        <w:trPr>
          <w:trHeight w:val="273"/>
        </w:trPr>
        <w:tc>
          <w:tcPr>
            <w:tcW w:w="20" w:type="dxa"/>
            <w:vAlign w:val="bottom"/>
          </w:tcPr>
          <w:p>
            <w:pPr>
              <w:spacing w:after="0"/>
              <w:rPr>
                <w:sz w:val="23"/>
                <w:szCs w:val="23"/>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Zubin Irani, CRO</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09/27/2021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09/15/2021</w:t>
            </w:r>
            <w:r>
              <w:rPr>
                <w:rFonts w:ascii="Times New Roman" w:cs="Times New Roman" w:eastAsia="Times New Roman" w:hAnsi="Times New Roman"/>
                <w:sz w:val="20"/>
                <w:szCs w:val="20"/>
                <w:color w:val="auto"/>
                <w:vertAlign w:val="superscript"/>
              </w:rPr>
              <w:t>(2)</w:t>
            </w: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64,310</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141,477</w:t>
            </w:r>
          </w:p>
        </w:tc>
        <w:tc>
          <w:tcPr>
            <w:tcW w:w="8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09/27/2031</w:t>
            </w:r>
          </w:p>
        </w:tc>
      </w:tr>
      <w:tr>
        <w:trPr>
          <w:trHeight w:val="241"/>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70" w:lineRule="exact"/>
        <w:rPr>
          <w:sz w:val="20"/>
          <w:szCs w:val="20"/>
          <w:color w:val="auto"/>
        </w:rPr>
      </w:pPr>
    </w:p>
    <w:p>
      <w:pPr>
        <w:ind w:left="1020" w:hanging="414"/>
        <w:spacing w:after="0"/>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award was fully vested from the grant date.</w:t>
      </w:r>
    </w:p>
    <w:p>
      <w:pPr>
        <w:spacing w:after="0" w:line="18" w:lineRule="exact"/>
        <w:rPr>
          <w:rFonts w:ascii="Times New Roman" w:cs="Times New Roman" w:eastAsia="Times New Roman" w:hAnsi="Times New Roman"/>
          <w:sz w:val="16"/>
          <w:szCs w:val="16"/>
          <w:color w:val="auto"/>
        </w:rPr>
      </w:pPr>
    </w:p>
    <w:p>
      <w:pPr>
        <w:ind w:left="1020" w:right="619" w:hanging="414"/>
        <w:spacing w:after="0" w:line="280" w:lineRule="auto"/>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award has a four-year vesting schedule, with 25% of the award vesting 12 months after Vesting Start Date and 3/48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award vesting each quarter thereafter.</w:t>
      </w:r>
    </w:p>
    <w:p>
      <w:pPr>
        <w:spacing w:after="0" w:line="1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Restricted Stock Awards</w:t>
      </w:r>
    </w:p>
    <w:p>
      <w:pPr>
        <w:spacing w:after="0" w:line="199"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Equity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incentive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Equity</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plan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incentive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2"/>
              </w:rPr>
              <w:t>plan</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Market or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payout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value of</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Market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unearned</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unearned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shares, units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shares of</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or</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units or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or units of</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units of</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other rights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other rights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stock</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stock that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that</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that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that have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have not</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have not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Grant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not</w:t>
            </w:r>
          </w:p>
        </w:tc>
        <w:tc>
          <w:tcPr>
            <w:tcW w:w="1000" w:type="dxa"/>
            <w:vAlign w:val="bottom"/>
            <w:gridSpan w:val="2"/>
          </w:tcPr>
          <w:p>
            <w:pPr>
              <w:jc w:val="center"/>
              <w:ind w:right="120"/>
              <w:spacing w:after="0" w:line="195" w:lineRule="exact"/>
              <w:rPr>
                <w:sz w:val="20"/>
                <w:szCs w:val="20"/>
                <w:color w:val="auto"/>
              </w:rPr>
            </w:pPr>
            <w:r>
              <w:rPr>
                <w:rFonts w:ascii="Times New Roman" w:cs="Times New Roman" w:eastAsia="Times New Roman" w:hAnsi="Times New Roman"/>
                <w:sz w:val="16"/>
                <w:szCs w:val="16"/>
                <w:b w:val="1"/>
                <w:bCs w:val="1"/>
                <w:color w:val="auto"/>
                <w:w w:val="91"/>
              </w:rPr>
              <w:t>vested</w:t>
            </w:r>
            <w:r>
              <w:rPr>
                <w:rFonts w:ascii="Times New Roman" w:cs="Times New Roman" w:eastAsia="Times New Roman" w:hAnsi="Times New Roman"/>
                <w:sz w:val="18"/>
                <w:szCs w:val="18"/>
                <w:b w:val="1"/>
                <w:bCs w:val="1"/>
                <w:color w:val="auto"/>
                <w:w w:val="91"/>
                <w:vertAlign w:val="superscript"/>
              </w:rPr>
              <w:t>(1)</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vested</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vested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3"/>
              </w:rPr>
              <w:t>Date</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vested(#)</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205"/>
        </w:trPr>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(a)</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1"/>
              </w:rPr>
              <w:t>(b)</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1"/>
              </w:rPr>
              <w:t>(d)</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89"/>
              </w:rPr>
              <w:t>(e)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Dr. Keyvan Mohajer, CEO</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6/2/2022</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615,000</w:t>
            </w:r>
            <w:r>
              <w:rPr>
                <w:rFonts w:ascii="Times New Roman" w:cs="Times New Roman" w:eastAsia="Times New Roman" w:hAnsi="Times New Roman"/>
                <w:sz w:val="20"/>
                <w:szCs w:val="20"/>
                <w:color w:val="auto"/>
                <w:vertAlign w:val="superscript"/>
              </w:rPr>
              <w:t>(2)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1,088,550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6/2/2022</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1"/>
                <w:szCs w:val="11"/>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9/7/2022</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r>
              <w:rPr>
                <w:rFonts w:ascii="Times New Roman" w:cs="Times New Roman" w:eastAsia="Times New Roman" w:hAnsi="Times New Roman"/>
                <w:sz w:val="20"/>
                <w:szCs w:val="20"/>
                <w:color w:val="auto"/>
                <w:vertAlign w:val="superscript"/>
              </w:rPr>
              <w:t>(4)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708,000</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3"/>
        </w:trPr>
        <w:tc>
          <w:tcPr>
            <w:tcW w:w="20" w:type="dxa"/>
            <w:vAlign w:val="bottom"/>
            <w:vMerge w:val="restart"/>
          </w:tcPr>
          <w:p>
            <w:pPr>
              <w:spacing w:after="0"/>
              <w:rPr>
                <w:sz w:val="23"/>
                <w:szCs w:val="23"/>
                <w:color w:val="auto"/>
              </w:rPr>
            </w:pPr>
          </w:p>
        </w:tc>
        <w:tc>
          <w:tcPr>
            <w:tcW w:w="2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vMerge w:val="continue"/>
          </w:tcPr>
          <w:p>
            <w:pPr>
              <w:spacing w:after="0"/>
              <w:rPr>
                <w:sz w:val="23"/>
                <w:szCs w:val="23"/>
                <w:color w:val="auto"/>
              </w:rPr>
            </w:pP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Nitesh Sharan, CFO</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6/2/2022</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206,250</w:t>
            </w:r>
            <w:r>
              <w:rPr>
                <w:rFonts w:ascii="Times New Roman" w:cs="Times New Roman" w:eastAsia="Times New Roman" w:hAnsi="Times New Roman"/>
                <w:sz w:val="20"/>
                <w:szCs w:val="20"/>
                <w:color w:val="auto"/>
                <w:vertAlign w:val="superscript"/>
              </w:rPr>
              <w:t>(2)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365,063</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6/2/2022</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1"/>
                <w:szCs w:val="11"/>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9/7/2022</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r>
              <w:rPr>
                <w:rFonts w:ascii="Times New Roman" w:cs="Times New Roman" w:eastAsia="Times New Roman" w:hAnsi="Times New Roman"/>
                <w:sz w:val="20"/>
                <w:szCs w:val="20"/>
                <w:color w:val="auto"/>
                <w:vertAlign w:val="superscript"/>
              </w:rPr>
              <w:t>(4)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354,000</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3"/>
        </w:trPr>
        <w:tc>
          <w:tcPr>
            <w:tcW w:w="20" w:type="dxa"/>
            <w:vAlign w:val="bottom"/>
            <w:vMerge w:val="restart"/>
          </w:tcPr>
          <w:p>
            <w:pPr>
              <w:spacing w:after="0"/>
              <w:rPr>
                <w:sz w:val="23"/>
                <w:szCs w:val="23"/>
                <w:color w:val="auto"/>
              </w:rPr>
            </w:pPr>
          </w:p>
        </w:tc>
        <w:tc>
          <w:tcPr>
            <w:tcW w:w="2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vMerge w:val="continue"/>
          </w:tcPr>
          <w:p>
            <w:pPr>
              <w:spacing w:after="0"/>
              <w:rPr>
                <w:sz w:val="23"/>
                <w:szCs w:val="23"/>
                <w:color w:val="auto"/>
              </w:rPr>
            </w:pP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Zubin Irani, CRO</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6/2/2022</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206,250</w:t>
            </w:r>
            <w:r>
              <w:rPr>
                <w:rFonts w:ascii="Times New Roman" w:cs="Times New Roman" w:eastAsia="Times New Roman" w:hAnsi="Times New Roman"/>
                <w:sz w:val="20"/>
                <w:szCs w:val="20"/>
                <w:color w:val="auto"/>
                <w:vertAlign w:val="superscript"/>
              </w:rPr>
              <w:t>(2)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365,063</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6/2/2022</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1"/>
                <w:szCs w:val="11"/>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9/7/2022</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r>
              <w:rPr>
                <w:rFonts w:ascii="Times New Roman" w:cs="Times New Roman" w:eastAsia="Times New Roman" w:hAnsi="Times New Roman"/>
                <w:sz w:val="20"/>
                <w:szCs w:val="20"/>
                <w:color w:val="auto"/>
                <w:vertAlign w:val="superscript"/>
              </w:rPr>
              <w:t>(4)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354,000</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____________</w:t>
      </w:r>
    </w:p>
    <w:p>
      <w:pPr>
        <w:spacing w:after="0" w:line="89" w:lineRule="exact"/>
        <w:rPr>
          <w:sz w:val="20"/>
          <w:szCs w:val="20"/>
          <w:color w:val="auto"/>
        </w:rPr>
      </w:pPr>
    </w:p>
    <w:p>
      <w:pPr>
        <w:ind w:left="1020" w:right="619" w:hanging="414"/>
        <w:spacing w:after="0" w:line="259" w:lineRule="auto"/>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shown in columns (d) and (f) are determined by multiplying the number of shares or units shown in column (c) or (e), as applicable, by $1.77, the closing price of our common stock on December 31, 2022.</w:t>
      </w:r>
    </w:p>
    <w:p>
      <w:pPr>
        <w:ind w:left="1020" w:right="619" w:hanging="414"/>
        <w:spacing w:after="0" w:line="239" w:lineRule="auto"/>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restricted stock award has a four-year vesting schedule, with 1/16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award vesting each quarter after the vesting commencement date.</w:t>
      </w:r>
    </w:p>
    <w:p>
      <w:pPr>
        <w:ind w:left="1020" w:hanging="414"/>
        <w:spacing w:after="0"/>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PSUs with performance goals not currently expected to be achieved.</w:t>
      </w:r>
    </w:p>
    <w:p>
      <w:pPr>
        <w:spacing w:after="0" w:line="10" w:lineRule="exact"/>
        <w:rPr>
          <w:rFonts w:ascii="Times New Roman" w:cs="Times New Roman" w:eastAsia="Times New Roman" w:hAnsi="Times New Roman"/>
          <w:sz w:val="16"/>
          <w:szCs w:val="16"/>
          <w:color w:val="auto"/>
        </w:rPr>
      </w:pPr>
    </w:p>
    <w:p>
      <w:pPr>
        <w:ind w:left="1020" w:right="619" w:hanging="414"/>
        <w:spacing w:after="0" w:line="239" w:lineRule="auto"/>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restricted stock award has a three-year vesting schedule, with 1/36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award vesting each month after the vesting commencement date.</w:t>
      </w:r>
    </w:p>
    <w:p>
      <w:pPr>
        <w:sectPr>
          <w:pgSz w:w="11900" w:h="16838" w:orient="portrait"/>
          <w:cols w:equalWidth="0" w:num="1">
            <w:col w:w="9019"/>
          </w:cols>
          <w:pgMar w:left="1440" w:top="264"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99" w:name="page100"/>
    <w:bookmarkEnd w:id="9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4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June 2, 2022, our Board adopted and approved a director compensation policy, which provides to each of the non-employee directors (i) an annual retainer of $32,000, payable quarterly (ii) additional annual cash retainers, payable quarterly, for committee service as follows: (A) Chair of the Audit Committee: $20,000;</w:t>
      </w:r>
    </w:p>
    <w:p>
      <w:pPr>
        <w:spacing w:after="0" w:line="2" w:lineRule="exact"/>
        <w:rPr>
          <w:sz w:val="20"/>
          <w:szCs w:val="20"/>
          <w:color w:val="auto"/>
        </w:rPr>
      </w:pPr>
    </w:p>
    <w:p>
      <w:pPr>
        <w:ind w:left="940" w:hanging="334"/>
        <w:spacing w:after="0"/>
        <w:tabs>
          <w:tab w:leader="none" w:pos="9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Audit Committee: $10,000; (C) Chair of the Compensation Committee: $14,500;</w:t>
      </w:r>
    </w:p>
    <w:p>
      <w:pPr>
        <w:spacing w:after="0" w:line="12" w:lineRule="exact"/>
        <w:rPr>
          <w:rFonts w:ascii="Times New Roman" w:cs="Times New Roman" w:eastAsia="Times New Roman" w:hAnsi="Times New Roman"/>
          <w:sz w:val="17"/>
          <w:szCs w:val="17"/>
          <w:color w:val="auto"/>
        </w:rPr>
      </w:pPr>
    </w:p>
    <w:p>
      <w:pPr>
        <w:jc w:val="both"/>
        <w:ind w:left="600" w:right="619" w:firstLine="6"/>
        <w:spacing w:after="0" w:line="257" w:lineRule="auto"/>
        <w:tabs>
          <w:tab w:leader="none" w:pos="89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Compensation Committee: $7,300; (E) Chair of the Nominating and Corporate Governance Committee: $7,500; and (F) member of the Nominating and Corporate Governance Committee: $3,800; (iii) an initial grant of restricted stock units having a grant day value of $380,000, although a director may elect to receive half of the initial grant in nonqualified stock options, which initial grant shall vest over three years; (iv) an annual grant of restricted stock units having a grant day value of $165,000, which shall vest over four quarters; and (iv) travel expense reimbursement. In the event of a Change in Control (as defined in the Incentive Award Plan), any then-unvested initial grant or annual RSU grant will fully vest (and become exercisable, in the case of an option) as of immediately prior to the effective time of such transaction, subject to the outside director’s continuous board service through the effective date of such transaction.</w:t>
      </w:r>
    </w:p>
    <w:p>
      <w:pPr>
        <w:spacing w:after="0" w:line="112"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sets forth information regarding compensation earned by our non-employee directors for the year ended December 31, 2022.</w:t>
      </w:r>
    </w:p>
    <w:p>
      <w:pPr>
        <w:spacing w:after="0" w:line="110"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Fees earned</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or paid in</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Option</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All other</w:t>
            </w:r>
          </w:p>
        </w:tc>
        <w:tc>
          <w:tcPr>
            <w:tcW w:w="98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cash</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awards</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980" w:type="dxa"/>
            <w:vAlign w:val="bottom"/>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5"/>
        </w:trPr>
        <w:tc>
          <w:tcPr>
            <w:tcW w:w="30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7"/>
                <w:szCs w:val="17"/>
                <w:color w:val="auto"/>
              </w:rPr>
            </w:pPr>
          </w:p>
        </w:tc>
        <w:tc>
          <w:tcPr>
            <w:tcW w:w="980" w:type="dxa"/>
            <w:vAlign w:val="bottom"/>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5"/>
        </w:trPr>
        <w:tc>
          <w:tcPr>
            <w:tcW w:w="2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8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Eric Ball</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592,325</w:t>
            </w:r>
          </w:p>
        </w:tc>
      </w:tr>
      <w:tr>
        <w:trPr>
          <w:trHeight w:val="234"/>
        </w:trPr>
        <w:tc>
          <w:tcPr>
            <w:tcW w:w="3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Larry Marcus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545,000</w:t>
            </w:r>
          </w:p>
        </w:tc>
        <w:tc>
          <w:tcPr>
            <w:tcW w:w="1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593,000</w:t>
            </w:r>
          </w:p>
        </w:tc>
      </w:tr>
      <w:tr>
        <w:trPr>
          <w:trHeight w:val="39"/>
        </w:trPr>
        <w:tc>
          <w:tcPr>
            <w:tcW w:w="2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Diana Sroka</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355,000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190,000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576,500</w:t>
            </w:r>
          </w:p>
        </w:tc>
      </w:tr>
      <w:tr>
        <w:trPr>
          <w:trHeight w:val="390"/>
        </w:trPr>
        <w:tc>
          <w:tcPr>
            <w:tcW w:w="2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97</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00" w:name="page101"/>
    <w:bookmarkEnd w:id="10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b w:val="1"/>
          <w:bCs w:val="1"/>
          <w:color w:val="auto"/>
        </w:rPr>
        <w:t>EXECUTIVE COMPENSATION ARRANGEMENTS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2022 Incentive Award Plan</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Board adopted, and stockholders approved, the SoundHound AI, Inc. 2022 Incentive Award Plan (the “2022 Incentive Award Plan”), in order to facilitate the grant of equity awards to attract, retain and incentivize employees (including the named executive officers), independent contractors and directors of the Company and its affiliates, which is essential to the Company’s long term success.</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purpose of the 2022 Incentive Award Plan is to enhance our ability to attract, retain and motivate persons who make (or are expected to make) important contributions by providing these individuals with equity ownership opportunities and/or equity-linked compensatory opportunities.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Summary of the 2022 Incentive Award Plan</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This section summarizes certain principal features of the 2022 Incentive Award Plan.</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Board adopted, and stockholders approved, the 2022 Incentive Award Plan. The Company is authorized to grant equity awards to eligible service providers following consummation of the Business Combination (the “Business Combination Date”).</w:t>
      </w:r>
    </w:p>
    <w:p>
      <w:pPr>
        <w:spacing w:after="0" w:line="97" w:lineRule="exact"/>
        <w:rPr>
          <w:sz w:val="20"/>
          <w:szCs w:val="20"/>
          <w:color w:val="auto"/>
        </w:rPr>
      </w:pPr>
    </w:p>
    <w:p>
      <w:pPr>
        <w:ind w:left="1420" w:hanging="398"/>
        <w:spacing w:after="0"/>
        <w:tabs>
          <w:tab w:leader="none" w:pos="14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Purpose of the 2022 Incentive Award Plan Proposal</w:t>
      </w:r>
    </w:p>
    <w:p>
      <w:pPr>
        <w:spacing w:after="0" w:line="15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purpose of the 2022 Incentive Award Plan is to promote the long-term success of the Company and the creation of shareholder value by encouraging service providers to focus on critical long-range corporate objectives and linking service providers directly to shareholder interests through increased stock ownership. The Company believes that the 2022 Incentive Award Plan will be important in helping to attract and retain service providers of the Company with exceptional qualifications.</w:t>
      </w:r>
    </w:p>
    <w:p>
      <w:pPr>
        <w:spacing w:after="0" w:line="94" w:lineRule="exact"/>
        <w:rPr>
          <w:sz w:val="20"/>
          <w:szCs w:val="20"/>
          <w:color w:val="auto"/>
        </w:rPr>
      </w:pPr>
    </w:p>
    <w:p>
      <w:pPr>
        <w:ind w:left="1420" w:hanging="398"/>
        <w:spacing w:after="0"/>
        <w:tabs>
          <w:tab w:leader="none" w:pos="14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Reasons for the Approval of the 2022 Incentive Award Plan Proposal</w:t>
      </w:r>
    </w:p>
    <w:p>
      <w:pPr>
        <w:spacing w:after="0" w:line="15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Shareholder approval of the 2022 Incentive Award Plan is necessary in order for the Company to (a) meet the shareholder approval requirements of the Nasdaq and (b) grant incentive stock options (“ISOs”). Shareholders are also being asked to approve an annual limitation on 2022 Incentive Award Plan awards granted to non-employee directors as part of their compensation for their services as directors.</w:t>
      </w:r>
    </w:p>
    <w:p>
      <w:pPr>
        <w:spacing w:after="0" w:line="105" w:lineRule="exact"/>
        <w:rPr>
          <w:sz w:val="20"/>
          <w:szCs w:val="20"/>
          <w:color w:val="auto"/>
        </w:rPr>
      </w:pPr>
    </w:p>
    <w:p>
      <w:pPr>
        <w:ind w:left="1420" w:hanging="398"/>
        <w:spacing w:after="0"/>
        <w:tabs>
          <w:tab w:leader="none" w:pos="14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Terms of the Incentive Award Plan</w:t>
      </w:r>
    </w:p>
    <w:p>
      <w:pPr>
        <w:spacing w:after="0" w:line="142"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material terms of the 2022 Incentive Award Plan are summarized below. This summary, however, is not intended to be a complete description of the2022 Incentive Award Plan and is qualified in its entirety by reference to the complete text of the 2022 Incentive Award Plan. To the extent there is a conflict between the terms of this summary and the 2022 Incentive Award Plan, the terms of the 2022 Incentive Award Plan will control.</w:t>
      </w:r>
    </w:p>
    <w:p>
      <w:pPr>
        <w:spacing w:after="0" w:line="10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2022 Incentive Award Plan is administered by the Company’s Board or by one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more committees to which the Board delegates such administration (as applicable, the “2022 Incentive Award Plan Administrator”). Subject to the terms of the 2022 Incentive Award Plan, the 2022 Incentive Award Plan Administrator has the authority to (a) determine the eligible individuals who are to receive awards under the 2022 Incentive Award Plan, (b) determine the terms and conditions of awards granted under the 2022 Incentive Award Plan, (c) determine performance criteria and the achievement of such criteria, (d) accelerate the vesting or exercisability of, payment for or lapse of restrictions on, awards and (e) make all other decisions related to the 2022 Incentive Award Plan and awards granted thereunder. The 2022 Incentive Award Plan Administrator may also delegate to one or more senior officers of the Company the authority to grant awards, subject to terms and conditions determined by the 2022 Incentive Award Plan Administrator and within the limitations of Section 16 of the Exchange Act.</w:t>
      </w:r>
    </w:p>
    <w:p>
      <w:pPr>
        <w:spacing w:after="0" w:line="109" w:lineRule="exact"/>
        <w:rPr>
          <w:sz w:val="20"/>
          <w:szCs w:val="20"/>
          <w:color w:val="auto"/>
        </w:rPr>
      </w:pPr>
    </w:p>
    <w:p>
      <w:pPr>
        <w:jc w:val="both"/>
        <w:ind w:left="600" w:right="619" w:firstLine="41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Types of Awards. </w:t>
      </w:r>
      <w:r>
        <w:rPr>
          <w:rFonts w:ascii="Times New Roman" w:cs="Times New Roman" w:eastAsia="Times New Roman" w:hAnsi="Times New Roman"/>
          <w:sz w:val="17"/>
          <w:szCs w:val="17"/>
          <w:color w:val="auto"/>
        </w:rPr>
        <w:t>The 2022 Incentive Award Plan provides for the grant of stock options, which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ISOs or nonstatutory stock options (“NSOs”), stock appreciation rights (“SARs”), restricted shares, restricted stock units (“RSUs”) and other stock or cash-based awards that the 2022 Incentive Award Plan Administrator determines are consistent with the purpose of the Incentive Award Plan and the interests of the Company, or collectively, awards.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1" w:name="page102"/>
    <w:bookmarkEnd w:id="10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Share Reserve. </w:t>
      </w:r>
      <w:r>
        <w:rPr>
          <w:rFonts w:ascii="Times New Roman" w:cs="Times New Roman" w:eastAsia="Times New Roman" w:hAnsi="Times New Roman"/>
          <w:sz w:val="17"/>
          <w:szCs w:val="17"/>
          <w:color w:val="auto"/>
        </w:rPr>
        <w:t>The number of shares of the Company’s Class A Common Stock that may be issued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the 2022 Incentive Award Plan is equal to the sum of (x) 19,650,371 shares plus (y) the annual increase in shares described below. As of December 31, 2022, the Company may issue up to 19,650,371 shares of Class A Common Stock the exercise of ISOs under the 2022 Incentive Award Plan. On the first day of each calendar year during the term of the 2022 Incentive Award Plan, beginning on January 1, 2023 and continuing until (and including) January 1, 2032, the number of shares available under the Incentive Award Plan will automatically increase by a number equal to the lesser of (a) five percent (5%) of the total number of shares of the Company’s Class A Common Stock issued and outstanding shares on December 31 of the calendar year immediately preceding the date of such increase and (b) a number of shares of the Company’s Class A Common Stock determined by the Company’s Board.</w:t>
      </w:r>
    </w:p>
    <w:p>
      <w:pPr>
        <w:spacing w:after="0" w:line="11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If options, stock appreciation rights, restricted stock units or any other awards are forfeited, cancelled or expire before being exercised or settled in full, the shares subject to such awards will again be available for issuance under the 2022 Incentive Award Plan. If stock appreciation rights are exercised or restricted stock units are settled, only the number of shares actually issued upon exercise or settlement of such awards will reduce the number of shares available under the 2022 Incentive Award Plan. If restricted shares or shares issued upon exercise of an option are reacquired by the Company pursuant to a forfeiture provision, repurchase right or for any other reason, then such shares will again be available for issuance under the 2022 Incentive Award Plan. Shares applied to pay the exercise price of an option or satisfy withholding taxes related to any award will again become available for issuance under the 2022 Incentive Award Plan. To the extent an award is settled in cash, the cash settlement will not reduce the number of shares available for issuance under the 2022 Incentive Award Plan.</w:t>
      </w:r>
    </w:p>
    <w:p>
      <w:pPr>
        <w:spacing w:after="0" w:line="32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Shares issued under the 2022 Incentive Award Plan may be authorized but unissued shares or treasury shares. As of December 31, 2022, there were awards for an aggregate of 16,397,966 shares of Class A Common Stock granted under the 2022 Incentive Award Plan.</w:t>
      </w:r>
    </w:p>
    <w:p>
      <w:pPr>
        <w:spacing w:after="0" w:line="8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Annual Limitation on Compensation of Non-Employee Directors. </w:t>
      </w:r>
      <w:r>
        <w:rPr>
          <w:rFonts w:ascii="Times New Roman" w:cs="Times New Roman" w:eastAsia="Times New Roman" w:hAnsi="Times New Roman"/>
          <w:sz w:val="17"/>
          <w:szCs w:val="17"/>
          <w:color w:val="auto"/>
        </w:rPr>
        <w:t>The grant date fair value of awards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granted to each non-employee director during any fiscal year of the Company may not exceed $500,000 (on a per-director basis). This limit is increased to $750,000 in the fiscal year a non-employee director is initially appointed or elected to the Company’s Board. The Company’s Board may make exceptions to such limit for a non-employee chairperson or, in extraordinary circumstances, for other non-employee directors, provided the non-employee director receiving such additional compensation does not participate in the decision to award such compensation. Compensation paid to an individual for services as an employee or consultant and awards granted in lieu of cash retainers or other fees will not count towards these limitations.</w:t>
      </w:r>
    </w:p>
    <w:p>
      <w:pPr>
        <w:spacing w:after="0" w:line="106"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Eligibility. </w:t>
      </w:r>
      <w:r>
        <w:rPr>
          <w:rFonts w:ascii="Times New Roman" w:cs="Times New Roman" w:eastAsia="Times New Roman" w:hAnsi="Times New Roman"/>
          <w:sz w:val="17"/>
          <w:szCs w:val="17"/>
          <w:color w:val="auto"/>
        </w:rPr>
        <w:t>Employees (including officers), non-employee directors and consultants who render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Company or a parent thereof (whether now existing or subsequently established) are eligible to receive awards under the 2022 Incentive Award Plan. ISOs may only be granted to employees of the Company or a parent or subsidiary thereof (whether now existing or subsequently established). As of December 31, 2022, 436 employees, including seven executive officers (two of whom are employee directors), three non-employee directors, and two consultants are eligible to participate in the 2022 Incentive Award Plan. See “</w:t>
      </w:r>
      <w:r>
        <w:rPr>
          <w:rFonts w:ascii="Times New Roman" w:cs="Times New Roman" w:eastAsia="Times New Roman" w:hAnsi="Times New Roman"/>
          <w:sz w:val="17"/>
          <w:szCs w:val="17"/>
          <w:i w:val="1"/>
          <w:iCs w:val="1"/>
          <w:color w:val="auto"/>
        </w:rPr>
        <w:t>Business-Employees</w:t>
      </w:r>
      <w:r>
        <w:rPr>
          <w:rFonts w:ascii="Times New Roman" w:cs="Times New Roman" w:eastAsia="Times New Roman" w:hAnsi="Times New Roman"/>
          <w:sz w:val="17"/>
          <w:szCs w:val="17"/>
          <w:color w:val="auto"/>
        </w:rPr>
        <w:t>” for further discussion relating to our reduction of workforce that was implemented in January 2023.</w:t>
      </w:r>
    </w:p>
    <w:p>
      <w:pPr>
        <w:spacing w:after="0" w:line="318"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International Participation. </w:t>
      </w:r>
      <w:r>
        <w:rPr>
          <w:rFonts w:ascii="Times New Roman" w:cs="Times New Roman" w:eastAsia="Times New Roman" w:hAnsi="Times New Roman"/>
          <w:sz w:val="17"/>
          <w:szCs w:val="17"/>
          <w:color w:val="auto"/>
        </w:rPr>
        <w:t>The 2022 Incentive Award Plan Administrator has the authority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implement sub-plans (or otherwise modify applicable grant terms) for purposes of satisfying applicable foreign laws, conforming to applicable market practices or for qualifying for favorable tax treatment under applicable foreign laws, and the terms and conditions applicable to awards granted under any such sub-plan or modified award may differ from the terms of the 2022 Incentive Award Plan. Any shares issued in satisfaction of awards granted under a sub-plan will come from the 2022 Incentive Award Plan share reserve.</w:t>
      </w:r>
    </w:p>
    <w:p>
      <w:pPr>
        <w:spacing w:after="0" w:line="92"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Repricing. </w:t>
      </w:r>
      <w:r>
        <w:rPr>
          <w:rFonts w:ascii="Times New Roman" w:cs="Times New Roman" w:eastAsia="Times New Roman" w:hAnsi="Times New Roman"/>
          <w:sz w:val="17"/>
          <w:szCs w:val="17"/>
          <w:color w:val="auto"/>
        </w:rPr>
        <w:t>The 2022 Incentive Award Plan Administrator has full authority to reprice (reduce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exercise price of) options and stock appreciation rights or to approve programs in which options and stock appreciation rights are exchanged for cash or other equity awards on terms the 2022 Incentive Award Plan Administrator determines.</w:t>
      </w:r>
    </w:p>
    <w:p>
      <w:pPr>
        <w:spacing w:after="0" w:line="101"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Stock Options. </w:t>
      </w:r>
      <w:r>
        <w:rPr>
          <w:rFonts w:ascii="Times New Roman" w:cs="Times New Roman" w:eastAsia="Times New Roman" w:hAnsi="Times New Roman"/>
          <w:sz w:val="17"/>
          <w:szCs w:val="17"/>
          <w:color w:val="auto"/>
        </w:rPr>
        <w:t>A stock option is the right to purchase a certain number of shares of Class A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at a fixed exercise price which, pursuant to the 2022 Incentive Award Plan, may not be less than 100% of the fair market value of the Company’s Class A Common Stock on the date of grant. Subject to limited exceptions, an option may have a term of up to 10 years and will generally expire sooner if the optionee’s service terminates. Options will vest at the rate determined by the 2022 Incentive Award Plan Administrator. An optionee may pay the exercise price of an option</w:t>
      </w:r>
    </w:p>
    <w:p>
      <w:pPr>
        <w:sectPr>
          <w:pgSz w:w="11900" w:h="16838" w:orient="portrait"/>
          <w:cols w:equalWidth="0" w:num="1">
            <w:col w:w="9019"/>
          </w:cols>
          <w:pgMar w:left="1440" w:top="264" w:right="1440"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02" w:name="page103"/>
    <w:bookmarkEnd w:id="10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in cash, or, with the consent of the 2022 Incentive Award Plan Administrator, with shares of Class A Common Stock the optionee already owns, with proceeds from an immediate sale of the option shares through a broker approved by us, through a net exercise procedure or by any other method permitted by applicable law.</w:t>
      </w:r>
    </w:p>
    <w:p>
      <w:pPr>
        <w:spacing w:after="0" w:line="95"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Tax Limitations on Incentive Stock Options. </w:t>
      </w:r>
      <w:r>
        <w:rPr>
          <w:rFonts w:ascii="Times New Roman" w:cs="Times New Roman" w:eastAsia="Times New Roman" w:hAnsi="Times New Roman"/>
          <w:sz w:val="17"/>
          <w:szCs w:val="17"/>
          <w:color w:val="auto"/>
        </w:rPr>
        <w:t>The aggregate fair market value, determined at the time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of the Company’s Class A Common Stock with respect to ISOs that are exercisable for the first time by an option holder during any calendar year under all of the Company’s stock plans may not exceed $100,000. Options or portions thereof that exceed such limit will generally be treated as NSOs. No ISO may be granted to any person who, at the time of the grant, owns or is deemed to own stock possessing more than 10% of the Company’s total combined voting power or that of any of the Company’s affiliates unless (a) the option exercise price is at least 110% of the fair market value of the stock subject to the option on the date of grant and (b) the term of the ISO does not exceed five years from the date of grant.</w:t>
      </w:r>
    </w:p>
    <w:p>
      <w:pPr>
        <w:spacing w:after="0" w:line="10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Stock Appreciation Rights. </w:t>
      </w:r>
      <w:r>
        <w:rPr>
          <w:rFonts w:ascii="Times New Roman" w:cs="Times New Roman" w:eastAsia="Times New Roman" w:hAnsi="Times New Roman"/>
          <w:sz w:val="17"/>
          <w:szCs w:val="17"/>
          <w:color w:val="auto"/>
        </w:rPr>
        <w:t>An SAR provides the recipient with the right to the appreciation in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specified number of shares of Class A Common Stock. The 2022 Incentive Award Plan Administrator determines the exercise price of SARs granted under the 2022 Incentive Award Plan, which may not be less than 100% of the fair market value of the Company’s Class A Common Stock on the date of grant. Subject to limited exceptions, an SAR may have a term of up to 10 years and will generally expire sooner if the recipient’s service terminates. SARs will vest at the rate determined by the 2022 Incentive Award Plan Administrator. Upon exercise of a SAR, the recipient will receive an amount in cash, stock, or a combination of stock and cash determined by the 2022 Incentive Award Plan Administrator, equal to the excess of the fair market value of the shares being exercised over their exercise price.</w:t>
      </w:r>
    </w:p>
    <w:p>
      <w:pPr>
        <w:spacing w:after="0" w:line="95"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Restricted Stock Awards. </w:t>
      </w:r>
      <w:r>
        <w:rPr>
          <w:rFonts w:ascii="Times New Roman" w:cs="Times New Roman" w:eastAsia="Times New Roman" w:hAnsi="Times New Roman"/>
          <w:sz w:val="17"/>
          <w:szCs w:val="17"/>
          <w:color w:val="auto"/>
        </w:rPr>
        <w:t>Shares of restricted stock may be issued under the 2022 Incentive Award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such consideration as the 2022 Incentive Award Plan Administrator may determine, including cash, services rendered or to be rendered to the Company or such other forms of consideration permitted under applicable law. Restricted shares may be subject to vesting, as determined by the 2022 Incentive Award Plan Administrator. Recipients of restricted shares generally have all of the rights of a shareholder with respect to those shares, including voting rights, however any dividends and other distributions on restricted shares will generally be subject to the same restrictions on transferability and forfeitability as the underlying shares.</w:t>
      </w:r>
    </w:p>
    <w:p>
      <w:pPr>
        <w:spacing w:after="0" w:line="110"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Restricted Stock Units. </w:t>
      </w:r>
      <w:r>
        <w:rPr>
          <w:rFonts w:ascii="Times New Roman" w:cs="Times New Roman" w:eastAsia="Times New Roman" w:hAnsi="Times New Roman"/>
          <w:sz w:val="17"/>
          <w:szCs w:val="17"/>
          <w:color w:val="auto"/>
        </w:rPr>
        <w:t>An RSU is a right to receive a share, at no cost to the recipient, upon satisfaction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certain conditions, including vesting conditions, established by the 2022 Incentive Award Plan Administrator. RSUs vest at the rate determined by the 2022 Incentive Award Plan Administrator and any unvested RSUs will generally be forfeited upon termination of the recipient’s service. Settlement of RSUs may be made in the form of cash, stock or a combination of cash and stock, as determined by the 2022 Incentive Award Plan Administrator. Recipients of RSUs generally will have no voting or dividend rights prior to the time the vesting conditions are satisfied and the award is settled. At the 2022 Incentive Award Plan Administrator’s discretion and as set forth in the applicable RSU agreement, RSUs may provide for the right to dividend equivalents which will generally be subject to the same conditions and restrictions as the RSUs to which they pertain.</w:t>
      </w:r>
    </w:p>
    <w:p>
      <w:pPr>
        <w:spacing w:after="0" w:line="108"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Other Awards. </w:t>
      </w:r>
      <w:r>
        <w:rPr>
          <w:rFonts w:ascii="Times New Roman" w:cs="Times New Roman" w:eastAsia="Times New Roman" w:hAnsi="Times New Roman"/>
          <w:sz w:val="17"/>
          <w:szCs w:val="17"/>
          <w:color w:val="auto"/>
        </w:rPr>
        <w:t>The 2022 Incentive Award Plan Administrator may grant other awards based in whole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part by reference to the Company’s Class A Common Stock and may grant awards under other plans and programs that will be settled with shares issued under the 2022 Incentive Award Plan. The 2022 Incentive Award Plan Administrator will determine the terms and conditions of any such awards.</w:t>
      </w:r>
    </w:p>
    <w:p>
      <w:pPr>
        <w:spacing w:after="0" w:line="88" w:lineRule="exact"/>
        <w:rPr>
          <w:sz w:val="20"/>
          <w:szCs w:val="20"/>
          <w:color w:val="auto"/>
        </w:rPr>
      </w:pPr>
    </w:p>
    <w:p>
      <w:pPr>
        <w:jc w:val="both"/>
        <w:ind w:left="600" w:right="619" w:firstLine="41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Changes to Capital Structure. </w:t>
      </w:r>
      <w:r>
        <w:rPr>
          <w:rFonts w:ascii="Times New Roman" w:cs="Times New Roman" w:eastAsia="Times New Roman" w:hAnsi="Times New Roman"/>
          <w:sz w:val="17"/>
          <w:szCs w:val="17"/>
          <w:color w:val="auto"/>
        </w:rPr>
        <w:t>In the event of certain changes in capitalization, including a stock split,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reverse stock split or stock dividend, proportionate adjustments will be made in the number and kind of shares available for issuance under the 2022 Incentive Award Plan, the limit on the number of shares that may be issued under the 2022 Incentive Award Plan as ISOs, the number and kind of shares subject to each outstanding award and/or the exercise price of each outstanding award.</w:t>
      </w:r>
    </w:p>
    <w:p>
      <w:pPr>
        <w:spacing w:after="0" w:line="103"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Corporate Transactions. </w:t>
      </w:r>
      <w:r>
        <w:rPr>
          <w:rFonts w:ascii="Times New Roman" w:cs="Times New Roman" w:eastAsia="Times New Roman" w:hAnsi="Times New Roman"/>
          <w:sz w:val="17"/>
          <w:szCs w:val="17"/>
          <w:color w:val="auto"/>
        </w:rPr>
        <w:t>If the Company is party to a merger, consolidation or certain change in control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transactions, each outstanding award will be treated as described in the definitive transaction agreement or as the 2022 Incentive Award Plan Administrator determines, which may include the continuation, assumption or substitution of an outstanding award, the cancellation of an outstanding award after an opportunity to exercise or the cancellation of an outstanding award in exchange for a payment equal to the value of the shares subject to such award less any applicable exercise price. In general, if an award held by a participant who remains in service at the effective time of a change in control transaction is not continued, assumed or substituted, then the award will vest in full.</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3" w:name="page104"/>
    <w:bookmarkEnd w:id="10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Change in Control. </w:t>
      </w:r>
      <w:r>
        <w:rPr>
          <w:rFonts w:ascii="Times New Roman" w:cs="Times New Roman" w:eastAsia="Times New Roman" w:hAnsi="Times New Roman"/>
          <w:sz w:val="17"/>
          <w:szCs w:val="17"/>
          <w:color w:val="auto"/>
        </w:rPr>
        <w:t>The 2022 Incentive Award Plan Administrator may provide, in an individual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or in any other written agreement with a participant, that the award will be subject to acceleration of vesting and exercisability in the event of a change in control or in connection with a termination of employment in connection with or following a change in control.</w:t>
      </w:r>
    </w:p>
    <w:p>
      <w:pPr>
        <w:spacing w:after="0" w:line="101"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Transferability of Awards. </w:t>
      </w:r>
      <w:r>
        <w:rPr>
          <w:rFonts w:ascii="Times New Roman" w:cs="Times New Roman" w:eastAsia="Times New Roman" w:hAnsi="Times New Roman"/>
          <w:sz w:val="17"/>
          <w:szCs w:val="17"/>
          <w:color w:val="auto"/>
        </w:rPr>
        <w:t>Unless the 2022 Incentive Award Plan Administrator determines otherwise,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award generally will not be transferable other than by beneficiary designation, a will or the laws of descent and distribution. The 2022 Incentive Award Plan Administrator may permit transfer of an award in a manner consistent with applicable law.</w:t>
      </w:r>
    </w:p>
    <w:p>
      <w:pPr>
        <w:spacing w:after="0" w:line="101"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Amendment and Termination. </w:t>
      </w:r>
      <w:r>
        <w:rPr>
          <w:rFonts w:ascii="Times New Roman" w:cs="Times New Roman" w:eastAsia="Times New Roman" w:hAnsi="Times New Roman"/>
          <w:sz w:val="17"/>
          <w:szCs w:val="17"/>
          <w:color w:val="auto"/>
        </w:rPr>
        <w:t>The 2022 Incentive Award Plan Administrator may amend or terminate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2022 Incentive Award Plan at any time. Any such amendment or termination will not affect outstanding awards. If not sooner terminated, the 2022 Incentive Award Plan will terminate automatically on August 4, 2032, which is 10 years after its adoption by the Board. Shareholder approval is not required for any amendment of the 2022 Incentive Award Plan, unless required by applicable law, government regulation or exchange listing standards.</w:t>
      </w:r>
    </w:p>
    <w:p>
      <w:pPr>
        <w:spacing w:after="0" w:line="3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Certain Federal Income Tax Aspects of Awards Under the 2022 Incentive Award Plan</w:t>
      </w:r>
    </w:p>
    <w:p>
      <w:pPr>
        <w:spacing w:after="0" w:line="144"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This is a brief summary of the U.S. federal income tax aspects of awards that may be made under the 2022 Incentive Award Plan based on existing U.S. federal income tax laws as of the date of this prospectus. This summary covers only the basic tax rules. It does not describe a number of special tax rules, including the alternative minimum tax and various elections that may be applicable under certain circumstances. It also does not reflect provisions of the income tax laws of any municipality, state or foreign country in which a holder may reside, nor does it reflect the tax consequences of a holder’s death. Therefore, no one should rely on this summary for individual tax compliance, planning or decisions. Participants in the 2022 Incentive Award Plan should consult their own professional tax advisors concerning tax aspects of awards under the 2022 Incentive Award Plan. The discussion below concerning tax deductions that may become available to the Company under U.S. federal tax law is not intended to imply that the Company will necessarily obtain a tax benefit or asset from those deductions. The tax consequences of awards under the 2022 Incentive Award Plan depend upon the type of award. Changes to tax laws following the date of this prospectus could alter the tax consequences described below.</w:t>
      </w:r>
    </w:p>
    <w:p>
      <w:pPr>
        <w:spacing w:after="0" w:line="322"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Incentive Stock Options. </w:t>
      </w:r>
      <w:r>
        <w:rPr>
          <w:rFonts w:ascii="Times New Roman" w:cs="Times New Roman" w:eastAsia="Times New Roman" w:hAnsi="Times New Roman"/>
          <w:sz w:val="17"/>
          <w:szCs w:val="17"/>
          <w:color w:val="auto"/>
        </w:rPr>
        <w:t>No taxable income is recognized by an optionee upon the grant or vesting of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ISO, and no taxable income is recognized at the time an ISO is exercised unless the optionee is subject to the alternative minimum tax. The excess of the fair market value of the purchased shares on the exercise date over the exercise price paid for the shares is includable in alternative minimum taxable income.</w:t>
      </w:r>
    </w:p>
    <w:p>
      <w:pPr>
        <w:spacing w:after="0" w:line="103"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If the optionee holds the purchased shares for more than one year after the date the ISO was exercised and more than two years after the ISO was granted (the “required ISO holding periods”), then the optionee will generally recognize long-term capital gain or loss upon disposition of such shares. The gain or loss will equal the difference between the amount realized upon the disposition of the shares and the exercise price paid for such shares. If the optionee disposes of the purchased shares before satisfying either of the required ISO holding periods, then the optionee will recognize ordinary income equal to the fair market value of the shares on the date the ISO was exercised over the exercise price paid for the shares (or, if less, the amount realized on a sale of such shares). Any additional gain will be a capital gain and will be treated as short-term or long-term capital gain depending on how long the shares were held by the optionee.</w:t>
      </w:r>
    </w:p>
    <w:p>
      <w:pPr>
        <w:spacing w:after="0" w:line="10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Nonstatutory Stock Options. </w:t>
      </w:r>
      <w:r>
        <w:rPr>
          <w:rFonts w:ascii="Times New Roman" w:cs="Times New Roman" w:eastAsia="Times New Roman" w:hAnsi="Times New Roman"/>
          <w:sz w:val="17"/>
          <w:szCs w:val="17"/>
          <w:color w:val="auto"/>
        </w:rPr>
        <w:t>No taxable income is recognized by an optionee upon the grant or vesting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an NSO, provided the NSO does not have a readily ascertainable fair market value. If the NSO does not have a readily ascertainable fair market value, the optionee will generally recognize ordinary income in the year in which the option is exercised equal to the excess of the fair market value of the purchased shares on the exercise date over the exercise price paid for the shares. If the optionee is an employee or former employee, the optionee will be required to satisfy the tax withholding requirements applicable to such income. Upon resale of the purchased shares, any subsequent appreciation or depreciation in the value of the shares will be treated as short-term or long-term capital gain or loss depending on how long the shares were held by the optionee.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4" w:name="page105"/>
    <w:bookmarkEnd w:id="10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Restricted Stock. </w:t>
      </w:r>
      <w:r>
        <w:rPr>
          <w:rFonts w:ascii="Times New Roman" w:cs="Times New Roman" w:eastAsia="Times New Roman" w:hAnsi="Times New Roman"/>
          <w:sz w:val="17"/>
          <w:szCs w:val="17"/>
          <w:color w:val="auto"/>
        </w:rPr>
        <w:t>A participant who receives an award of restricted stock generally does not recognize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taxable income at the time of the award. Instead, the participant recognizes ordinary income when the shares vest, subject to withholding if the participant is an employee or former employee. The amount of taxable income is equal to the fair market value of the shares on the vesting date(s) less the amount, if any, paid for the shares. Alternatively, a participant may make a one-time election to recognize income at the time the participant receives restricted stock in an amount equal to the fair market value of the restricted stock (less any amount paid for the shares) on the date of the award by making an election under Section 83(b) of the Code.</w:t>
      </w:r>
    </w:p>
    <w:p>
      <w:pPr>
        <w:spacing w:after="0" w:line="110"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Restricted Stock Unit Awards. </w:t>
      </w:r>
      <w:r>
        <w:rPr>
          <w:rFonts w:ascii="Times New Roman" w:cs="Times New Roman" w:eastAsia="Times New Roman" w:hAnsi="Times New Roman"/>
          <w:sz w:val="17"/>
          <w:szCs w:val="17"/>
          <w:color w:val="auto"/>
        </w:rPr>
        <w:t>In general, no taxable income results upon the grant of an RSU.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recipient will generally recognize ordinary income, subject to withholding if the recipient is an employee or former employee, equal to the fair market value of the shares that are delivered to the recipient upon settlement of the RSU. Upon resale of the shares acquired pursuant to an RSU, any subsequent appreciation or depreciation in the value of the shares will be treated as short-term or long-term capital gain or loss depending on how long the shares were held by the recipient.</w:t>
      </w:r>
    </w:p>
    <w:p>
      <w:pPr>
        <w:spacing w:after="0" w:line="105"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Stock Appreciation Rights. </w:t>
      </w:r>
      <w:r>
        <w:rPr>
          <w:rFonts w:ascii="Times New Roman" w:cs="Times New Roman" w:eastAsia="Times New Roman" w:hAnsi="Times New Roman"/>
          <w:sz w:val="17"/>
          <w:szCs w:val="17"/>
          <w:color w:val="auto"/>
        </w:rPr>
        <w:t>In general, no taxable income results upon the grant of a SAR. A participant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generally recognize ordinary income in the year of exercise equal to the value of the shares or other consideration received. In the case of a current or former employee, this amount is subject to withholding.</w:t>
      </w:r>
    </w:p>
    <w:p>
      <w:pPr>
        <w:spacing w:after="0" w:line="8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Section 409A. </w:t>
      </w:r>
      <w:r>
        <w:rPr>
          <w:rFonts w:ascii="Times New Roman" w:cs="Times New Roman" w:eastAsia="Times New Roman" w:hAnsi="Times New Roman"/>
          <w:sz w:val="17"/>
          <w:szCs w:val="17"/>
          <w:color w:val="auto"/>
        </w:rPr>
        <w:t>The foregoing description assumes that Section 409A of the Code does not apply to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 In general, options and stock appreciation rights are exempt from Section 409A if the exercise price per share is at least equal to the fair market value per share of the underlying stock at the time the option or stock appreciation right was granted. RSUs are subject to Section 409A unless they are settled within two and one half months after the end of the later of (a) the end of the Company’s fiscal year in which vesting occurs or</w:t>
      </w:r>
    </w:p>
    <w:p>
      <w:pPr>
        <w:spacing w:after="0" w:line="1" w:lineRule="exact"/>
        <w:rPr>
          <w:sz w:val="20"/>
          <w:szCs w:val="20"/>
          <w:color w:val="auto"/>
        </w:rPr>
      </w:pPr>
    </w:p>
    <w:p>
      <w:pPr>
        <w:jc w:val="both"/>
        <w:ind w:left="600" w:right="619" w:firstLine="6"/>
        <w:spacing w:after="0" w:line="258" w:lineRule="auto"/>
        <w:tabs>
          <w:tab w:leader="none" w:pos="86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end of the calendar year in which vesting occurs. Restricted stock awards are not generally subject to Section 409A. If an award is subject to Section 409A and the provisions for the exercise or settlement of that award do not comply with Section 409A, then the participant would be required to recognize ordinary income whenever a portion of the award vested (regardless of whether it had been exercised or settled). This amount would also be subject to a 20% U.S. federal tax and premium interest </w:t>
      </w:r>
      <w:r>
        <w:rPr>
          <w:rFonts w:ascii="Times New Roman" w:cs="Times New Roman" w:eastAsia="Times New Roman" w:hAnsi="Times New Roman"/>
          <w:sz w:val="17"/>
          <w:szCs w:val="17"/>
          <w:i w:val="1"/>
          <w:iCs w:val="1"/>
          <w:color w:val="auto"/>
        </w:rPr>
        <w:t>in addition to</w:t>
      </w:r>
      <w:r>
        <w:rPr>
          <w:rFonts w:ascii="Times New Roman" w:cs="Times New Roman" w:eastAsia="Times New Roman" w:hAnsi="Times New Roman"/>
          <w:sz w:val="17"/>
          <w:szCs w:val="17"/>
          <w:color w:val="auto"/>
        </w:rPr>
        <w:t xml:space="preserve"> the U.S. federal income tax at the participant’s usual marginal rate for ordinary income.</w:t>
      </w:r>
    </w:p>
    <w:p>
      <w:pPr>
        <w:spacing w:after="0" w:line="109"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Tax Treatment of the Company. </w:t>
      </w:r>
      <w:r>
        <w:rPr>
          <w:rFonts w:ascii="Times New Roman" w:cs="Times New Roman" w:eastAsia="Times New Roman" w:hAnsi="Times New Roman"/>
          <w:sz w:val="17"/>
          <w:szCs w:val="17"/>
          <w:color w:val="auto"/>
        </w:rPr>
        <w:t>The Company will generally be entitled to an income tax deduction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time and to the extent a participant recognizes ordinary income as a result of an award granted under the 2022 Incentive Award Plan. However, Section 162(m) of the Code may limit the deductibility of certain awards granted under the 2022 Incentive Award Plan. Although the 2022 Incentive Award Plan Administrator considers the deductibility of compensation as one factor in determining executive compensation, the 2022 Incentive Award Plan Administrator retains the discretion to award and pay compensation that is not deductible as it believes that it is in the shareholders’ best interests to maintain flexibility in the approach to executive compensation and to structure a program that the Company considers to be the most effective in attracting, motivating and retaining key employees.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Incentive Award Plan Benefits</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Benefits to be received under the 2022 Incentive Award Plan are not determinable since they depend on discretionary decisions to be made by the 2022 Incentive Award Plan Administrator regarding which participants are selected and what awards are made under the 2022 Incentive Award Plan.</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Registration with the SEC</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filed a registration statement on Form S-8 with the SEC on July 20, 2022 registering the shares of the Company’s Class A Common Stock reserved for issuance under the 2022 Incentive Award Plan, which became effective immediately upon filing.</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5" w:name="page106"/>
    <w:bookmarkEnd w:id="10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2022 Employee Stock Purchase Plan</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Board adopted, and stockholders approved, the Employee Stock Purchase Agreement (the “ESPP”), in order to allow employees of the Company and its affiliates to purchase shares of Class A Common Stock at a discount through payroll deductions and to benefit from stock price appreciation, thus enhancing the alignment of employee and stockholder interests.</w:t>
      </w:r>
    </w:p>
    <w:p>
      <w:pPr>
        <w:spacing w:after="0" w:line="1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ESPP is described in more detail below.</w:t>
      </w:r>
    </w:p>
    <w:p>
      <w:pPr>
        <w:spacing w:after="0" w:line="155" w:lineRule="exact"/>
        <w:rPr>
          <w:sz w:val="20"/>
          <w:szCs w:val="20"/>
          <w:color w:val="auto"/>
        </w:rPr>
      </w:pPr>
    </w:p>
    <w:p>
      <w:pPr>
        <w:ind w:left="1440" w:hanging="418"/>
        <w:spacing w:after="0"/>
        <w:tabs>
          <w:tab w:leader="none" w:pos="14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Overview</w:t>
      </w:r>
    </w:p>
    <w:p>
      <w:pPr>
        <w:spacing w:after="0" w:line="14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Board has approved and adopted, and the Company’s shareholders approved, the ESPP. The Company is authorized to provide eligible employees of the Company and its designated subsidiaries with an opportunity to purchase shares of the Company’s Class A Common Stock at a discount to the market price and to pay for such purchases through payroll deductions in accordance with the ESPP’s terms.</w:t>
      </w:r>
    </w:p>
    <w:p>
      <w:pPr>
        <w:spacing w:after="0" w:line="105" w:lineRule="exact"/>
        <w:rPr>
          <w:sz w:val="20"/>
          <w:szCs w:val="20"/>
          <w:color w:val="auto"/>
        </w:rPr>
      </w:pPr>
    </w:p>
    <w:p>
      <w:pPr>
        <w:ind w:left="1020"/>
        <w:spacing w:after="0"/>
        <w:tabs>
          <w:tab w:leader="none" w:pos="1380" w:val="left"/>
        </w:tabs>
        <w:rPr>
          <w:sz w:val="20"/>
          <w:szCs w:val="20"/>
          <w:color w:val="auto"/>
        </w:rPr>
      </w:pPr>
      <w:r>
        <w:rPr>
          <w:rFonts w:ascii="Times New Roman" w:cs="Times New Roman" w:eastAsia="Times New Roman" w:hAnsi="Times New Roman"/>
          <w:sz w:val="17"/>
          <w:szCs w:val="17"/>
          <w:color w:val="auto"/>
        </w:rPr>
        <w:t>(b)</w:t>
        <w:tab/>
        <w:t>Purpose of the ESPP</w:t>
      </w:r>
    </w:p>
    <w:p>
      <w:pPr>
        <w:spacing w:after="0" w:line="15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purpose of the ESPP is to provide employees of the Company and its designated subsidiaries (whether now existing or subsequently established) with the ability to acquire shares of the Company’s Class A Common Stock at a discount to the market price and to pay for such purchases through payroll deductions or other approved contributions. The Company believes that the ESPP will be important in helping to attract and retain employees of the Company.</w:t>
      </w:r>
    </w:p>
    <w:p>
      <w:pPr>
        <w:spacing w:after="0" w:line="94" w:lineRule="exact"/>
        <w:rPr>
          <w:sz w:val="20"/>
          <w:szCs w:val="20"/>
          <w:color w:val="auto"/>
        </w:rPr>
      </w:pPr>
    </w:p>
    <w:p>
      <w:pPr>
        <w:ind w:left="1440" w:hanging="418"/>
        <w:spacing w:after="0"/>
        <w:tabs>
          <w:tab w:leader="none" w:pos="14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Reasons for the Approval of the ESPP</w:t>
      </w:r>
    </w:p>
    <w:p>
      <w:pPr>
        <w:spacing w:after="0" w:line="15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ESPP, and the right of participants to make purchases thereunder, is intended to meet the requirements of an employee stock purchase plan as defined in Section 423 of the Code. Shareholder approval of the ESPP was necessary in order to satisfy the requirements under Section 423 of the Code and to meet the shareholder approval requirements of the Nasdaq.</w:t>
      </w:r>
    </w:p>
    <w:p>
      <w:pPr>
        <w:spacing w:after="0" w:line="105" w:lineRule="exact"/>
        <w:rPr>
          <w:sz w:val="20"/>
          <w:szCs w:val="20"/>
          <w:color w:val="auto"/>
        </w:rPr>
      </w:pPr>
    </w:p>
    <w:p>
      <w:pPr>
        <w:ind w:left="1020"/>
        <w:spacing w:after="0"/>
        <w:tabs>
          <w:tab w:leader="none" w:pos="1380" w:val="left"/>
        </w:tabs>
        <w:rPr>
          <w:sz w:val="20"/>
          <w:szCs w:val="20"/>
          <w:color w:val="auto"/>
        </w:rPr>
      </w:pPr>
      <w:r>
        <w:rPr>
          <w:rFonts w:ascii="Times New Roman" w:cs="Times New Roman" w:eastAsia="Times New Roman" w:hAnsi="Times New Roman"/>
          <w:sz w:val="17"/>
          <w:szCs w:val="17"/>
          <w:color w:val="auto"/>
        </w:rPr>
        <w:t>(d)</w:t>
        <w:tab/>
        <w:t>Summary of the ESPP’s Material Terms and Features</w:t>
      </w:r>
    </w:p>
    <w:p>
      <w:pPr>
        <w:spacing w:after="0" w:line="14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following summary of the principal provisions of the ESPP is qualified in its entirety by reference to the full text of the ESPP. To the extent there is a conflict between this summary and the ESPP, the terms of the ESPP will govern.</w:t>
      </w:r>
    </w:p>
    <w:p>
      <w:pPr>
        <w:spacing w:after="0" w:line="95"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General. </w:t>
      </w:r>
      <w:r>
        <w:rPr>
          <w:rFonts w:ascii="Times New Roman" w:cs="Times New Roman" w:eastAsia="Times New Roman" w:hAnsi="Times New Roman"/>
          <w:sz w:val="17"/>
          <w:szCs w:val="17"/>
          <w:color w:val="auto"/>
        </w:rPr>
        <w:t>The ESPP is intended to qualify as an “employee stock purchase plan” under Section 423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Code; however, the ESPP also allows the Company to conduct offerings for non-U.S. employees that do not qualify under Section 423 of the Code as described in “International Participation” below. During regularly scheduled “offering periods” under the ESPP, participants will be able to request payroll deductions which will be applied periodically to purchase a number of shares of the Company’s Class A Common Stock at a discount to the market price and in an amount determined in accordance with the ESPP’s terms.</w:t>
      </w:r>
    </w:p>
    <w:p>
      <w:pPr>
        <w:spacing w:after="0" w:line="105" w:lineRule="exact"/>
        <w:rPr>
          <w:sz w:val="20"/>
          <w:szCs w:val="20"/>
          <w:color w:val="auto"/>
        </w:rPr>
      </w:pPr>
    </w:p>
    <w:p>
      <w:pPr>
        <w:jc w:val="both"/>
        <w:ind w:left="600" w:right="619" w:firstLine="41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ESPP is administered by the Company’s Board or by one or more committees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the board of directors delegates such administration (as applicable, the “ESPP Administrator”). Subject to the terms of the ESPP, the ESPP Administrator will have the complete discretion to establish the terms and conditions of offering periods under the ESPP, to interpret the ESPP and to make all decisions related to the operation of the ESPP.</w:t>
      </w:r>
    </w:p>
    <w:p>
      <w:pPr>
        <w:spacing w:after="0" w:line="90" w:lineRule="exact"/>
        <w:rPr>
          <w:sz w:val="20"/>
          <w:szCs w:val="20"/>
          <w:color w:val="auto"/>
        </w:rPr>
      </w:pPr>
    </w:p>
    <w:p>
      <w:pPr>
        <w:jc w:val="both"/>
        <w:ind w:left="600" w:right="619" w:firstLine="416"/>
        <w:spacing w:after="0" w:line="295" w:lineRule="auto"/>
        <w:rPr>
          <w:sz w:val="20"/>
          <w:szCs w:val="20"/>
          <w:color w:val="auto"/>
        </w:rPr>
      </w:pPr>
      <w:r>
        <w:rPr>
          <w:rFonts w:ascii="Times New Roman" w:cs="Times New Roman" w:eastAsia="Times New Roman" w:hAnsi="Times New Roman"/>
          <w:sz w:val="17"/>
          <w:szCs w:val="17"/>
          <w:i w:val="1"/>
          <w:iCs w:val="1"/>
          <w:color w:val="auto"/>
        </w:rPr>
        <w:t xml:space="preserve">Shares Available for Issuance. </w:t>
      </w:r>
      <w:r>
        <w:rPr>
          <w:rFonts w:ascii="Times New Roman" w:cs="Times New Roman" w:eastAsia="Times New Roman" w:hAnsi="Times New Roman"/>
          <w:sz w:val="17"/>
          <w:szCs w:val="17"/>
          <w:color w:val="auto"/>
        </w:rPr>
        <w:t>As of December 31, 2022, up to a maximum of 3,930,074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Class A Common Stock may be issued under the ESPP, plus an annual increase in shares described below.</w:t>
      </w:r>
    </w:p>
    <w:p>
      <w:pPr>
        <w:spacing w:after="0" w:line="8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the first day of each calendar year during the term of the ESPP, beginning on January 1, 2023 and continuing until (and including) January 1, 2032, the aggregate number of shares of the Company’s Class A Common Stock that may be issued under the ESPP will automatically increase by a number equal to the lesser of (a) one percent (1%) of the total number of shares of the Company’s Class A Common Stock issued and outstanding shares on December 31 of the calendar year immediately preceding the date of such increase and (b) a number of shares of the Company’s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6" w:name="page107"/>
    <w:bookmarkEnd w:id="10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Class A Common Stock determined by the Company’s Board. Shares of the Company’s Class A Common Stock issued under the ESPP may be authorized but unissued shares or treasury shares. As of December 31, 2022, we had not yet issued any shares pursuant to the ESPP.</w:t>
      </w:r>
    </w:p>
    <w:p>
      <w:pPr>
        <w:spacing w:after="0" w:line="95"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Eligibility and Participation. </w:t>
      </w:r>
      <w:r>
        <w:rPr>
          <w:rFonts w:ascii="Times New Roman" w:cs="Times New Roman" w:eastAsia="Times New Roman" w:hAnsi="Times New Roman"/>
          <w:sz w:val="17"/>
          <w:szCs w:val="17"/>
          <w:color w:val="auto"/>
        </w:rPr>
        <w:t>All employees (including officers and employee directors) who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employed by the Company or a designated subsidiary (whether currently existing or subsequently established) or, solely in the case of an offering period that is not intended to qualify under Section 423 of the Code, a designated affiliate (whether currently existing or subsequently established), are eligible to participate in the ESPP, resulting in 436 employees (including seven executive officers, two of whom are employee directors) as eligible participants, as of December 31, 2022. The ESPP Administrator may exclude certain categories of employees from participating in any offering period to the extent permitted by Section 423 of the Code, including part-time employees, seasonal employees, employees who have not completed a minimum period of service with the company and/or highly compensated employees. No employee will be allowed to participate in the ESPP if his or her participation in the ESPP is prohibited by local law or if complying with local law would cause the ESPP or an offering period that is intended to qualify under Section 423 of the Code to violate the requirements of Section 423 of the Code. In the case of an offering period that is not intended to qualify under Section 423 of the Code, the ESPP Administrator may exclude any individual(s) from participation if the ESPP Administrator determines that the participation of such individual(s) is not advisable or practicable. Also, in accordance with Section 423 of the Code, no employee may be granted a right to purchase shares of the Company’s Class A Common Stock under the ESPP if, immediately after such grant, such employee would own stock and/or hold outstanding options to purchase stock possessing 5% or more of the total combined voting power or value of all classes of stock of the Company or any parent or subsidiary (including in such calculation stock held directly or indirectly by or for the benefit of the employee and stock held by certain persons related to the employee).</w:t>
      </w:r>
    </w:p>
    <w:p>
      <w:pPr>
        <w:spacing w:after="0" w:line="326"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ESPP will permit an eligible employee to purchase the Company’s Class A Common Stock through payroll deductions, which may not exceed fifteen percent (15%) of the employee’s eligible compensation (or such lower limit as may be determined by the ESPP Administrator for an offering period). Employees will be able to withdraw their accumulated payroll deductions prior to the end of the offering period in accordance with the terms of the offering period. Participation in the ESPP will end automatically upon termination of employment. In the event of withdrawal or termination of participation in the ESPP, a participant’s accumulated payroll contributions will be refunded without interest.</w:t>
      </w:r>
    </w:p>
    <w:p>
      <w:pPr>
        <w:spacing w:after="0" w:line="9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Certain limitations on the number of shares of the Company’s Class A Common Stock that a participant may purchase apply. For example, the right granted to an employee may not permit him or her to purchase more than $25,000 worth of shares of the Company’s Class A Common Stock under the ESPP (determined on the basis of the fair market value per share as of the start of the applicable offering period) for each calendar year in which the right is outstanding. The ESPP Administrator may also establish one or more limits on the number of shares that may be purchased during any offering period and/or purchase period. Unless the ESPP Administrator provides otherwise with respect to an offering period, no participant may purchase more than 5,000 shares during any purchase period within an offering period.</w:t>
      </w:r>
    </w:p>
    <w:p>
      <w:pPr>
        <w:spacing w:after="0" w:line="11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International Participation. </w:t>
      </w:r>
      <w:r>
        <w:rPr>
          <w:rFonts w:ascii="Times New Roman" w:cs="Times New Roman" w:eastAsia="Times New Roman" w:hAnsi="Times New Roman"/>
          <w:sz w:val="17"/>
          <w:szCs w:val="17"/>
          <w:color w:val="auto"/>
        </w:rPr>
        <w:t>To provide the Company with greater flexibility in structuring its equity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programs for non-U.S. employees, the ESPP also permits the Company to grant employees of the Company’s non-U.S. subsidiaries and affiliates rights to purchase shares of the Company’s Class A Common Stock pursuant to other offering periods and/or sub-plans adopted by the ESPP Administrator in order to achieve tax, securities law or other compliance objectives. While the ESPP is intended to be a qualified “employee stock purchase plan” within the meaning of Section 423 of the Code, any such international sub-plans or offerings are not required to satisfy those U.S. tax code requirements and therefore may have terms that differ from the ESPP terms applicable in the U.S.</w:t>
      </w:r>
    </w:p>
    <w:p>
      <w:pPr>
        <w:spacing w:after="0" w:line="106"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Offering Periods and Purchase Price. </w:t>
      </w:r>
      <w:r>
        <w:rPr>
          <w:rFonts w:ascii="Times New Roman" w:cs="Times New Roman" w:eastAsia="Times New Roman" w:hAnsi="Times New Roman"/>
          <w:sz w:val="17"/>
          <w:szCs w:val="17"/>
          <w:color w:val="auto"/>
        </w:rPr>
        <w:t>The ESPP will be implemented through a series of offering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periods of up to twenty-seven (27) months, which may consist of one or more purchase periods. During each purchase period, payroll contributions will accumulate without interest. On the last trading day of the purchase period, accumulated payroll deductions will be used to purchase the Company’s Class A Common Stock.</w:t>
      </w:r>
    </w:p>
    <w:p>
      <w:pPr>
        <w:spacing w:after="0" w:line="9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purchase price for each offering period will be established by the ESPP Administrator and may not be less than eighty-five percent (85%) of the fair market value per share of the Company’s Class A Common Stock on either the first trading day in an offering period or on the purchase date, whichever is lower.</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7" w:name="page108"/>
    <w:bookmarkEnd w:id="10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00" w:right="619" w:firstLine="41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Changes in Capital Structure. </w:t>
      </w:r>
      <w:r>
        <w:rPr>
          <w:rFonts w:ascii="Times New Roman" w:cs="Times New Roman" w:eastAsia="Times New Roman" w:hAnsi="Times New Roman"/>
          <w:sz w:val="17"/>
          <w:szCs w:val="17"/>
          <w:color w:val="auto"/>
        </w:rPr>
        <w:t>In the event that there is a specified type of change in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 structure, such as a stock split, appropriate adjustments will be made to (a) the number of shares reserved under the ESPP and the maximum size of the annual increase in shares, (b) the individual participant share limitations described in the ESPP and (c) the purchase price per share and the number and class of stock covered by each outstanding right under the ESPP which has not yet been exercised.</w:t>
      </w:r>
    </w:p>
    <w:p>
      <w:pPr>
        <w:spacing w:after="0" w:line="103" w:lineRule="exact"/>
        <w:rPr>
          <w:sz w:val="20"/>
          <w:szCs w:val="20"/>
          <w:color w:val="auto"/>
        </w:rPr>
      </w:pPr>
    </w:p>
    <w:p>
      <w:pPr>
        <w:jc w:val="both"/>
        <w:ind w:left="600" w:right="619" w:firstLine="41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Corporate Reorganization. </w:t>
      </w:r>
      <w:r>
        <w:rPr>
          <w:rFonts w:ascii="Times New Roman" w:cs="Times New Roman" w:eastAsia="Times New Roman" w:hAnsi="Times New Roman"/>
          <w:sz w:val="17"/>
          <w:szCs w:val="17"/>
          <w:color w:val="auto"/>
        </w:rPr>
        <w:t>In the event of certain corporate reorganizations, any offering period then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progress will terminate unless the ESPP is continued, assumed or substituted by the surviving entity or its parent. In the event an offering period is terminated, a new purchase date will be set for such offering period prior the effective time of the reorganization and a participant’s accumulated contributions will be applied to his or her purchase rights outstanding on such date.</w:t>
      </w:r>
    </w:p>
    <w:p>
      <w:pPr>
        <w:spacing w:after="0" w:line="103"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Amendment and Termination. </w:t>
      </w:r>
      <w:r>
        <w:rPr>
          <w:rFonts w:ascii="Times New Roman" w:cs="Times New Roman" w:eastAsia="Times New Roman" w:hAnsi="Times New Roman"/>
          <w:sz w:val="17"/>
          <w:szCs w:val="17"/>
          <w:color w:val="auto"/>
        </w:rPr>
        <w:t>The ESPP Administrator will have the right to amend, suspend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terminate the ESPP at any time. Any increase in the aggregate number of shares to be issued under the ESPP is subject to shareholder approval except for (a) the automatic annual increase in shares and (b) any share increase resulting from changes in the Company’s capital structure. Any other amendment to the ESPP is subject to shareholder approval only to the extent required under applicable law or regulation. The ESPP will terminate automatically in April2032, which is 10 years after its adoption by the Board.</w:t>
      </w:r>
    </w:p>
    <w:p>
      <w:pPr>
        <w:spacing w:after="0" w:line="94" w:lineRule="exact"/>
        <w:rPr>
          <w:sz w:val="20"/>
          <w:szCs w:val="20"/>
          <w:color w:val="auto"/>
        </w:rPr>
      </w:pPr>
    </w:p>
    <w:p>
      <w:pPr>
        <w:ind w:left="1420" w:hanging="398"/>
        <w:spacing w:after="0"/>
        <w:tabs>
          <w:tab w:leader="none" w:pos="14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Federal Income Tax Consequences of Participating in the ESPP</w:t>
      </w:r>
    </w:p>
    <w:p>
      <w:pPr>
        <w:spacing w:after="0" w:line="15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following is a brief summary of the general U.S. federal income tax consequences of participation in the ESPP as of the date of this prospectus. This summary is not complete and does not discuss the tax consequences of a participant’s death or the income tax laws of any state or foreign country in which the participant may reside. Tax consequences for any particular individual may be different. Therefore, no one should rely on this summary for individual tax compliance, planning or decisions. Participants in the ESPP should consult their own professional tax advisors concerning tax aspects of awards under the ESPP.</w:t>
      </w:r>
    </w:p>
    <w:p>
      <w:pPr>
        <w:spacing w:after="0" w:line="110"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As described above, the ESPP has a domestic component intended to qualify under Section 423 of the Code and an international component not intended to so qualify. The tax consequences for a U.S. taxpayer will depend on whether he or she participates in the domestic component or the international component. Further, changes to tax laws following the date of this prospectus could alter the tax consequences described below.</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U.S. Component</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Payroll deductions under the ESPP are made on an after-tax basis (i.e., contributions to the ESPP do not reduce a participant’s taxable income).</w:t>
      </w:r>
    </w:p>
    <w:p>
      <w:pPr>
        <w:spacing w:after="0" w:line="81"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ESPP, and the right of U.S. participants to make purchases thereunder, is intended to qualify for favorable federal income tax treatment associated with rights granted under an “employee stock purchase plan” that qualifies under provisions of Section 423 of the Code. As a result, participants in the ESPP will generally not recognize taxable income until they sell or otherwise dispose of the shares purchased under the ESPP. The amount of taxable income a participant will recognize in connection with the sale or other disposition of shares purchased under the ESPP will depend on how long the shares were held. If the shares were held at least two years from the start of the offering period in which the shares were purchased and one year from the date the shares were purchased, then the amount of ordinary income recognized will be equal to the lesser of (a) the difference between the fair market value of the shares on the date of disposition and the purchase price paid for the shares or (b) the excess of the fair market value of the shares at the start of the offering period in which the shares were acquired over the purchase price, and any additional gain will be long-term capital gain. If a sale or other disposition occurs before satisfying one or both holding periods, then the participant will recognize ordinary income equal to the excess of the fair market value of the shares on the purchase date over the purchase price paid for the shares. Any additional gain or loss recognized upon disposition of the shares will be a capital gain or loss, which will be long-term if the shares were held at least one year. Under current law, no withholding applies to transactions under the ESPP.</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8" w:name="page109"/>
    <w:bookmarkEnd w:id="10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International Component</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Rights granted under the international component are not intended to qualify for favorable U.S. federal income tax treatment associated with rights granted under an employee stock purchase plan which qualifies under the provisions of Section 423 of the Code. With respect to any participant who is subject to U.S. federal income tax with respect to participation under this component, he or she will have compensation income equal to the value of the Company’s Class A Common Stock on the day he or she purchases the Company’s Class A Common Stock, less the purchase price, and will be subject to withholding for income, Medicare and social security taxes, as applicable, on such amount. When a participant sells the Company’s Class A Common Stock purchased under the ESPP, he or she also will have a capital gain or loss equal to the difference between the sales proceeds and the value of the Company’s Class A Common Stock on the day he or she purchased the stock. Any capital gain or loss will be short-term or long-term, depending on how long the stock has been held.</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Tax Consequences to the Company</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There are no federal income tax consequences to the Company by reason of the grant or exercise of rights under the ESPP. The Company is generally entitled to a deduction to the extent amounts are taxed as ordinary income to a participant in connection with a sale or disposition of shares prior to satisfaction of the holding periods described above.</w:t>
      </w:r>
    </w:p>
    <w:p>
      <w:pPr>
        <w:spacing w:after="0" w:line="105" w:lineRule="exact"/>
        <w:rPr>
          <w:sz w:val="20"/>
          <w:szCs w:val="20"/>
          <w:color w:val="auto"/>
        </w:rPr>
      </w:pPr>
    </w:p>
    <w:p>
      <w:pPr>
        <w:ind w:left="1020"/>
        <w:spacing w:after="0"/>
        <w:tabs>
          <w:tab w:leader="none" w:pos="1380" w:val="left"/>
        </w:tabs>
        <w:rPr>
          <w:sz w:val="20"/>
          <w:szCs w:val="20"/>
          <w:color w:val="auto"/>
        </w:rPr>
      </w:pPr>
      <w:r>
        <w:rPr>
          <w:rFonts w:ascii="Times New Roman" w:cs="Times New Roman" w:eastAsia="Times New Roman" w:hAnsi="Times New Roman"/>
          <w:sz w:val="17"/>
          <w:szCs w:val="17"/>
          <w:color w:val="auto"/>
        </w:rPr>
        <w:t>(g)</w:t>
        <w:tab/>
        <w:t>New Plan Benefits</w:t>
      </w:r>
    </w:p>
    <w:p>
      <w:pPr>
        <w:spacing w:after="0" w:line="142"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Benefits to be received under the ESPP are not determinable since they depend on terms to be established by the Company and discretionary participant elections whether and to what extent to participate in the ESPP.</w:t>
      </w:r>
    </w:p>
    <w:p>
      <w:pPr>
        <w:spacing w:after="0" w:line="81" w:lineRule="exact"/>
        <w:rPr>
          <w:sz w:val="20"/>
          <w:szCs w:val="20"/>
          <w:color w:val="auto"/>
        </w:rPr>
      </w:pPr>
    </w:p>
    <w:p>
      <w:pPr>
        <w:ind w:left="1020"/>
        <w:spacing w:after="0"/>
        <w:tabs>
          <w:tab w:leader="none" w:pos="1380" w:val="left"/>
        </w:tabs>
        <w:rPr>
          <w:sz w:val="20"/>
          <w:szCs w:val="20"/>
          <w:color w:val="auto"/>
        </w:rPr>
      </w:pPr>
      <w:r>
        <w:rPr>
          <w:rFonts w:ascii="Times New Roman" w:cs="Times New Roman" w:eastAsia="Times New Roman" w:hAnsi="Times New Roman"/>
          <w:sz w:val="17"/>
          <w:szCs w:val="17"/>
          <w:color w:val="auto"/>
        </w:rPr>
        <w:t>(h)</w:t>
        <w:tab/>
        <w:t>Registration with the SEC</w:t>
      </w:r>
    </w:p>
    <w:p>
      <w:pPr>
        <w:spacing w:after="0" w:line="15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filed a registration statement on Form S-8 with the SEC on July 20, 2022 registering the shares of the Company’s Class A Common Stock reserved for issuance under the ESPP, which became effective immediately upon filing.</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2016 Equity Incentive Plan</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2016, the Legacy SoundHound Board adopted, and Legacy SoundHound’s stockholders approved, the SoundHound, Inc. 2016 Equity Incentive Plan (the “2016 Incentive Plan”). Each of the named executive officers hold options under the 2016 Incentive Plan, as described above.</w:t>
      </w:r>
    </w:p>
    <w:p>
      <w:pPr>
        <w:spacing w:after="0" w:line="9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As the SoundHound AI, Inc. 2022 Incentive Award Plan was approved by the Company’s stockholders as August 4, 2022, no further awards will be granted under the 2016 Incentive Plan.</w:t>
      </w:r>
    </w:p>
    <w:p>
      <w:pPr>
        <w:spacing w:after="0" w:line="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following describes the material terms of the 2016 Incentive Plan.</w:t>
      </w:r>
    </w:p>
    <w:p>
      <w:pPr>
        <w:spacing w:after="0" w:line="140"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Grants. </w:t>
      </w:r>
      <w:r>
        <w:rPr>
          <w:rFonts w:ascii="Times New Roman" w:cs="Times New Roman" w:eastAsia="Times New Roman" w:hAnsi="Times New Roman"/>
          <w:sz w:val="17"/>
          <w:szCs w:val="17"/>
          <w:color w:val="auto"/>
        </w:rPr>
        <w:t>The 2016 Incentive Plan provided both for the direct award or sale of shares and for the grant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ISOs and NQSOs. ISOs could be granted only to employees of Legacy SoundHound and its affiliates. All other awards could be granted to employees, non-employee directors and consultants of Legacy SoundHound and its affiliates.</w:t>
      </w:r>
    </w:p>
    <w:p>
      <w:pPr>
        <w:spacing w:after="0" w:line="103"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maximum number of shares of Legacy SoundHound common stock (now shares of our Class A Common Stock) that could be issued over the term of the 2016 Incentive Plan was 48,347,329 shares (the equivalent of 268,628,969 shares of Class A Common Stock). As of December 31, 2022, stock options to purchase 22,892,983 shares of our Class A Common Stock with a weighted-average exercise price of $4.00 per share were outstanding under the 2016 Incentive Plan. As of December 31, 2022, there were 1,470,387 RSUs outstanding under the 2016 Incentive Plan.</w:t>
      </w:r>
    </w:p>
    <w:p>
      <w:pPr>
        <w:spacing w:after="0" w:line="108"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Legacy SoundHound Board, or a committee with authority delegated by the Legacy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SoundHound Board, administered the 2016 Incentive Plan. The Board has assumed such administrative duties with respect to awards still outstanding under the 2006 Stock Plan. During the term of the 2006 Plan, and subject to its terms, the administrator had the power to determine: who would be granted awards, when and how each award would be granted, what type of award would be granted, the provisions of each award (which need not be identical), including when a person would be permitted to exercise or otherwise receive cash or shares under the award, the number of shares subject to an award, and the fair market value applicable to an award. The administrator also has the discretion to effect, with the consent of any adversely affected participant, the reduction of the exercise, purchase or strike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9" w:name="page110"/>
    <w:bookmarkEnd w:id="10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4" w:lineRule="auto"/>
        <w:rPr>
          <w:sz w:val="20"/>
          <w:szCs w:val="20"/>
          <w:color w:val="auto"/>
        </w:rPr>
      </w:pPr>
      <w:r>
        <w:rPr>
          <w:rFonts w:ascii="Times New Roman" w:cs="Times New Roman" w:eastAsia="Times New Roman" w:hAnsi="Times New Roman"/>
          <w:sz w:val="17"/>
          <w:szCs w:val="17"/>
          <w:color w:val="auto"/>
        </w:rPr>
        <w:t>price of any outstanding award; the cancellation of any outstanding award and the grant in substitution therefor of a new award or other valuable consideration, or any other action that is treated as a repricing under generally accepted accounting principles. The administrator also has the authority to accelerate the time(s) at which an award may vest or be exercised, and to construe, interpret, and settle all controversies regarding the terms of the 2016 Incentive Plan and awards granted thereunder.</w:t>
      </w:r>
    </w:p>
    <w:p>
      <w:pPr>
        <w:spacing w:after="0" w:line="105"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Options. </w:t>
      </w:r>
      <w:r>
        <w:rPr>
          <w:rFonts w:ascii="Times New Roman" w:cs="Times New Roman" w:eastAsia="Times New Roman" w:hAnsi="Times New Roman"/>
          <w:sz w:val="17"/>
          <w:szCs w:val="17"/>
          <w:color w:val="auto"/>
        </w:rPr>
        <w:t>Legacy SoundHound’s employees and service providers historically received stock options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the 2016 Incentive Plan. Each of the named executive officers has been granted a mix of ISOs and NSOs. See the “Outstanding Equity Awards at 2022 Fiscal Year End” table above for further information about the Company’s named executive officers’ outstanding options as of December 31, 2022.</w:t>
      </w:r>
    </w:p>
    <w:p>
      <w:pPr>
        <w:spacing w:after="0" w:line="103"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exercise price per share of options granted under the 2016 Incentive Plan were required to be at least 100% of the fair market value per share of Legacy SoundHound’s common stock on the grant date. Subject to the provisions of the 2016 Incentive Plan, the administrator determined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9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RSUs. </w:t>
      </w:r>
      <w:r>
        <w:rPr>
          <w:rFonts w:ascii="Times New Roman" w:cs="Times New Roman" w:eastAsia="Times New Roman" w:hAnsi="Times New Roman"/>
          <w:sz w:val="17"/>
          <w:szCs w:val="17"/>
          <w:color w:val="auto"/>
        </w:rPr>
        <w:t>A restricted stock unit (“RSU”) is a right to receive a share of Legacy SoundHound’s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(now shares of our Class A Common Stock), at no cost to the recipient, upon satisfaction of certain conditions, including vesting conditions, established by the administrator. RSUs vest at the rate determined by the administrator and any unvested RSUs will generally be forfeited upon termination of the recipient’s service. Settlement of RSUs may be made in the form of cash, stock or a combination of cash and stock, as determined by the administrator. Recipients of RSUs generally will have no voting or dividend rights prior to the time the vesting conditions are satisfied and the award is settled. At the administrator’s discretion and as set forth in the applicable award agreement, RSUs may provide for the right to dividend equivalents which will generally be subject to the same conditions and restrictions as the RSUs to which they pertain.</w:t>
      </w:r>
    </w:p>
    <w:p>
      <w:pPr>
        <w:spacing w:after="0" w:line="108"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Changes to Capital Structure; Corporate Transactions. </w:t>
      </w:r>
      <w:r>
        <w:rPr>
          <w:rFonts w:ascii="Times New Roman" w:cs="Times New Roman" w:eastAsia="Times New Roman" w:hAnsi="Times New Roman"/>
          <w:sz w:val="17"/>
          <w:szCs w:val="17"/>
          <w:color w:val="auto"/>
        </w:rPr>
        <w:t>In the event of certain changes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capital structure, such as a stock dividend, stock split or reverse stock split, appropriate adjustments will be made to (a) the number of shares available for issuance under the 2016 Incentive Plan, and (b) the number of shares covered by and, as applicable, the exercise price and the kind of underlying security of each outstanding award granted under the 2016 Incentive Plan. In the event the Company is party to a “corporate transaction” or “change in control” (as each is defined in the 2016 Incentive Plan), the administrator may take one or more of the following actions to provide for: (i) the continuation of the awards by the Company (if the Company is the surviving corporation), (ii) the assumption or substitution of awards by the successor or surviving corporation, (iii) upon written notice, the termination of unexercised or unvested awards prior to the reorganization event, (iv) the acceleration of vesting applicable to an award, (v) the cancellation and purchase of outstanding awards for the amount that could have been obtained upon the exercise of the award and sale of the underlying stock had such award been currently exercisable, or (vi) the cancellation of the outstanding award.</w:t>
      </w:r>
    </w:p>
    <w:p>
      <w:pPr>
        <w:spacing w:after="0" w:line="116"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Plan Amendment or Termination. </w:t>
      </w:r>
      <w:r>
        <w:rPr>
          <w:rFonts w:ascii="Times New Roman" w:cs="Times New Roman" w:eastAsia="Times New Roman" w:hAnsi="Times New Roman"/>
          <w:sz w:val="17"/>
          <w:szCs w:val="17"/>
          <w:color w:val="auto"/>
        </w:rPr>
        <w:t>The Legacy SoundHound Board, and then the Board, had the right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 modify, or terminate the 2016 Incentive Plan at any time, although such change could not materially impair a participant’s rights under an outstanding award without the participant’s written consent.</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2006 Stock Plan</w:t>
      </w:r>
    </w:p>
    <w:p>
      <w:pPr>
        <w:spacing w:after="0" w:line="14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2006, the Legacy SoundHound Board adopted, and Legacy SoundHound’s stockholders approved, the Melodis Corporation 2006 Stock Plan (the “2006 Stock Plan”). Following adoption of the 2016 Incentive Plan, as described below, no new awards were made under the 2006 Stock Plan and the 2006 Plan terminated in 2006, except with respect to awards that continued after such termination. The following describes the material terms of the 2006 Stock Plan.</w:t>
      </w:r>
    </w:p>
    <w:p>
      <w:pPr>
        <w:spacing w:after="0" w:line="105"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Grants, Generally. </w:t>
      </w:r>
      <w:r>
        <w:rPr>
          <w:rFonts w:ascii="Times New Roman" w:cs="Times New Roman" w:eastAsia="Times New Roman" w:hAnsi="Times New Roman"/>
          <w:sz w:val="17"/>
          <w:szCs w:val="17"/>
          <w:color w:val="auto"/>
        </w:rPr>
        <w:t>The 2006 Stock Plan provided both for the direct award or sale of shares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of incentive stock options (“ISOs”) and non-qualified stock options (“NSOs”). ISOs could be granted only to employees of Legacy SoundHound and its affiliates. All other awards could be granted to employees, non-employee directors and consultants of Legacy SoundHound and its affiliates.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0" w:name="page111"/>
    <w:bookmarkEnd w:id="11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maximum number of shares of SoundHound common stock (now shares of our Class A Common Stock) that could be issued over the term of the 2006 Stock Plan was 3,313,368 shares (the equivalent of 18,409,841 shares of Class A Common Stock). As of December 31, 2022, stock options to purchase 2,306,908 shares of our Class A Common Stock with a weighted-average exercise price of $1.15 per share were outstanding under the 2006 Stock Plan. As of December 31, 2022, there were no outstanding awards under the 2006 Stock Plan other than these options.</w:t>
      </w:r>
    </w:p>
    <w:p>
      <w:pPr>
        <w:spacing w:after="0" w:line="108"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Legacy SoundHound Board, or a committee with authority delegated by the Legacy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SoundHound Board, administered the 2006 Stock Plan. The Board has assumed such administrative duties with respect to awards still outstanding under the 2006 Stock Plan. During the term of the 2006 Plan, and subject to its terms, the administrator had the power to determine: who would be granted awards, when and how each award would be granted, what type of award would be granted, the provisions of each award (which need not be identical), including when a person would be permitted to exercise or otherwise receive cash or shares under the award, the number of shares subject to an award, and the fair market value applicable to an award. The administrator also has the discretion to effect, with the consent of any adversely affected participant, an option exchange program whereby outstanding options are exchanged for options with a lower exercise price or are amended to decrease the exercise price as a result of a decline in the fair market value of Legacy SoundHound’s common stock (now shares of our Class A Common Stock). The administrator also has the authority to accelerate the time(s) at which an award may vest or be exercised, and to construe, interpret, and settle all controversies regarding the terms of the 2006 Stock Plan and awards granted thereunder.</w:t>
      </w:r>
    </w:p>
    <w:p>
      <w:pPr>
        <w:spacing w:after="0" w:line="114" w:lineRule="exact"/>
        <w:rPr>
          <w:sz w:val="20"/>
          <w:szCs w:val="20"/>
          <w:color w:val="auto"/>
        </w:rPr>
      </w:pPr>
    </w:p>
    <w:p>
      <w:pPr>
        <w:jc w:val="both"/>
        <w:ind w:left="600" w:right="619" w:firstLine="416"/>
        <w:spacing w:after="0" w:line="295" w:lineRule="auto"/>
        <w:rPr>
          <w:sz w:val="20"/>
          <w:szCs w:val="20"/>
          <w:color w:val="auto"/>
        </w:rPr>
      </w:pPr>
      <w:r>
        <w:rPr>
          <w:rFonts w:ascii="Times New Roman" w:cs="Times New Roman" w:eastAsia="Times New Roman" w:hAnsi="Times New Roman"/>
          <w:sz w:val="17"/>
          <w:szCs w:val="17"/>
          <w:i w:val="1"/>
          <w:iCs w:val="1"/>
          <w:color w:val="auto"/>
        </w:rPr>
        <w:t xml:space="preserve">Options. </w:t>
      </w:r>
      <w:r>
        <w:rPr>
          <w:rFonts w:ascii="Times New Roman" w:cs="Times New Roman" w:eastAsia="Times New Roman" w:hAnsi="Times New Roman"/>
          <w:sz w:val="17"/>
          <w:szCs w:val="17"/>
          <w:color w:val="auto"/>
        </w:rPr>
        <w:t>Legacy SoundHound’s employees and service providers historically received stock options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the 2006 Stock Plan.</w:t>
      </w:r>
    </w:p>
    <w:p>
      <w:pPr>
        <w:spacing w:after="0" w:line="6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exercise price per share of options granted under the 2006 Stock Plan were required to be at least 100% of the fair market value per share of Legacy SoundHound’s common stock on the grant date. Subject to the provisions of the 2006 Stock Plan, the administrator determined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10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Changes to Capital Structure; Corporate Transactions. </w:t>
      </w:r>
      <w:r>
        <w:rPr>
          <w:rFonts w:ascii="Times New Roman" w:cs="Times New Roman" w:eastAsia="Times New Roman" w:hAnsi="Times New Roman"/>
          <w:sz w:val="17"/>
          <w:szCs w:val="17"/>
          <w:color w:val="auto"/>
        </w:rPr>
        <w:t>In the event of certain changes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capital structure, such as a stock split, reverse stock split, stock dividend, combination, recapitalization or reclassification of the common stock, or any other increase or decrease in the number of issued shares of Legacy SoundHound’s common stock (now shares of shares of our Class A Common Stock) effected without receipt of consideration by the Company, appropriate adjustments will be made to (a) the number of shares available for issuance under the 2006 Stock Plan, and (b) the number of shares covered by and, as applicable, the exercise price and the kind of underlying security of each outstanding award granted under the 2006 Stock Plan. In the event we are a party to a “corporate transaction” or “change of control” (as each is defined in the 2006 Stock Plan), each outstanding option shall be assumed or an equivalent option shall be substituted by such successor corporation or a parent or subsidiary of such successor corporation, unless the successor corporation does not agree to assume the award or to substitute an equivalent option, in which case such option shall terminate upon the consummation of the transaction.</w:t>
      </w:r>
    </w:p>
    <w:p>
      <w:pPr>
        <w:spacing w:after="0" w:line="116"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Plan Amendment or Termination. </w:t>
      </w:r>
      <w:r>
        <w:rPr>
          <w:rFonts w:ascii="Times New Roman" w:cs="Times New Roman" w:eastAsia="Times New Roman" w:hAnsi="Times New Roman"/>
          <w:sz w:val="17"/>
          <w:szCs w:val="17"/>
          <w:color w:val="auto"/>
        </w:rPr>
        <w:t>The Legacy SoundHound Board had the right to amend, modify,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terminate the 2006 Stock Plan at any time, prior to its termination, although such change could not materially and adversely affect a participant’s rights under an outstanding award without the participant’s written consent.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1" w:name="page112"/>
    <w:bookmarkEnd w:id="11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144"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is a description of each transaction since January 1, 2019 and each currently proposed transaction in which:</w:t>
      </w:r>
    </w:p>
    <w:p>
      <w:pPr>
        <w:spacing w:after="0" w:line="81" w:lineRule="exact"/>
        <w:rPr>
          <w:sz w:val="20"/>
          <w:szCs w:val="20"/>
          <w:color w:val="auto"/>
        </w:rPr>
      </w:pPr>
    </w:p>
    <w:p>
      <w:pPr>
        <w:ind w:left="1440" w:hanging="418"/>
        <w:spacing w:after="0"/>
        <w:tabs>
          <w:tab w:leader="none" w:pos="14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SoundHound AI or SoundHound has been or is to be a participant;</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involved exceeded or exceeds the lesser of (a) $120,000 or (b) one percent of the average of Legacy SoundHound’s total assets at year-end for the fiscal years ended December 31, 2021, 2020 and 2019; and</w:t>
      </w:r>
    </w:p>
    <w:p>
      <w:pPr>
        <w:spacing w:after="0" w:line="84" w:lineRule="exact"/>
        <w:rPr>
          <w:rFonts w:ascii="Times New Roman" w:cs="Times New Roman" w:eastAsia="Times New Roman" w:hAnsi="Times New Roman"/>
          <w:sz w:val="17"/>
          <w:szCs w:val="17"/>
          <w:color w:val="auto"/>
        </w:rPr>
      </w:pPr>
    </w:p>
    <w:p>
      <w:pPr>
        <w:jc w:val="both"/>
        <w:ind w:left="1440" w:right="619" w:hanging="418"/>
        <w:spacing w:after="0" w:line="267" w:lineRule="auto"/>
        <w:tabs>
          <w:tab w:leader="none" w:pos="143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SoundHound AI or Legacy SoundHound’s directors, executive officers or holders of more than 5% of its capital stock prior to the Business Combination, or any immediate family member of, or person sharing the household with, any of these individuals, had or will have a direct or indirect material interest.</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Since January 1, 2019, in connection with the equity financing rounds in which SoundHound AI or Legacy SoundHound has engaged since that date, the following agreements have been entered into (all of which are with investors in such financings, including holders of more than 5% of SoundHound A’s capital stock or Legacy SoundHound’s capital stock at the time of such agreements.</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Investors’ Rights Agreement</w:t>
      </w:r>
    </w:p>
    <w:p>
      <w:pPr>
        <w:spacing w:after="0" w:line="15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In connection with the issuances of shares of its Series D-3 Preferred Stock in August 2020, Legacy SoundHound entered into an amended and restated investors’ rights agreement (the “Investors’ Rights Agreement”) with certain holders of Legacy SoundHound’s capital stock. The Investors’ Rights Agreement provided for, among other things, certain preemptive rights and demand and S-3 registration rights. The following directors, executive officers and holders of more than 5% of Legacy SoundHound’s capital stock and their affiliates were parties to the Investors’ Rights Agreement:</w:t>
      </w:r>
    </w:p>
    <w:p>
      <w:pPr>
        <w:spacing w:after="0" w:line="97" w:lineRule="exact"/>
        <w:rPr>
          <w:sz w:val="20"/>
          <w:szCs w:val="20"/>
          <w:color w:val="auto"/>
        </w:rPr>
      </w:pPr>
    </w:p>
    <w:p>
      <w:pPr>
        <w:ind w:left="1440" w:hanging="418"/>
        <w:spacing w:after="0"/>
        <w:tabs>
          <w:tab w:leader="none" w:pos="14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Larry Marcus;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Catalyst Partners III, L.P.;</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Kamran Elahian;</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Walden Venture Capital VII, L.P.</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Investors’ Rights Agreement terminated upon the consummation of the Business Combination.</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Voting Agreement</w:t>
      </w:r>
    </w:p>
    <w:p>
      <w:pPr>
        <w:spacing w:after="0" w:line="15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In connection with the issuances of shares of its Series D-3 Preferred Stock in August 2020, Legacy SoundHound entered into an amended and restated voting agreement (the “Voting Agreement”) with certain holders of Legacy SoundHound’s capital stock. The Voting Agreement provided for, among other things, holders party thereto with certain voting rights in accordance with its terms, including in matters related to the composition of the Legacy SoundHound Board. The following directors, executive officers and holders of more than 5% of SoundHound capital stock and their affiliates were parties to the Voting Agreement:</w:t>
      </w:r>
    </w:p>
    <w:p>
      <w:pPr>
        <w:spacing w:after="0" w:line="97" w:lineRule="exact"/>
        <w:rPr>
          <w:sz w:val="20"/>
          <w:szCs w:val="20"/>
          <w:color w:val="auto"/>
        </w:rPr>
      </w:pPr>
    </w:p>
    <w:p>
      <w:pPr>
        <w:ind w:left="1440" w:hanging="418"/>
        <w:spacing w:after="0"/>
        <w:tabs>
          <w:tab w:leader="none" w:pos="14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Larry Marcus;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Catalyst Partners III, L.P.;</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Kamran Elahian;</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Walden Venture Capital VII, L.P.</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Voting Agreement terminated upon the consummation of the Business Combination.</w:t>
      </w:r>
    </w:p>
    <w:p>
      <w:pPr>
        <w:spacing w:after="0" w:line="1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2" w:name="page113"/>
    <w:bookmarkEnd w:id="11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Right of First Refusal and Co-Sale Agreement</w:t>
      </w:r>
    </w:p>
    <w:p>
      <w:pPr>
        <w:spacing w:after="0" w:line="146"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connection with the issuances of shares of its Series D-3 Preferred Stock in August 2020, Legacy SoundHound entered into an amended and restated right of first refusal and co-sale agreement (the “Co-Sale Agreement”) with certain holders of Legacy SoundHound’s capital stock. The following directors, executive officers and holders of more than 5% of Legacy SoundHound capital stock and their affiliates were parties to the Co-Sale Agreement:</w:t>
      </w:r>
    </w:p>
    <w:p>
      <w:pPr>
        <w:spacing w:after="0" w:line="107" w:lineRule="exact"/>
        <w:rPr>
          <w:sz w:val="20"/>
          <w:szCs w:val="20"/>
          <w:color w:val="auto"/>
        </w:rPr>
      </w:pPr>
    </w:p>
    <w:p>
      <w:pPr>
        <w:ind w:left="1440" w:hanging="418"/>
        <w:spacing w:after="0"/>
        <w:tabs>
          <w:tab w:leader="none" w:pos="14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Larry Marcus;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Catalyst Partners III, L.P.;</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Kamran Elahian;</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Walden Venture Capital VII, L.P.</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Co-Sale Agreement terminated upon the consummation of the Business Combination.</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Registration Rights Agreement</w:t>
      </w:r>
    </w:p>
    <w:p>
      <w:pPr>
        <w:spacing w:after="0" w:line="146"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 connection with the Business Combination, certain holders of Legacy SoundHound’s capital stock entered into an amended and restated registration rights agreement prior to the consummation of the Business Combination with certain existing stockholders of ATSP with respect to the shares of Class A Common Stock they owned at the time of the consummation of the Business Combination, and with certain Legacy SoundHound stockholders. The Amended and Restated Registration Rights Agreement requires the Company to, among other things, file a resale shelf registration statement on behalf of the stockholders no later than 60 days after consummation of the Business Combination. The Amended and Restated Registration Rights Agreement also provides certain demand registration rights and piggyback registration rights to the stockholders, subject to underwriter cutbacks and issuer blackout periods. The Company has agreed to pay certain fees and expenses relating to registrations under the Amended and Restated Registration Rights Agreement. On November 10, 2022, the Registration Statement on Form S-1, initially filed with the SEC on May 16, 2022, was declared effective by the SEC, relating to the Company’s obligations under the Amended and Restated Registration Rights Agreement.</w:t>
      </w:r>
    </w:p>
    <w:p>
      <w:pPr>
        <w:spacing w:after="0" w:line="3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Legacy SoundHound’s Engagement of Guggenheim Securities</w:t>
      </w:r>
    </w:p>
    <w:p>
      <w:pPr>
        <w:spacing w:after="0" w:line="159" w:lineRule="exact"/>
        <w:rPr>
          <w:sz w:val="20"/>
          <w:szCs w:val="20"/>
          <w:color w:val="auto"/>
        </w:rPr>
      </w:pPr>
    </w:p>
    <w:p>
      <w:pPr>
        <w:jc w:val="both"/>
        <w:ind w:left="600" w:right="619" w:firstLine="416"/>
        <w:spacing w:after="0" w:line="266" w:lineRule="auto"/>
        <w:rPr>
          <w:sz w:val="20"/>
          <w:szCs w:val="20"/>
          <w:color w:val="auto"/>
        </w:rPr>
      </w:pPr>
      <w:r>
        <w:rPr>
          <w:rFonts w:ascii="Times New Roman" w:cs="Times New Roman" w:eastAsia="Times New Roman" w:hAnsi="Times New Roman"/>
          <w:sz w:val="17"/>
          <w:szCs w:val="17"/>
          <w:color w:val="auto"/>
        </w:rPr>
        <w:t>In February 2021, Legacy SoundHound entered into an engagement letter (the “Guggenheim Engagement Letter”) pursuant to which Legacy SoundHound engaged Guggenheim Securities to act as</w:t>
      </w:r>
    </w:p>
    <w:p>
      <w:pPr>
        <w:spacing w:after="0" w:line="1" w:lineRule="exact"/>
        <w:rPr>
          <w:sz w:val="20"/>
          <w:szCs w:val="20"/>
          <w:color w:val="auto"/>
        </w:rPr>
      </w:pPr>
    </w:p>
    <w:p>
      <w:pPr>
        <w:jc w:val="both"/>
        <w:ind w:left="600" w:right="619" w:firstLine="6"/>
        <w:spacing w:after="0" w:line="259" w:lineRule="auto"/>
        <w:tabs>
          <w:tab w:leader="none" w:pos="872"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SoundHound’s financial advisor in connection with the Business Combination and (b) Legacy SoundHound’s capital markets advisor with respect to the PIPE Investment. Upon consummation of the Business Combination, Guggenheim Securities received certain agreed upon fees in consideration of its services pursuant to the Guggenheim Engagement Letter. In addition, we have agreed to reimburse Guggenheim Securities for certain expenses and to indemnify Guggenheim Securities against certain liabilities arising out of its engagement.</w:t>
      </w:r>
    </w:p>
    <w:p>
      <w:pPr>
        <w:spacing w:after="0" w:line="31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brother of Larry Marcus, one of the members of our Board, is a Senior Advisor to Guggenheim Securities, was a stockholder of Legacy SoundHound and a member of the Guggenheim Securities investment banking team engaged pursuant to the Guggenheim Engagement Letter. Mr. Marcus’ brother was an advisor to Legacy SoundHound (in consideration for which advisory services he received, in 2011, options to purchase shares of Legacy SoundHound common stock. In addition, Mr. Marcus’ brother separately owns an indirect equity stake in SoundHound AI that represents, in aggregate with the shares of Class A Common Stock he holds after exercising the options, an equity interest of less than one half of 1% of the total outstanding capital stock of SoundHound.AI. Mr. Marcus did not participate in Legacy SoundHound’s decision to engage Guggenheim Securities and disclosed the fact that his brother would be involved in the advisory services to be provided by Guggenheim Securities to Legacy SoundHound pursuant to the Guggenheim Engagement Letter in advance of the determination by the Legacy SoundHound Board to engage Guggenheim Securities.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Financing</w:t>
      </w:r>
    </w:p>
    <w:p>
      <w:pPr>
        <w:spacing w:after="0" w:line="146" w:lineRule="exact"/>
        <w:rPr>
          <w:sz w:val="20"/>
          <w:szCs w:val="20"/>
          <w:color w:val="auto"/>
        </w:rPr>
      </w:pPr>
    </w:p>
    <w:p>
      <w:pPr>
        <w:jc w:val="both"/>
        <w:ind w:left="600" w:right="619" w:firstLine="416"/>
        <w:spacing w:after="0" w:line="271" w:lineRule="auto"/>
        <w:rPr>
          <w:sz w:val="20"/>
          <w:szCs w:val="20"/>
          <w:color w:val="auto"/>
        </w:rPr>
      </w:pPr>
      <w:r>
        <w:rPr>
          <w:rFonts w:ascii="Times New Roman" w:cs="Times New Roman" w:eastAsia="Times New Roman" w:hAnsi="Times New Roman"/>
          <w:sz w:val="17"/>
          <w:szCs w:val="17"/>
          <w:color w:val="auto"/>
        </w:rPr>
        <w:t>As described elsewhere herein, on or around January 20, 2023, SoundHound AI entered into Preferred Stock Purchase Agreements with certain investors pursuant to which the Company issued and sold to the investors an aggregate of 835,011 shares of its newly designated Series A Preferred Stock for an aggregate issue price of</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3" w:name="page114"/>
    <w:bookmarkEnd w:id="11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approximately $25 million (see “Recent Developments” in the “Prospectus Summary” for more information regarding the Transaction). Our Chief Financial Officer, Nitesh Sharan, and one of our directors, Eric Ball, each participated in the Transaction, purchasing 3,334 shares of Series A Preferred Stock each for $100,000 each.</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Policies and Procedures for Related Party Transactions</w:t>
      </w:r>
    </w:p>
    <w:p>
      <w:pPr>
        <w:spacing w:after="0" w:line="159"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SoundHound AI has adopted a written related person transaction policy that sets forth the following policies and procedures for the review and approval or ratification of related person transactions.</w:t>
      </w:r>
    </w:p>
    <w:p>
      <w:pPr>
        <w:spacing w:after="0" w:line="81"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 “Related Person Transaction” is a transaction, arrangement or relationship in which SoundHound AI or any of its subsidiaries was, is or will be a participant, the amount of which involved exceeds the lesser of $120,000 or one percent of the average of SoundHound AI’s total assets at year-end for the last two completed fiscal years, and in which any related person had, has or will have a direct or indirect material interest. A “Related Person” means:</w:t>
      </w:r>
    </w:p>
    <w:p>
      <w:pPr>
        <w:spacing w:after="0" w:line="94" w:lineRule="exact"/>
        <w:rPr>
          <w:sz w:val="20"/>
          <w:szCs w:val="20"/>
          <w:color w:val="auto"/>
        </w:rPr>
      </w:pPr>
    </w:p>
    <w:p>
      <w:pPr>
        <w:ind w:left="1440" w:right="619" w:hanging="418"/>
        <w:spacing w:after="0" w:line="293" w:lineRule="auto"/>
        <w:tabs>
          <w:tab w:leader="none" w:pos="143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is, or at any time during the applicable period was, one of SoundHound AI’s officers or one of the SoundHound AI’s directors;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is known by SoundHound AI to be the beneficial owner of more than five percent (5%) of its voting stock;</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64" w:lineRule="auto"/>
        <w:tabs>
          <w:tab w:leader="none" w:pos="143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94"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firm, corporation or other entity in which any of the foregoing persons is a partner or principal or in a similar position or in which such person has a ten percent (10%) or greater beneficial ownership interest.</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will have the responsibility to review related party transactions.</w:t>
      </w:r>
    </w:p>
    <w:p>
      <w:pPr>
        <w:spacing w:after="0" w:line="1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All of the transactions described in this section were entered into prior to the adoption of this policy.</w:t>
      </w:r>
    </w:p>
    <w:p>
      <w:pPr>
        <w:spacing w:after="0" w:line="14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 xml:space="preserve">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is a part, and are available electronically on the website of the SEC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Related Person Transaction Policy</w:t>
      </w:r>
    </w:p>
    <w:p>
      <w:pPr>
        <w:spacing w:after="0" w:line="15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Effective upon the consummation of the Business Combination, SoundHound AI adopted a related person transaction policy that sets forth its procedures for the identification, review, consideration and approval or ratification of related person transactions. For purposes of SoundHound AI’s policy only, a related person transaction is a transaction, arrangement or relationship, or any series of similar transactions, arrangements or relationships, in which SoundHound AI and any related person are, were or will be participants in which the amount involved exceeds $120,000. Transactions involving compensation for services provided to SoundHound AI as an employee or director are not covered by this policy. A related person is any executive officer, director or beneficial owner of more than 5% of any class of SoundHound AI’s voting securities and any of their respective immediate family members and any entity owned or controlled by such persons.</w:t>
      </w:r>
    </w:p>
    <w:p>
      <w:pPr>
        <w:spacing w:after="0" w:line="11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SoundHound AI’s management must present information regarding the related person transaction to the Company’s audit committee, or, if audit committee approval would be inappropriate, to another independent body of SoundHound AI’s Board of Directors, for review, consideration and</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4" w:name="page115"/>
    <w:bookmarkEnd w:id="11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approval or ratification. The presentation must include a description of, among other things, the material facts, the interests, direct and indirect, of the related persons, the benefits to SoundHound AI of the transaction and whether the transaction is on terms that are comparable to the terms available to or from, as the case may be, an unrelated third party or to or from employees generally. Under the policy, SoundHound AI will collect information that SoundHound AI deems reasonably necessary from each director, executive officer and, to the extent feasible, significant stockholder to enable SoundHound AI to identify any existing or potential related-person transactions and to effectuate the terms of the policy. In addition, under SoundHound AI’s Code of Conduct that SoundHound AI expects to adopt prior to the Closing of this Business Combination, SoundHound AI’s employees and directors will have an affirmative responsibility to disclose any transaction or relationship that reasonably could be expected to give rise to a conflict of interest. In considering related person transactions, SoundHound AI’s audit committee, or other independent body of SoundHound AI’s Board of Directors, will take into account the relevant available facts and circumstances including, but not limited to:</w:t>
      </w:r>
    </w:p>
    <w:p>
      <w:pPr>
        <w:spacing w:after="0" w:line="116" w:lineRule="exact"/>
        <w:rPr>
          <w:sz w:val="20"/>
          <w:szCs w:val="20"/>
          <w:color w:val="auto"/>
        </w:rPr>
      </w:pPr>
    </w:p>
    <w:p>
      <w:pPr>
        <w:ind w:left="1440" w:hanging="418"/>
        <w:spacing w:after="0"/>
        <w:tabs>
          <w:tab w:leader="none" w:pos="14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costs and benefits to SoundHound AI;</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on a director’s independence in the event that the related person is a director, immediate family member of a director or an entity with which a director is affiliated;</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other sources for comparable services or products; and</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available to or from, as the case may be, unrelated third parties or to or from employees generally.</w:t>
      </w:r>
    </w:p>
    <w:p>
      <w:pPr>
        <w:spacing w:after="0" w:line="81"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The policy requires that, in determining whether to approve, ratify or reject a related person transaction, SoundHound AI’s audit committee, or other independent body of SoundHound AI’s Board of Directors, must consider, in light of known circumstances, whether the transaction is in, or is not inconsistent with, SoundHound AI’s best interests and those of SoundHound AI’s stockholders, as SoundHound AI’s audit committee, or other independent body of SoundHound AI’s Board of Directors, determines in the good faith exercise of its discretion.</w:t>
      </w:r>
    </w:p>
    <w:p>
      <w:pPr>
        <w:spacing w:after="0" w:line="3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ATSP Related Person Transactions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Founder Shares</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On January 4, 2021, the Sponsor paid $25,000, or approximately $0.009 per share for 2,875,000 Founder Shares. Up to 375,000 Founder Shares were subject to forfeiture by the Sponsor depending on the extent to which the underwriters’ over-allotment option was exercised. On March 10, 2021, ATSP effected a stock dividend of 0.2 shares for each founder share outstanding, resulting in an aggregate of 3,450,000 Founder Shares outstanding and held by the Sponsor and ATSP’s directors (up to 450,000 of which were subject to forfeiture by the Sponsor if the underwriters’ over-allotment option was not exercised in full). On March 19, 2021, the underwriters partially exercised the over-allotment option to purchase 1,300,000 public Units. As a result, 125,000 Founder Shares were forfeited.</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Private Units</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Simultaneously with the closing of the IPO, ATSP consummated the sale of 390,000 Private Units at a price of $10.00 per Private Unit in a private placement to the Sponsor and EarlyBirdCapital, Inc. (“EarlyBirdCapital”), generating gross proceeds of $3,900,000. Each Private Unit consisted of (i) one subunit, which consisted of one share of ATSP common stock and one-quarter of one redeemable Warrant, and (ii) one-quarter of one redeemable Warrant. ATSP granted the underwriters in the IPO a 45-day option to purchase up to 1,800,000 additional Units to cover over-allotments, if any. On March 19, 2021, the underwriters partially exercised the over-allotment option to purchase 1,300,000 Units, generating an aggregate of gross proceeds of $13,000,000. In connection with the underwriters’ exercise of their over-allotment option, ATSP also consummated the sale of an additional 26,000 Private Units at $10.00 per Private Unit to the Sponsor and EarlyBirdCapital, generating gross proceeds of $260,000.</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Promissory Note</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January 4, 2021, the Sponsor agreed to loan ATSP up to $300,000 to be used for a portion of the expenses of the IPO (the “Promissory Note”). These loans were non-interest bearing, unsecured and were due at the earlier of March 31, 2021 or the closing of the IPO.</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5" w:name="page116"/>
    <w:bookmarkEnd w:id="11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On February 1, 2021, the Sponsor funded to ATSP $100,000 pursuant to the Promissory Note. On February 10, 2021, the Sponsor funded to ATSP an additional $25,000 pursuant to the Promissory Note, for an aggregate amount of $125,000. On March 15, 2021, the Promissory Note in an aggregate amount of $125,000 was fully repaid by ATSP to the Sponsor.</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Consulting Agreement</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March 16, 2021, ATSP entered into a Consulting Agreement with Dr. Julia, a director of ATSP, pursuant to which Dr. Julia agreed to introduce to ATSP one or more potential candidates for ATSP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Upon the Closing, Dr. Julia was entitled to a finder’s fee of $2.66 million.</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Related Party Loans</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 order to meet the working capital needs following the consummation of the IPO if the funds not held in the Trust Account are insufficient, the Sponsor, Initial Stockholders, officers, directors and their affiliates could have, but were not obligated to, loan ATSP funds, from time to time or at any time, in whatever amount they deem reasonable in their sole discretion.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consisted of one share of ATSP common stock and one-quarter of one Warrant, and (ii) one-quarter of one Warrant, where the ATSP common stock and warrants would be identical to the ATSP common stock and warrants included in the Private Units. At the closing of the Business Combination, no such working capital loans were outstanding.</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Administrative Service Fee</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Commencing on the effective date of the registration statement of the IPO through the acquisition of a target business, ATSP paid an affiliate of the Chief Executive Officer, an aggregate fee of $10,000 per month for providing ATSP with office space and certain office and secretarial services. As of December 31, 2021, ATSP had recorded $97,097 for the period from March 10, 2021 through December 31, 2021.</w:t>
      </w:r>
    </w:p>
    <w:p>
      <w:pPr>
        <w:spacing w:after="0" w:line="10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Other than the foregoing, no compensation of any kind, including any reimbursement, consulting fee or monies in respect of any payment of a loan, was paid by us to the Sponsor, officers and directors, or any of their affiliates, prior to, or in connection with any services rendered in order to effectuate, the consummation of an initial business combination (regardless of the type of transaction that it is). However, these individuals were eligible to be reimbursed for any out-of-pocket expenses incurred in connection with activities on our behalf such as identifying potential target businesses and performing due diligence on suitable business combinations. Our audit committee reviewed on a quarterly basis all payments that were made to the Sponsor, officers, directors or our or their affiliates and determined which expenses and the amount of expenses that were reimbursed. There was no cap or ceiling on the reimbursement of out-of-pocket expenses incurred by such persons in connection with activities on our behalf.</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6" w:name="page117"/>
    <w:bookmarkEnd w:id="11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PRINCIPAL STOCKHOLDERS</w:t>
      </w:r>
    </w:p>
    <w:p>
      <w:pPr>
        <w:spacing w:after="0" w:line="144"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sets forth information known to the Company regarding beneficial ownership of shares of the Company’s Class A Common Stock and Class B Common Stock as of January 27, 2023 by:</w:t>
      </w:r>
    </w:p>
    <w:p>
      <w:pPr>
        <w:spacing w:after="0" w:line="81" w:lineRule="exact"/>
        <w:rPr>
          <w:sz w:val="20"/>
          <w:szCs w:val="20"/>
          <w:color w:val="auto"/>
        </w:rPr>
      </w:pPr>
    </w:p>
    <w:p>
      <w:pPr>
        <w:ind w:left="1440" w:right="619" w:hanging="418"/>
        <w:spacing w:after="0" w:line="293" w:lineRule="auto"/>
        <w:tabs>
          <w:tab w:leader="none" w:pos="143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by the Company to be the beneficial owner of more than 5% of the Company’s outstanding Class A Common Stock and Class B Common Stock;</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Company’s named executive officers and directors; and</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executive officers and directors as a group.</w:t>
      </w:r>
    </w:p>
    <w:p>
      <w:pPr>
        <w:spacing w:after="0" w:line="15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including options, warrants and certain other derivative securities that are currently exercisable or will become exercisable within 60 days.</w:t>
      </w:r>
    </w:p>
    <w:p>
      <w:pPr>
        <w:spacing w:after="0" w:line="10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percentage of beneficial ownership is based on 200,076,039 shares of Company common stock issued and outstanding as of January 27, 2023, which calculation includes (i) 160,340,631 shares of the Company’s Class A Common Stock and (ii) 39,735,408 shares of the Company’s Class B Common Stock. Voting power represents the combined voting power of shares of Class A Common Stock and Class B Common Stock owned beneficially by such person.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99"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accordance with SEC rules, shares of our common stock which may be acquired upon exercise of stock options or warrants which are currently exercisable or which become exercisable within 60 days after January 27, 2023 are deemed beneficially owned by the holders of such options and warrants and are deemed outstanding for the purpose of computing the percentage of ownership of such person, but are not treated as outstanding for the purpose of computing the percentage of ownership of any other person.</w:t>
      </w:r>
    </w:p>
    <w:p>
      <w:pPr>
        <w:spacing w:after="0" w:line="10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Unless otherwise indicated, the business address of each of the entities, directors and executives in this table is 5400 Betsy Ross Drive, Santa Clara, CA 95054. Unless otherwise indicated and subject to community property laws and similar laws, the Company believes that all parties named in the table below have sole voting and investment power with respect to all shares of common stock beneficially owned by them.</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7" w:name="page118"/>
    <w:bookmarkEnd w:id="11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Beneficial Ownership Table</w:t>
      </w:r>
    </w:p>
    <w:p>
      <w:pPr>
        <w:spacing w:after="0" w:line="18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Shares of Class A</w:t>
            </w:r>
          </w:p>
        </w:tc>
        <w:tc>
          <w:tcPr>
            <w:tcW w:w="620" w:type="dxa"/>
            <w:vAlign w:val="bottom"/>
          </w:tcPr>
          <w:p>
            <w:pPr>
              <w:spacing w:after="0"/>
              <w:rPr>
                <w:sz w:val="16"/>
                <w:szCs w:val="16"/>
                <w:color w:val="auto"/>
              </w:rPr>
            </w:pPr>
          </w:p>
        </w:tc>
        <w:tc>
          <w:tcPr>
            <w:tcW w:w="1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Shares of Class B</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 of Total</w:t>
            </w:r>
          </w:p>
        </w:tc>
      </w:tr>
      <w:tr>
        <w:trPr>
          <w:trHeight w:val="205"/>
        </w:trPr>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Owners</w:t>
            </w: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Common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Class</w:t>
            </w:r>
          </w:p>
        </w:tc>
        <w:tc>
          <w:tcPr>
            <w:tcW w:w="8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Class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Voting Power</w:t>
            </w:r>
          </w:p>
        </w:tc>
      </w:tr>
      <w:tr>
        <w:trPr>
          <w:trHeight w:val="45"/>
        </w:trPr>
        <w:tc>
          <w:tcPr>
            <w:tcW w:w="28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46"/>
        </w:trPr>
        <w:tc>
          <w:tcPr>
            <w:tcW w:w="20" w:type="dxa"/>
            <w:vAlign w:val="bottom"/>
          </w:tcPr>
          <w:p>
            <w:pPr>
              <w:spacing w:after="0"/>
              <w:rPr>
                <w:sz w:val="21"/>
                <w:szCs w:val="21"/>
                <w:color w:val="auto"/>
              </w:rPr>
            </w:pPr>
          </w:p>
        </w:tc>
        <w:tc>
          <w:tcPr>
            <w:tcW w:w="27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3"/>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Keyvan Mohajer</w:t>
            </w:r>
            <w:r>
              <w:rPr>
                <w:rFonts w:ascii="Times New Roman" w:cs="Times New Roman" w:eastAsia="Times New Roman" w:hAnsi="Times New Roman"/>
                <w:sz w:val="20"/>
                <w:szCs w:val="20"/>
                <w:color w:val="auto"/>
                <w:vertAlign w:val="superscript"/>
              </w:rPr>
              <w:t>(1)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1,070,935</w:t>
            </w:r>
          </w:p>
        </w:tc>
        <w:tc>
          <w:tcPr>
            <w:tcW w:w="8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16,639,064</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273"/>
        </w:trPr>
        <w:tc>
          <w:tcPr>
            <w:tcW w:w="20" w:type="dxa"/>
            <w:vAlign w:val="bottom"/>
          </w:tcPr>
          <w:p>
            <w:pPr>
              <w:spacing w:after="0"/>
              <w:rPr>
                <w:sz w:val="23"/>
                <w:szCs w:val="23"/>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Hom</w:t>
            </w:r>
            <w:r>
              <w:rPr>
                <w:rFonts w:ascii="Times New Roman" w:cs="Times New Roman" w:eastAsia="Times New Roman" w:hAnsi="Times New Roman"/>
                <w:sz w:val="20"/>
                <w:szCs w:val="20"/>
                <w:color w:val="auto"/>
                <w:vertAlign w:val="superscript"/>
              </w:rPr>
              <w:t>(2)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84,028</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4,512,588</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73"/>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Larry Marcus</w:t>
            </w:r>
            <w:r>
              <w:rPr>
                <w:rFonts w:ascii="Times New Roman" w:cs="Times New Roman" w:eastAsia="Times New Roman" w:hAnsi="Times New Roman"/>
                <w:sz w:val="20"/>
                <w:szCs w:val="20"/>
                <w:color w:val="auto"/>
                <w:vertAlign w:val="superscript"/>
              </w:rPr>
              <w:t>(3)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945,846</w:t>
            </w:r>
          </w:p>
        </w:tc>
        <w:tc>
          <w:tcPr>
            <w:tcW w:w="8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3"/>
        </w:trPr>
        <w:tc>
          <w:tcPr>
            <w:tcW w:w="20" w:type="dxa"/>
            <w:vAlign w:val="bottom"/>
          </w:tcPr>
          <w:p>
            <w:pPr>
              <w:spacing w:after="0"/>
              <w:rPr>
                <w:sz w:val="23"/>
                <w:szCs w:val="23"/>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Diana Sroka</w:t>
            </w:r>
            <w:r>
              <w:rPr>
                <w:rFonts w:ascii="Times New Roman" w:cs="Times New Roman" w:eastAsia="Times New Roman" w:hAnsi="Times New Roman"/>
                <w:sz w:val="20"/>
                <w:szCs w:val="20"/>
                <w:color w:val="auto"/>
                <w:vertAlign w:val="superscript"/>
              </w:rPr>
              <w:t>(4)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26,095</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3"/>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Eric R. Ball</w:t>
            </w:r>
            <w:r>
              <w:rPr>
                <w:rFonts w:ascii="Times New Roman" w:cs="Times New Roman" w:eastAsia="Times New Roman" w:hAnsi="Times New Roman"/>
                <w:sz w:val="20"/>
                <w:szCs w:val="20"/>
                <w:color w:val="auto"/>
                <w:vertAlign w:val="superscript"/>
              </w:rPr>
              <w:t>(5)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606,345</w:t>
            </w:r>
          </w:p>
        </w:tc>
        <w:tc>
          <w:tcPr>
            <w:tcW w:w="8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3"/>
        </w:trPr>
        <w:tc>
          <w:tcPr>
            <w:tcW w:w="20" w:type="dxa"/>
            <w:vAlign w:val="bottom"/>
          </w:tcPr>
          <w:p>
            <w:pPr>
              <w:spacing w:after="0"/>
              <w:rPr>
                <w:sz w:val="23"/>
                <w:szCs w:val="23"/>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Dr. Seyed Majid Emami</w:t>
            </w:r>
            <w:r>
              <w:rPr>
                <w:rFonts w:ascii="Times New Roman" w:cs="Times New Roman" w:eastAsia="Times New Roman" w:hAnsi="Times New Roman"/>
                <w:sz w:val="20"/>
                <w:szCs w:val="20"/>
                <w:color w:val="auto"/>
                <w:vertAlign w:val="superscript"/>
              </w:rPr>
              <w:t>(6)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750,776</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18,583,756</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r>
      <w:tr>
        <w:trPr>
          <w:trHeight w:val="273"/>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Zubin Irani</w:t>
            </w:r>
            <w:r>
              <w:rPr>
                <w:rFonts w:ascii="Times New Roman" w:cs="Times New Roman" w:eastAsia="Times New Roman" w:hAnsi="Times New Roman"/>
                <w:sz w:val="20"/>
                <w:szCs w:val="20"/>
                <w:color w:val="auto"/>
                <w:vertAlign w:val="superscript"/>
              </w:rPr>
              <w:t>(7)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233,423</w:t>
            </w:r>
          </w:p>
        </w:tc>
        <w:tc>
          <w:tcPr>
            <w:tcW w:w="8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3"/>
        </w:trPr>
        <w:tc>
          <w:tcPr>
            <w:tcW w:w="20" w:type="dxa"/>
            <w:vAlign w:val="bottom"/>
          </w:tcPr>
          <w:p>
            <w:pPr>
              <w:spacing w:after="0"/>
              <w:rPr>
                <w:sz w:val="23"/>
                <w:szCs w:val="23"/>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Timothy Stonehocker</w:t>
            </w:r>
            <w:r>
              <w:rPr>
                <w:rFonts w:ascii="Times New Roman" w:cs="Times New Roman" w:eastAsia="Times New Roman" w:hAnsi="Times New Roman"/>
                <w:sz w:val="20"/>
                <w:szCs w:val="20"/>
                <w:color w:val="auto"/>
                <w:vertAlign w:val="superscript"/>
              </w:rPr>
              <w:t>(8)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1,640,591</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3"/>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Nitesh Sharan</w:t>
            </w:r>
            <w:r>
              <w:rPr>
                <w:rFonts w:ascii="Times New Roman" w:cs="Times New Roman" w:eastAsia="Times New Roman" w:hAnsi="Times New Roman"/>
                <w:sz w:val="20"/>
                <w:szCs w:val="20"/>
                <w:color w:val="auto"/>
                <w:vertAlign w:val="superscript"/>
              </w:rPr>
              <w:t>(9)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272,001</w:t>
            </w:r>
          </w:p>
        </w:tc>
        <w:tc>
          <w:tcPr>
            <w:tcW w:w="8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3"/>
        </w:trPr>
        <w:tc>
          <w:tcPr>
            <w:tcW w:w="20" w:type="dxa"/>
            <w:vAlign w:val="bottom"/>
          </w:tcPr>
          <w:p>
            <w:pPr>
              <w:spacing w:after="0"/>
              <w:rPr>
                <w:sz w:val="23"/>
                <w:szCs w:val="23"/>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Zagorsek</w:t>
            </w:r>
            <w:r>
              <w:rPr>
                <w:rFonts w:ascii="Times New Roman" w:cs="Times New Roman" w:eastAsia="Times New Roman" w:hAnsi="Times New Roman"/>
                <w:sz w:val="20"/>
                <w:szCs w:val="20"/>
                <w:color w:val="auto"/>
                <w:vertAlign w:val="superscript"/>
              </w:rPr>
              <w:t>(10)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1,054,864</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188"/>
        </w:trPr>
        <w:tc>
          <w:tcPr>
            <w:tcW w:w="20" w:type="dxa"/>
            <w:vAlign w:val="bottom"/>
          </w:tcPr>
          <w:p>
            <w:pPr>
              <w:spacing w:after="0"/>
              <w:rPr>
                <w:sz w:val="16"/>
                <w:szCs w:val="16"/>
                <w:color w:val="auto"/>
              </w:rPr>
            </w:pPr>
          </w:p>
        </w:tc>
        <w:tc>
          <w:tcPr>
            <w:tcW w:w="2780" w:type="dxa"/>
            <w:vAlign w:val="bottom"/>
          </w:tcPr>
          <w:p>
            <w:pPr>
              <w:spacing w:after="0" w:line="188" w:lineRule="exact"/>
              <w:rPr>
                <w:sz w:val="20"/>
                <w:szCs w:val="20"/>
                <w:color w:val="auto"/>
              </w:rPr>
            </w:pPr>
            <w:r>
              <w:rPr>
                <w:rFonts w:ascii="Times New Roman" w:cs="Times New Roman" w:eastAsia="Times New Roman" w:hAnsi="Times New Roman"/>
                <w:sz w:val="17"/>
                <w:szCs w:val="17"/>
                <w:i w:val="1"/>
                <w:iCs w:val="1"/>
                <w:color w:val="auto"/>
              </w:rPr>
              <w:t>All directors and executive officers as a</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2780" w:type="dxa"/>
            <w:vAlign w:val="bottom"/>
          </w:tcPr>
          <w:p>
            <w:pPr>
              <w:ind w:left="160"/>
              <w:spacing w:after="0"/>
              <w:rPr>
                <w:sz w:val="20"/>
                <w:szCs w:val="20"/>
                <w:color w:val="auto"/>
              </w:rPr>
            </w:pPr>
            <w:r>
              <w:rPr>
                <w:rFonts w:ascii="Times New Roman" w:cs="Times New Roman" w:eastAsia="Times New Roman" w:hAnsi="Times New Roman"/>
                <w:sz w:val="17"/>
                <w:szCs w:val="17"/>
                <w:i w:val="1"/>
                <w:iCs w:val="1"/>
                <w:color w:val="auto"/>
              </w:rPr>
              <w:t>group (10 individuals)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6,684,904</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39,735,408</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w:t>
            </w:r>
          </w:p>
        </w:tc>
      </w:tr>
      <w:tr>
        <w:trPr>
          <w:trHeight w:val="39"/>
        </w:trPr>
        <w:tc>
          <w:tcPr>
            <w:tcW w:w="28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5% Holders</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81"/>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Global Catalyst Partners III, L.P.</w:t>
            </w:r>
            <w:r>
              <w:rPr>
                <w:rFonts w:ascii="Times New Roman" w:cs="Times New Roman" w:eastAsia="Times New Roman" w:hAnsi="Times New Roman"/>
                <w:sz w:val="20"/>
                <w:szCs w:val="20"/>
                <w:color w:val="auto"/>
                <w:vertAlign w:val="superscript"/>
              </w:rPr>
              <w:t>(11)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35,188,205</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8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bl>
    <w:p>
      <w:pPr>
        <w:spacing w:after="0" w:line="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____________</w:t>
      </w:r>
    </w:p>
    <w:p>
      <w:pPr>
        <w:spacing w:after="0" w:line="102" w:lineRule="exact"/>
        <w:rPr>
          <w:sz w:val="20"/>
          <w:szCs w:val="20"/>
          <w:color w:val="auto"/>
        </w:rPr>
      </w:pPr>
    </w:p>
    <w:p>
      <w:pPr>
        <w:ind w:left="1000" w:hanging="394"/>
        <w:spacing w:after="0"/>
        <w:tabs>
          <w:tab w:leader="none" w:pos="10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19" w:lineRule="exact"/>
        <w:rPr>
          <w:sz w:val="20"/>
          <w:szCs w:val="20"/>
          <w:color w:val="auto"/>
        </w:rPr>
      </w:pPr>
    </w:p>
    <w:p>
      <w:pPr>
        <w:jc w:val="both"/>
        <w:ind w:left="1020" w:right="619" w:hanging="414"/>
        <w:spacing w:after="0" w:line="254"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833,435 shares of Class A Common Stock that are issuable upon exercise of stock options which are currently exercisable and 55,000 shares of Class A Common Stock issuable upon vesting of outstanding restricted stock units that vest within 60 days of January 27, 2023.</w:t>
      </w:r>
    </w:p>
    <w:p>
      <w:pPr>
        <w:ind w:left="1020" w:right="619" w:hanging="414"/>
        <w:spacing w:after="0" w:line="254"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19,722 shares of Class A Common Stock issuable upon vesting of outstanding restricted stock units that vest within 60 days of January 27, 2023.</w:t>
      </w:r>
    </w:p>
    <w:p>
      <w:pPr>
        <w:jc w:val="both"/>
        <w:ind w:left="1020" w:right="619" w:hanging="414"/>
        <w:spacing w:after="0" w:line="254"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5,219 shares of Class A Common Stock issuable upon vesting of outstanding restricted stock units that vest within 60 days of January 27, 2023 and 919,751 shares of Class A Common Stock held by Marcus Family Trust, dated 7/8/04, of which Larry Marcus is a co-trustee. Mr. Marcus disclaims beneficial ownership of the shares held by the trust except to the extent of any pecuniary interest he may have therein. Does not include securities held of record by Walden Sprout Opportunities Fund-A, LLC because Mr. Marcus is one of three managing members of such fund, he is not deemed to be a beneficial owner of the securities held by such fund. Mr. Marcus’s business address is 2105 Woodside Rd, Woodside, CA 94062.</w:t>
      </w:r>
    </w:p>
    <w:p>
      <w:pPr>
        <w:spacing w:after="0" w:line="1" w:lineRule="exact"/>
        <w:rPr>
          <w:rFonts w:ascii="Times New Roman" w:cs="Times New Roman" w:eastAsia="Times New Roman" w:hAnsi="Times New Roman"/>
          <w:sz w:val="16"/>
          <w:szCs w:val="16"/>
          <w:color w:val="auto"/>
        </w:rPr>
      </w:pPr>
    </w:p>
    <w:p>
      <w:pPr>
        <w:ind w:left="1020" w:right="619" w:hanging="414"/>
        <w:spacing w:after="0" w:line="254"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5,219 shares of Class A Common Stock issuable upon vesting of outstanding restricted stock units that vest within 60 days of January 27, 2023.</w:t>
      </w:r>
    </w:p>
    <w:p>
      <w:pPr>
        <w:jc w:val="both"/>
        <w:ind w:left="1020" w:right="619" w:hanging="414"/>
        <w:spacing w:after="0" w:line="254"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5,219 shares of Class A Common Stock issuable upon vesting of outstanding restricted stock units that vest within 60 days of January 27, 2023 and 580,250 shares of Class A Common Stock held of record by the Ball Axline Living Trust (dated July 22, 2014) of which Mr. Ball is a joint trustee. Mr. Ball disclaims beneficial ownership of the shares held by the trust except to the extent of any pecuniary interest he may have therein.</w:t>
      </w:r>
    </w:p>
    <w:p>
      <w:pPr>
        <w:jc w:val="both"/>
        <w:ind w:left="1020" w:right="619" w:hanging="414"/>
        <w:spacing w:after="0" w:line="254"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666,748 shares of Class A Common Stock that are issuable upon exercise of stock options which are currently exercisable and 19,722 shares of Class A Common Stock issuable upon vesting of outstanding restricted stock units that vest within 60 days of January 27, 2023.</w:t>
      </w:r>
    </w:p>
    <w:p>
      <w:pPr>
        <w:jc w:val="both"/>
        <w:ind w:left="1020" w:right="619" w:hanging="414"/>
        <w:spacing w:after="0" w:line="254"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64,310 shares of Class A Common Stock that are issuable upon exercise of stock options which are currently exercisable and 25,000 shares of Class A Common Stock issuable upon vesting of outstanding restricted stock units that vest within 60 days of January 27, 2023.</w:t>
      </w:r>
    </w:p>
    <w:p>
      <w:pPr>
        <w:jc w:val="both"/>
        <w:ind w:left="1020" w:right="619" w:hanging="414"/>
        <w:spacing w:after="0" w:line="254"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750,964 shares of Class A Common Stock in exchange for securities pursuant to the Merger Agreement, 82,861 shares of Class A Common Stock from settlement of RSUs, 788,294 shares of Class A Common Stock that are issuable upon exercise of stock options that are currently exercisable or exercisable within 60 days of January 27, 2023 and 18,472 shares of Class A Common Stock issuable upon vesting of outstanding restricted stock units that vest within 60 days of January 27, 2023.</w:t>
      </w:r>
    </w:p>
    <w:p>
      <w:pPr>
        <w:jc w:val="both"/>
        <w:ind w:left="1020" w:right="619" w:hanging="414"/>
        <w:spacing w:after="0" w:line="261"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115,751 shares of Class A Common Stock that are issuable upon exercise of stock options which are currently exercisable or exercisable within 60 days of January 27, 2023 and 25,000 shares of Class A Common Stock issuable upon vesting of outstanding restricted stock units that vest within 60 days of January 27, 2023.</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8" w:name="page119"/>
    <w:bookmarkEnd w:id="11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1" w:lineRule="exact"/>
        <w:rPr>
          <w:sz w:val="20"/>
          <w:szCs w:val="20"/>
          <w:color w:val="auto"/>
        </w:rPr>
      </w:pPr>
    </w:p>
    <w:p>
      <w:pPr>
        <w:jc w:val="both"/>
        <w:ind w:left="1020" w:right="619" w:hanging="414"/>
        <w:spacing w:after="0" w:line="251" w:lineRule="auto"/>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948,614 shares of Class A Common Stock that are issuable upon exercise of stock options which are currently exercisable or exercisable within 60 days of January 27, 2023 and 25,000 shares of Class A Common Stock issuable upon vesting of outstanding restricted stock units that vest within 60 days of January 27, 2023.</w:t>
      </w:r>
    </w:p>
    <w:p>
      <w:pPr>
        <w:spacing w:after="0" w:line="1" w:lineRule="exact"/>
        <w:rPr>
          <w:rFonts w:ascii="Times New Roman" w:cs="Times New Roman" w:eastAsia="Times New Roman" w:hAnsi="Times New Roman"/>
          <w:sz w:val="16"/>
          <w:szCs w:val="16"/>
          <w:color w:val="auto"/>
        </w:rPr>
      </w:pPr>
    </w:p>
    <w:p>
      <w:pPr>
        <w:jc w:val="both"/>
        <w:ind w:left="1020" w:right="619" w:hanging="414"/>
        <w:spacing w:after="0" w:line="259" w:lineRule="auto"/>
        <w:tabs>
          <w:tab w:leader="none" w:pos="1014"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Schedule 13D/A filed on May 13, 2022. Global Catalyst Venture Management III, LLC (“GCVM, III”) is the General Partner of Global Catalyst Partners III, L.P. None of the four managing members of GCVM III is deemed to have or share beneficial ownership with respect to such shares. The business address of Global Catalyst Partners III, L.P. is 309 Quinnhill Road, Los Altos, CA 94024.</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9" w:name="page120"/>
    <w:bookmarkEnd w:id="11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SELLING STOCKHOLDER</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 xml:space="preserve">This prospectus relates to the possible offer and resale from time to time by the Holder of up to 25,250,000 shares of our Class A Common Stock that may be issued by us to the Holder pursuant to the Purchase Agreement. For additional information regarding the issuance of the shares to be offered by the Holder included in this prospectus, see section entitled “The </w:t>
      </w:r>
      <w:r>
        <w:rPr>
          <w:rFonts w:ascii="Times New Roman" w:cs="Times New Roman" w:eastAsia="Times New Roman" w:hAnsi="Times New Roman"/>
          <w:sz w:val="17"/>
          <w:szCs w:val="17"/>
          <w:i w:val="1"/>
          <w:iCs w:val="1"/>
          <w:color w:val="auto"/>
        </w:rPr>
        <w:t>Committed Equity Financing</w:t>
      </w:r>
      <w:r>
        <w:rPr>
          <w:rFonts w:ascii="Times New Roman" w:cs="Times New Roman" w:eastAsia="Times New Roman" w:hAnsi="Times New Roman"/>
          <w:sz w:val="17"/>
          <w:szCs w:val="17"/>
          <w:color w:val="auto"/>
        </w:rPr>
        <w:t>” above. We are registering the shares included in this prospectus pursuant to the provisions of the Registration Rights Agreement in order to permit the Holder to offer the shares for resale from time to time. Except for the transactions contemplated by the Purchase Agreement and as set forth in the section titled “</w:t>
      </w:r>
      <w:r>
        <w:rPr>
          <w:rFonts w:ascii="Times New Roman" w:cs="Times New Roman" w:eastAsia="Times New Roman" w:hAnsi="Times New Roman"/>
          <w:sz w:val="17"/>
          <w:szCs w:val="17"/>
          <w:i w:val="1"/>
          <w:iCs w:val="1"/>
          <w:color w:val="auto"/>
        </w:rPr>
        <w:t>Plan of Distribution (Conflict of Interest)</w:t>
      </w:r>
      <w:r>
        <w:rPr>
          <w:rFonts w:ascii="Times New Roman" w:cs="Times New Roman" w:eastAsia="Times New Roman" w:hAnsi="Times New Roman"/>
          <w:sz w:val="17"/>
          <w:szCs w:val="17"/>
          <w:color w:val="auto"/>
        </w:rPr>
        <w:t>” in this prospectus, the Holder has not had any material relationship with us or any of our affiliates within the past three years. All of the data in the following table is as of January 27, 2023.</w:t>
      </w:r>
    </w:p>
    <w:p>
      <w:pPr>
        <w:spacing w:after="0" w:line="11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following table was prepared based on information provided to us by the Holder. It sets forth the name and address of the Holder, the aggregate number of shares of our Class A Common Stock that the Holder may offer pursuant to this prospectus, and the beneficial ownership of the Holder both before and after giving effect to the offering, assuming we sell to the Holder all of the 25,000,000 shares covered by this prospectus and issue to the Holder all 250,000 Commitment Shares. We have calculated percentage ownership based on 160,340,631 shares of our Class A Common Stock outstanding as of January 27, 2023.</w:t>
      </w:r>
    </w:p>
    <w:p>
      <w:pPr>
        <w:spacing w:after="0" w:line="11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We cannot advise you as to whether the Holder will in fact sell any or all of the securities set forth in the table below or how long the Holder will hold any shares before selling them. In addition, subject to compliance with applicable securities laws, the Holder may sell, transfer or otherwise dispose of, at any time and from time to time, such securities in transactions exempt from the registration requirements of the Securities Act after the date of this prospectus. For purposes of the below table, unless otherwise indicated below, we have assumed that the Holder will have sold all of the securities covered by this prospectus upon the completion of the offering.</w:t>
      </w:r>
    </w:p>
    <w:p>
      <w:pPr>
        <w:spacing w:after="0" w:line="34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Number of Shares of</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Class A Common</w:t>
            </w:r>
          </w:p>
        </w:tc>
        <w:tc>
          <w:tcPr>
            <w:tcW w:w="80" w:type="dxa"/>
            <w:vAlign w:val="bottom"/>
          </w:tcPr>
          <w:p>
            <w:pPr>
              <w:spacing w:after="0"/>
              <w:rPr>
                <w:sz w:val="16"/>
                <w:szCs w:val="16"/>
                <w:color w:val="auto"/>
              </w:rPr>
            </w:pP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Maximum Number of</w:t>
            </w: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Number of Shares of</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Class A Common Stock</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Shares of Common</w:t>
            </w:r>
          </w:p>
        </w:tc>
        <w:tc>
          <w:tcPr>
            <w:tcW w:w="1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Owned Prior to</w:t>
            </w:r>
          </w:p>
        </w:tc>
        <w:tc>
          <w:tcPr>
            <w:tcW w:w="8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Owned After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Stock to be Offered</w:t>
            </w:r>
          </w:p>
        </w:tc>
        <w:tc>
          <w:tcPr>
            <w:tcW w:w="1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8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vMerge w:val="restart"/>
          </w:tcPr>
          <w:p>
            <w:pPr>
              <w:jc w:val="center"/>
              <w:ind w:right="120"/>
              <w:spacing w:after="0" w:line="139" w:lineRule="exact"/>
              <w:rPr>
                <w:sz w:val="20"/>
                <w:szCs w:val="20"/>
                <w:color w:val="auto"/>
              </w:rPr>
            </w:pPr>
            <w:r>
              <w:rPr>
                <w:rFonts w:ascii="Times New Roman" w:cs="Times New Roman" w:eastAsia="Times New Roman" w:hAnsi="Times New Roman"/>
                <w:sz w:val="16"/>
                <w:szCs w:val="16"/>
                <w:b w:val="1"/>
                <w:bCs w:val="1"/>
                <w:color w:val="auto"/>
                <w:w w:val="96"/>
              </w:rPr>
              <w:t>Pursuant to this</w:t>
            </w:r>
          </w:p>
        </w:tc>
        <w:tc>
          <w:tcPr>
            <w:tcW w:w="1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of Selling Stockholder</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Number</w:t>
            </w:r>
            <w:r>
              <w:rPr>
                <w:rFonts w:ascii="Times New Roman" w:cs="Times New Roman" w:eastAsia="Times New Roman" w:hAnsi="Times New Roman"/>
                <w:sz w:val="18"/>
                <w:szCs w:val="18"/>
                <w:b w:val="1"/>
                <w:bCs w:val="1"/>
                <w:color w:val="auto"/>
                <w:vertAlign w:val="superscript"/>
              </w:rPr>
              <w:t>(1)</w:t>
            </w:r>
          </w:p>
        </w:tc>
        <w:tc>
          <w:tcPr>
            <w:tcW w:w="7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Percent</w:t>
            </w:r>
            <w:r>
              <w:rPr>
                <w:rFonts w:ascii="Times New Roman" w:cs="Times New Roman" w:eastAsia="Times New Roman" w:hAnsi="Times New Roman"/>
                <w:sz w:val="18"/>
                <w:szCs w:val="18"/>
                <w:b w:val="1"/>
                <w:bCs w:val="1"/>
                <w:color w:val="auto"/>
                <w:w w:val="99"/>
                <w:vertAlign w:val="superscript"/>
              </w:rPr>
              <w:t>(2)</w:t>
            </w:r>
          </w:p>
        </w:tc>
        <w:tc>
          <w:tcPr>
            <w:tcW w:w="80" w:type="dxa"/>
            <w:vAlign w:val="bottom"/>
          </w:tcPr>
          <w:p>
            <w:pPr>
              <w:spacing w:after="0"/>
              <w:rPr>
                <w:sz w:val="22"/>
                <w:szCs w:val="22"/>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Prospectus</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Number</w:t>
            </w:r>
            <w:r>
              <w:rPr>
                <w:rFonts w:ascii="Times New Roman" w:cs="Times New Roman" w:eastAsia="Times New Roman" w:hAnsi="Times New Roman"/>
                <w:sz w:val="18"/>
                <w:szCs w:val="18"/>
                <w:b w:val="1"/>
                <w:bCs w:val="1"/>
                <w:color w:val="auto"/>
                <w:vertAlign w:val="superscript"/>
              </w:rPr>
              <w:t>(3)</w:t>
            </w:r>
          </w:p>
        </w:tc>
        <w:tc>
          <w:tcPr>
            <w:tcW w:w="8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Percent</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CF Principal Investments LLC</w:t>
            </w:r>
            <w:r>
              <w:rPr>
                <w:rFonts w:ascii="Times New Roman" w:cs="Times New Roman" w:eastAsia="Times New Roman" w:hAnsi="Times New Roman"/>
                <w:sz w:val="20"/>
                <w:szCs w:val="20"/>
                <w:color w:val="auto"/>
                <w:vertAlign w:val="superscript"/>
              </w:rPr>
              <w:t>(4)</w:t>
            </w:r>
          </w:p>
        </w:tc>
        <w:tc>
          <w:tcPr>
            <w:tcW w:w="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25,250,000</w:t>
            </w:r>
          </w:p>
        </w:tc>
        <w:tc>
          <w:tcPr>
            <w:tcW w:w="8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____________</w:t>
      </w:r>
    </w:p>
    <w:p>
      <w:pPr>
        <w:spacing w:after="0" w:line="102" w:lineRule="exact"/>
        <w:rPr>
          <w:sz w:val="20"/>
          <w:szCs w:val="20"/>
          <w:color w:val="auto"/>
        </w:rPr>
      </w:pPr>
    </w:p>
    <w:p>
      <w:pPr>
        <w:jc w:val="both"/>
        <w:ind w:left="1020" w:right="619" w:hanging="414"/>
        <w:spacing w:after="0" w:line="296" w:lineRule="auto"/>
        <w:tabs>
          <w:tab w:leader="none" w:pos="10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owned prior to this offering is as of January 27, 2023. In accordance with Rule 13d-3(d) under the Exchange Act, we have excluded from the number of shares beneficially owned prior to the offering all of the shares that the Holder may be required to purchase under the Purchase Agreement, because the issuance of such shares is solely at our discretion and is subject to conditions contained in the Purchase Agreement, the satisfaction of which are entirely outside of the Holder’s control, including the registration statement that includes this prospectus becoming and remaining effective. Furthermore, the purchases of shares of our Class A Common Stock are subject to certain agreed upon maximum amount limitations set forth in the Purchase Agreement. Also, the Purchase Agreement prohibits us from issuing and selling any shares to the Holder to the extent such shares, when aggregated with all other shares then beneficially owned by Cantor, would cause Cantor’s beneficial ownership of shares of our Class A Common Stock to exceed the 4.99% Beneficial Ownership Cap. The Purchase Agreement also prohibits us from issuing or selling shares of Class A Common Stock under the Purchase Agreement in excess of the 19.99% Exchange Cap, unless we obtain stockholder approval to do so. Neither the Beneficial Ownership Cap nor the Exchange Cap (to the extent applicable under Nasdaq rules) may be amended or waived under the Purchase Agreement.</w:t>
      </w:r>
    </w:p>
    <w:p>
      <w:pPr>
        <w:spacing w:after="0" w:line="159" w:lineRule="exact"/>
        <w:rPr>
          <w:rFonts w:ascii="Times New Roman" w:cs="Times New Roman" w:eastAsia="Times New Roman" w:hAnsi="Times New Roman"/>
          <w:sz w:val="14"/>
          <w:szCs w:val="14"/>
          <w:color w:val="auto"/>
        </w:rPr>
      </w:pPr>
    </w:p>
    <w:p>
      <w:pPr>
        <w:ind w:left="1020" w:hanging="414"/>
        <w:spacing w:after="0"/>
        <w:tabs>
          <w:tab w:leader="none" w:pos="10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percentage ownership is based on 160,340,631 shares of Class A Common Stock as of January 27, 2023.</w:t>
      </w:r>
    </w:p>
    <w:p>
      <w:pPr>
        <w:spacing w:after="0" w:line="33" w:lineRule="exact"/>
        <w:rPr>
          <w:rFonts w:ascii="Times New Roman" w:cs="Times New Roman" w:eastAsia="Times New Roman" w:hAnsi="Times New Roman"/>
          <w:sz w:val="14"/>
          <w:szCs w:val="14"/>
          <w:color w:val="auto"/>
        </w:rPr>
      </w:pPr>
    </w:p>
    <w:p>
      <w:pPr>
        <w:ind w:left="1020" w:hanging="414"/>
        <w:spacing w:after="0"/>
        <w:tabs>
          <w:tab w:leader="none" w:pos="10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sale of all shares of Class A Common Stock being offered pursuant to this prospectus.</w:t>
      </w:r>
    </w:p>
    <w:p>
      <w:pPr>
        <w:spacing w:after="0" w:line="10" w:lineRule="exact"/>
        <w:rPr>
          <w:rFonts w:ascii="Times New Roman" w:cs="Times New Roman" w:eastAsia="Times New Roman" w:hAnsi="Times New Roman"/>
          <w:sz w:val="16"/>
          <w:szCs w:val="16"/>
          <w:color w:val="auto"/>
        </w:rPr>
      </w:pPr>
    </w:p>
    <w:p>
      <w:pPr>
        <w:jc w:val="both"/>
        <w:ind w:left="1020" w:right="619" w:hanging="414"/>
        <w:spacing w:after="0" w:line="252" w:lineRule="auto"/>
        <w:tabs>
          <w:tab w:leader="none" w:pos="10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CF Group Management, Inc. (“CFGM”) is the managing general partner of Cantor Fitzgerald, L.P. (“CFLP”) and directly or indirectly controls the managing general partner of Cantor Fitzgerald Securities (“CFS”), the sole member of Cantor. Howard Lutnick is Chairman and Chief Executive of CFGM and trustee of CFGM’s sole stockholder. CFLP, indirectly, holds a majority of the ownership interests in CFS, and therefore also indirectly, Cantor. As such, each of CFLP, CFGM, CFS and Mr. Lutnick may be deemed to have beneficial ownership of the securities directly held by Cantor. Each such entity or person disclaims any beneficial ownership of the reported shares other than to the extent of any pecuniary interest they may have therein, directly or indirectly. The foregoing should not be construed in and of itself as an admission by any of CFLP, CFGM, CFS or Mr. Lutnick as to beneficial ownership of the securities beneficially owned, directly, Cantor. The business address of Cantor is 110 East 59</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Street, New York, NY 10022.</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0" w:name="page121"/>
    <w:bookmarkEnd w:id="12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PLAN OF DISTRIBUTION (CONFLICT OF INTEREST)</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 are registering the resale by the Holder of 25,250,000 shares of our Class A Common Stock.</w:t>
      </w:r>
    </w:p>
    <w:p>
      <w:pPr>
        <w:spacing w:after="0" w:line="155"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will not receive any of the proceeds from the sale of the securities by the Holder. However, we will receive proceeds from our sale to the Holder of up to 25,000,000 Class A Shares at varying purchase prices depending on the market price of our shares of Class A Common Stock at the time of such purchases, pursuant to the terms of the Purchase Agreement, after the date of this prospectus. The aggregate proceeds to the Holder will be the purchase price of the securities less any discounts and commissions borne by the Holder. Other expenses incurred by the Company in connection with the filing of the registration statement, of which this prospectus is a part, shall be borne by the Company.</w:t>
      </w:r>
    </w:p>
    <w:p>
      <w:pPr>
        <w:spacing w:after="0" w:line="110"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Class A Shares beneficially owned by the Holder covered by this prospectus may be offered and sold from time to time by the Holder. The term “Holder” includes donees, pledgees, transferees or other successors in interest selling securities received after the date of this prospectus from a Holder as a gift, pledge, partnership distribution or other transfer. The Holder will act independently of us in making decisions with respect to the timing, manner and size of each sale by the Holder. Such sales may be made on one or more exchanges or in the over-the-counter market or otherwise, at prices and under terms then prevailing or at prices related to the then current market price or in negotiated transactions. The Holder may sell its shares of our Class A Common Stock by one or more of, or a combination of, the following methods:</w:t>
      </w:r>
    </w:p>
    <w:p>
      <w:pPr>
        <w:spacing w:after="0" w:line="99" w:lineRule="exact"/>
        <w:rPr>
          <w:sz w:val="20"/>
          <w:szCs w:val="20"/>
          <w:color w:val="auto"/>
        </w:rPr>
      </w:pPr>
    </w:p>
    <w:p>
      <w:pPr>
        <w:ind w:left="1440" w:right="619" w:hanging="418"/>
        <w:spacing w:after="0" w:line="293" w:lineRule="auto"/>
        <w:tabs>
          <w:tab w:leader="none" w:pos="143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by a broker-dealer as principal and resale by such broker-dealer for its own account pursuant to this prospectus;</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brokerage transactions and transactions in which the broker solicits purchasers;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 trades in which the broker-dealer so engaged will attempt to sell the shares as agent but may position and resell a portion of the block as principal to facilitate the transaction;</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over-the-counter distribution in accordance with the rules of the Nasdaq Stock Market LLC;</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67" w:lineRule="auto"/>
        <w:tabs>
          <w:tab w:leader="none" w:pos="143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trading plans entered into by a 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04"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or through underwriters or broker-dealers;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privately negotiated transactions;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options transactions;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 combination of any of the above methods of sale; or</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method permitted pursuant to applicable law.</w:t>
      </w:r>
    </w:p>
    <w:p>
      <w:pPr>
        <w:spacing w:after="0" w:line="155"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In addition, any shares that qualify for sale pursuant to Rule 144 may be sold under Rule 144 rather than pursuant to this prospectus.</w:t>
      </w:r>
    </w:p>
    <w:p>
      <w:pPr>
        <w:spacing w:after="0" w:line="8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We cannot currently determine the price or prices at which shares of our Class A Common Stock may be sold by the Holder under this prospectus.</w:t>
      </w:r>
    </w:p>
    <w:p>
      <w:pPr>
        <w:spacing w:after="0" w:line="68"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Holder is an “underwriter” within the meaning of Section 2(a)(11) of the Securities Act. The Holder has informed us that it intends to use one or more registered broker-dealers (one of which is an affiliate of the Holder) to effectuate all sales, if any, of shares of our Class A Common Stock that it may acquire from us pursuant to the Purchase Agreement. Such sales will be made at prices and at terms then prevailing or at prices related to the then current market price. Each such registered broker-dealer will be an underwriter within the meaning of Section 2(a)(11) of the Securities Act. The Holder has informed us that each such broker-dealer (excluding any broker-dealer that is an affiliate of the Holder), may receive commissions from the Holder for executing such sales for the Holder and, if so, such commissions will not exceed customary brokerage commissions.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1" w:name="page122"/>
    <w:bookmarkEnd w:id="12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 connection with the execution of the Purchase Agreement, we agreed to issue to the Holder 250,000 shares of Class A Common Stock as consideration for its irrevocable commitment to purchase the shares of Class A Common Stock upon the terms and subject to the satisfaction of the conditions set forth in the Purchase Agreement (the “Commitment Shares”). The Company has also agreed to make a cash payment of $250,000 within 120 days after the Commencement Date. Further, we also have agreed to reimburse Cantor up to $75,000 for the fees and disbursements of its counsel in connection with the transactions contemplated by the Purchase Agreement and in connection with the Holder’s ongoing due diligence review. Moreover, in accordance with FINRA Rule 5110, the 3.0% fixed discount to current market prices of our Common Stock reflected in the purchase prices payable by Holder for our Class A Shares that we may require it to purchase from us from time to time under the Purchase Agreement is deemed to be underwriting compensation in connection with sales of our Class A Shares by Holder to the public.</w:t>
      </w:r>
    </w:p>
    <w:p>
      <w:pPr>
        <w:spacing w:after="0" w:line="10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We also have agreed to indemnify the Holder and certain other persons against certain liabilities in connection with the offering of Class A Shares offered hereby, including liabilities arising under the Securities Act or, if such indemnity is unavailable, to contribute amounts required to be paid in respect of such liabilities. The Holder has agreed to indemnify us against liabilities under the Securities Act that may arise from certain written information furnished to us by the Holder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1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To the extent required, this prospectus may be amended or supplemented from time to time to describe a specific plan of distribution. In connection with distributions of the shares or otherwise, the Holder may enter into hedging transactions with broker-dealers or other financial institutions. In connection with such transactions, broker-dealers or other financial institutions may engage in short sales of shares of our Class A Common Stock in the course of hedging transactions, and broker-dealers or other financial institutions may engage in short sales of shares of our Class A Common Stock in the course of hedging the positions they assume with Holder. The Holder may also sell shares of our Class A Common Stock short and redeliver the shares to close out such short positions, subject to restrictions described above under “</w:t>
      </w:r>
      <w:r>
        <w:rPr>
          <w:rFonts w:ascii="Times New Roman" w:cs="Times New Roman" w:eastAsia="Times New Roman" w:hAnsi="Times New Roman"/>
          <w:sz w:val="17"/>
          <w:szCs w:val="17"/>
          <w:i w:val="1"/>
          <w:iCs w:val="1"/>
          <w:color w:val="auto"/>
        </w:rPr>
        <w:t>The Committed 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Financing — No Short-Selling or Hedging by Cantor</w:t>
      </w:r>
      <w:r>
        <w:rPr>
          <w:rFonts w:ascii="Times New Roman" w:cs="Times New Roman" w:eastAsia="Times New Roman" w:hAnsi="Times New Roman"/>
          <w:sz w:val="17"/>
          <w:szCs w:val="17"/>
          <w:color w:val="auto"/>
        </w:rPr>
        <w:t>.” The Holder may also enter into option or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Holder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30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the Holder or borrowed from the Holder or others to settle those sales or to close out any related open borrowings of stock, and may use securities received from the Holder in settlement of those derivatives to close out any related open borrowings of stock. The third party in such sale transactions will be an underwriter and will be identified in the applicable prospectus supplement (or a post-effective amendment). In addition, the 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326"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effecting sales, broker-dealers or agents engaged by the Holder may arrange for other broker-dealers to participate. Broker-dealers or agents may receive commissions, discounts or concessions from the Holder in amounts to be negotiated immediately prior to the sale.</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2" w:name="page123"/>
    <w:bookmarkEnd w:id="12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We have advised the Holder that it is required to comply with Regulation M promulgated under the Exchange Act. With certain exceptions, Regulation M precludes the 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 In addition, we will make copies of this prospectus available to the Holder for the purpose of satisfying the prospectus delivery requirements of the Securities Act. The Holder may indemnify any broker-dealer that participates in transactions involving the sale of the shares against certain liabilities, including liabilities arising under the Securities Act.</w:t>
      </w:r>
    </w:p>
    <w:p>
      <w:pPr>
        <w:spacing w:after="0" w:line="112"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0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Except as described below, we know of no existing arrangements between the Holder or any other shareholder, broker, dealer, underwriter or agent relating to the sale or distribution of the shares offered by this prospectus.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Conflict of Interest</w:t>
      </w:r>
    </w:p>
    <w:p>
      <w:pPr>
        <w:spacing w:after="0" w:line="144"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Holder is an affiliate of CF&amp;CO, a FINRA member which will act as an executing broker for the sale of shares of our Class A Common Stock to the public in this offering. Because the Holder will receive all the net proceeds from sales of shares made to the public through CF&amp;CO, CF&amp;CO is deemed to have a “conflict of interest” within the meaning of FINRA Rule 5121. Consequently, this offering will be conducted in compliance with the provisions of FINRA Rule 5121, which requires that a “qualified independent underwriter”, as defined in FINRA Rule 5121, participate in the preparation of the registration statement and exercise the usual standard of “due diligence” with respect to such document. In accordance with Rule 5121, Ladenburg Thalmann &amp; Co. Inc. (“Ladenburg”), a FINRA member, will act as the “qualified independent underwriter”, as defined in Rule 5121, for this offering. Ladenburg has participated in the preparation of the registration statement, of which this prospectus forms a part, including this prospectus, and has exercised its customary standards of due diligence with respect thereto. For its services as qualified independent underwriter, Ladenburg will receive a fee of $[______]. In accordance with FINRA Rule 5110, this fee is deemed underwriting compensation in connection</w:t>
      </w:r>
    </w:p>
    <w:p>
      <w:pPr>
        <w:spacing w:after="0" w:line="1" w:lineRule="exact"/>
        <w:rPr>
          <w:sz w:val="20"/>
          <w:szCs w:val="20"/>
          <w:color w:val="auto"/>
        </w:rPr>
      </w:pPr>
    </w:p>
    <w:p>
      <w:pPr>
        <w:jc w:val="both"/>
        <w:ind w:left="600" w:right="619"/>
        <w:spacing w:after="0" w:line="262" w:lineRule="auto"/>
        <w:rPr>
          <w:sz w:val="20"/>
          <w:szCs w:val="20"/>
          <w:color w:val="auto"/>
        </w:rPr>
      </w:pPr>
      <w:r>
        <w:rPr>
          <w:rFonts w:ascii="Times New Roman" w:cs="Times New Roman" w:eastAsia="Times New Roman" w:hAnsi="Times New Roman"/>
          <w:sz w:val="17"/>
          <w:szCs w:val="17"/>
          <w:color w:val="auto"/>
        </w:rPr>
        <w:t>with sales of the Class A Shares by the Holder to the public. In accordance with Rule 5121 CF&amp;CO is not permitted to sell the Class A Shares in this offering to an account over which it exercises discretionary authority without the prior specific written approval of the account holder.</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3" w:name="page124"/>
    <w:bookmarkEnd w:id="12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14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following is a summary of the rights of our common stock and preferred stock, certain provisions of our Second Amended &amp; Restated Certificate of Incorporation (“Amended Charter”) and our Amended and Restated Bylaws (“Amended Bylaws”) and applicable law. This summary does not purport to be complete and is qualified in its entirety by the provisions of our Amended Charter and our Amended Bylaws, copies of which have been filed as exhibits to our SEC filings and are incorporated by reference to our registration statement, of which this prospectus forms a part.</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Authorized Capital Stock</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As of January 27, 2023, our authorized capital stock consists of 500,000,000 shares, par value $0.0001 per share, consisting of: 499,000,000 shares of common stock, of which, 455,000,000 shares are designated as Class A Common Stock and 44,000,000 shares are designated as Class B Common Stock; and 1,000,000 shares of Preferred Stock, all of which are designated as Series A Preferred Stock. Our authorized but unissued shares of common stock and preferred stock are available for issuance without further action by our stockholders, unless such action is required by applicable law or the rules of any stock exchange or automated quotation system on which our securities may be listed or traded in the future.</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Class A Common Stock and Class B Common Stock</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There were 200,076,039 shares of Company common stock issued and outstanding as of January 27, 2023, which calculation includes 160,340,631 shares of the Company’s Class A Common Stock and 39,735,408 shares of the Company’s Class B Common Stock. In addition, there are 3,665,996 shares of Class A Common Stock issuable upon exercise of outstanding warrants, no shares of Class B Common Stock issuable upon exercise of outstanding warrants, 24,220,715 shares of Class A Common Stock issuable upon exercise of outstanding stock options, 13,433,081 shares of Class A Common Stock issuable upon vesting of restricted stock units and no shares of Class B Common Stock issuable upon exercise of outstanding stock options or restricted stock units.</w:t>
      </w:r>
    </w:p>
    <w:p>
      <w:pPr>
        <w:spacing w:after="0" w:line="305"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Amended Charter provides for two classes of common stock, with the Class B Common Stock being entitled to ten votes per share and having certain rights to convert into, and under certain circumstances being subject to mandatory conversion into, shares of Class A Common Stock. The Amended Charter provides that, subject to the rights of any holders of any series of Preferred Stock, each holder of Class A Common Stock shall have the right to one (1) vote per share of Class A Common Stock held of record by such holder as of the applicable record date on all matters submitted to a vote at any meeting of stockholders and each holder of Class B Common Stock shall have the right to ten votes per share of Class B Common Stock held of record by such holder as of the applicable record date on all matters properly submitted to stockholders entitled to vote thereon. The Amended Charter will provide, for mandatory or optional conversion of the Class B Common Stock upon the occurrence of circumstances described in the Amended Charter. The holders of outstanding shares of Class A Common Stock and Class B Common Stock are entitled to receive dividends out of assets or funds legally available for the payment of dividends of such times and in such amounts as our board of directors from time to time may determine. Our Class A Common Stock Class B Common Stock is not entitled to pre-emptive rights and is not subject to conversion or redemption. Upon liquidation, dissolution or winding up of our company, the assets legally available for distribution to stockholders are distributable ratably among the holders of our Class A Common Stock and Class B Common Stock after payment of liquidation preferences, if any, on any outstanding payment of other claims of creditors. The rights, preferences and privileges of holders of Class A Common Stock and Class B Common Stock are subject to and may be adversely affected by the rights of the holders of shares of any series of preferred stock that we may designate and issue in the future.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4" w:name="page125"/>
    <w:bookmarkEnd w:id="12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As of the date of this prospectus, we have 1,000,000 shares of Series A Preferred Stock designated and 835,011 shares of Series A Preferred Stock outstanding. Further, our board of directors will be authorized, without further action by the stockholders, to establish one or more class or series, and fix the relative rights and preferences of the company’s undesignated capital stock.</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Series A Preferred Stock</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January 20, 2023, in connection with the Transaction, the Company filed a Certificate of Designations, designating 1,000,000 shares of Series A Preferred Stock with an original issue price of $30.00 per share, which became effective with the Secretary of State of the State of Delaware upon filing.</w:t>
      </w:r>
    </w:p>
    <w:p>
      <w:pPr>
        <w:spacing w:after="0" w:line="9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Series A Preferred Stock is entitled to dividends payable as an increase in the Liquidation Preference (as defined in the Certificate of Designations) for such share at the rate of 14% per annum, accreting semi-annually to Liquidation Preference on January 1 and July 1 of each year, beginning on the first such date after the filing of the Certificate of Designations. The Liquidation Preference per share of Preferred Stock is initially equal to the original issue price per share. The Company may also elect to pay any dividend in cash in lieu of accretion to Liquidation Preference if permitted under the agreements and instruments governing its outstanding indebtedness at such time. The Series A Preferred Stock will also be entitled to customary dividends and distributions when and if paid on shares of Common Stock, subject to restrictions under agreements or instruments governing the Company’s indebtedness.</w:t>
      </w:r>
    </w:p>
    <w:p>
      <w:pPr>
        <w:spacing w:after="0" w:line="102" w:lineRule="exact"/>
        <w:rPr>
          <w:sz w:val="20"/>
          <w:szCs w:val="20"/>
          <w:color w:val="auto"/>
        </w:rPr>
      </w:pPr>
    </w:p>
    <w:p>
      <w:pPr>
        <w:jc w:val="both"/>
        <w:ind w:left="600" w:right="619" w:firstLine="416"/>
        <w:spacing w:after="0" w:line="256" w:lineRule="auto"/>
        <w:rPr>
          <w:sz w:val="20"/>
          <w:szCs w:val="20"/>
          <w:color w:val="auto"/>
        </w:rPr>
      </w:pPr>
      <w:r>
        <w:rPr>
          <w:rFonts w:ascii="Times New Roman" w:cs="Times New Roman" w:eastAsia="Times New Roman" w:hAnsi="Times New Roman"/>
          <w:sz w:val="17"/>
          <w:szCs w:val="17"/>
          <w:color w:val="auto"/>
        </w:rPr>
        <w:t>Each share of Series A Preferred Stock is convertible, at the option of the holder thereof, at any time on or after May 2, 2023 into such number of shares of Common Stock equal to the Liquidation Preference per share at the time of conversion divided by $1.00. In addition, each share of Series A Preferred Stock will automatically convert into shares of Common Stock at the Conversion Ratio on or after January 20, 2024 if and when the daily volume-weighted average closing price per share of Common Stock is at least 2.5 times the Conversion Price for each of any 90 trading days during any 120 consecutive trading day period, which 120-trading day period may commence (but may not end) prior to January 20, 2024. While the shares of Series A Preferred Stock issued on the PIPE Closing Date on an as-converted to Common Stock basis represents approximately 15% of the total shares of common stock outstanding prior to the Transaction (including shares of Class B Common Stock), as a result of the PIK Dividends that accumulate over time, the maximum potential issuance of shares of Common Stock upon conversion of Series A Preferred Stock may exceed 20% of the total shares of common stock outstanding (including shares of Class B Common Stock). As a result, to comply with applicable listing rules of Nasdaq, stockholders holding the majority of the voting power of the Company’s outstanding Common Stock approved the issuance of any Common Stock from time to time upon conversion of the Series A Preferred Stock that would equal 20% or more of the total shares of Common Stock outstanding (including shares of Class B Common Stock) or that would result in a change of control (as defined in Nasdaq listing rules). Such stockholders also approved the issuance and sale of shares of Preferred Stock and any future issuances of shares of Common Stock from time to time upon conversion of Preferred Stock to certain of the Company’s directors and officers who participated in the Transaction, in accordance with Nasdaq listing rules. The Company will also promptly file with the Securities and Exchange Commission and mail an information statement in accordance with Rule 14c-2 under the Securities Exchange Act of 1934, as amended, relating to such stockholder approvals. Any conversion of Series A Preferred Stock described above is subject to the lapse of a 20-day period following the mailing of the information statement.</w:t>
      </w:r>
    </w:p>
    <w:p>
      <w:pPr>
        <w:spacing w:after="0" w:line="12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holders of Series A Preferred Stock will not be entitled to vote on any matter presented to the stockholders of the Company prior to conversion of such shares into Common Stock. However, certain matters require the approval of a majority of the then-outstanding shares of Series A Preferred Stock, voting as a separate class, including to (i) amend the Company’s organizational documents in a matter that materially and adversely affects the powers, preferences or rights of the Series A Preferred Stock, (ii) create, issue, or authorize the creation or issuance of, increase the authorized amount of, or obligate itself to issue shares of, any class or series of capital stock of the Company, or any obligation or security convertible into or evidencing a right to purchase, any class or series of capital stock, unless such class or series of capital stock ranks junior to the Series A Preferred Stock; (iii) increase the authorized number of shares of Series A Preferred Stock; (iv) reclassify, alter or amend any class of capital stock that ranks junior or pari passu to the Series A Preferred Stock if such action would render such class to be senior to the Series A Preferred Stock or, with respect to junior capital stock, pari passu with the Series A Preferred Stock; (v) purchase or redeem for cash any shares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5" w:name="page126"/>
    <w:bookmarkEnd w:id="12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of capital stock of the Company, subject to certain exceptions; and (vi) incur any secured debt as a result of which the Company’s aggregate principal amount of secured debt outstanding would exceed the greater of $75,000,000 or 20% of the Company’s enterprise value.</w:t>
      </w:r>
    </w:p>
    <w:p>
      <w:pPr>
        <w:spacing w:after="0" w:line="9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Series A Preferred Stock will have preference over the Common Stock and the Class B Common Stock, as well as any additional Junior Stock (as defined in the Certificate of Designations) designated and issued in the future, with respect to distribution of assets or available proceeds, as applicable, in the event of any voluntary or involuntary liquidation, dissolution or winding up of the Company or a merger or consolidation that results in a change in control of the Company or the sale or transfer of all or substantially all assets of the Company (each a “Liquidation Event”). However, the Series A Preferred Stock will rank junior to indebtedness of the Company. Upon a Liquidation Event, the holders of shares of Series A Preferred Stock will be entitled to receive, before any payment is made to holders of any Junior Stock and after payments to satisfy and discharge indebtedness, an amount per share equal to the greater of (i) 2.5 times the Liquidation Preference accumulated at such time (less any prior conversions) or (ii) such amount per share as would have been payable had all shares then-outstanding of Series A Preferred Stock been converted into Common Stock immediately prior to such Liquidation Event.</w:t>
      </w:r>
    </w:p>
    <w:p>
      <w:pPr>
        <w:spacing w:after="0" w:line="3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Options and Restricted Stock Units</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As of January 27, 2023, we had outstanding options to purchase an aggregate 24,220,715 shares of our Class A Common Stock and 13,433,081 outstanding restricted stock units.</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144"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As of January 27, 2023, 3,665,996 Warrants are outstanding. The terms of the Placement Warrants and the terms of the Public Warrants are identical. Each whole Warrant entitles the registered holder to purchase one share of Class A Common Stock at a price of $11.50 per share, subject to adjustment as discussed below, at any time commencing 30 days after the completion of an initial business combination. However, no Warrants will be exercisable for cash unless we have an effective and current registration statement covering the shares of Class A Common Stock issuable upon exercise of the Warrants and a current prospectus relating to such shares of Class A Common Stock. Notwithstanding the foregoing, if a registration statement covering the shares of Class A Common Stock issuable upon exercise of the Public Warrants is not effective within 90 days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w:t>
      </w:r>
    </w:p>
    <w:p>
      <w:pPr>
        <w:spacing w:after="0" w:line="3" w:lineRule="exact"/>
        <w:rPr>
          <w:sz w:val="20"/>
          <w:szCs w:val="20"/>
          <w:color w:val="auto"/>
        </w:rPr>
      </w:pPr>
    </w:p>
    <w:p>
      <w:pPr>
        <w:jc w:val="both"/>
        <w:ind w:left="600" w:right="619" w:firstLine="6"/>
        <w:spacing w:after="0" w:line="256" w:lineRule="auto"/>
        <w:tabs>
          <w:tab w:leader="none" w:pos="851"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the Class A Common Stock for the 5 trading days ending on the trading day prior to the date of exercise. The Warrants will expire on April 26, 2027, which is the fifth anniversary of our completion of the Business Combination, at 5:00 p.m., New York City time, or earlier upon redemption or liquidation.</w:t>
      </w:r>
    </w:p>
    <w:p>
      <w:pPr>
        <w:spacing w:after="0" w:line="118"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9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6" w:name="page127"/>
    <w:bookmarkEnd w:id="12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market value. The “fair market value” for this purpose shall mean the average reported last sale price of the shares of the Class A Common Stock for the 5 trading days ending on the third trading day prior to the date on which the notice of redemption is sent to the holders of Warrants.</w:t>
      </w:r>
    </w:p>
    <w:p>
      <w:pPr>
        <w:spacing w:after="0" w:line="9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including Warrants included in the Public Subunits, in order to make any change that adversely affects the interests of the registered holders.</w:t>
      </w:r>
    </w:p>
    <w:p>
      <w:pPr>
        <w:spacing w:after="0" w:line="110" w:lineRule="exact"/>
        <w:rPr>
          <w:sz w:val="20"/>
          <w:szCs w:val="20"/>
          <w:color w:val="auto"/>
        </w:rPr>
      </w:pPr>
    </w:p>
    <w:p>
      <w:pPr>
        <w:jc w:val="both"/>
        <w:ind w:left="600" w:right="619" w:firstLine="416"/>
        <w:spacing w:after="0" w:line="266" w:lineRule="auto"/>
        <w:rPr>
          <w:sz w:val="20"/>
          <w:szCs w:val="20"/>
          <w:color w:val="auto"/>
        </w:rPr>
      </w:pPr>
      <w:r>
        <w:rPr>
          <w:rFonts w:ascii="Times New Roman" w:cs="Times New Roman" w:eastAsia="Times New Roman" w:hAnsi="Times New Roman"/>
          <w:sz w:val="17"/>
          <w:szCs w:val="17"/>
          <w:color w:val="auto"/>
        </w:rPr>
        <w:t>The exercise price and number of shares of Class A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Class A Common Stock at a price below their respective exercise prices.</w:t>
      </w:r>
    </w:p>
    <w:p>
      <w:pPr>
        <w:spacing w:after="0" w:line="303"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11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Class A Common Stock outstanding.</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No fractional shares will be issued upon exercise of the Warrants. If, upon exercise of the Warrants, a holder would be entitled to receive a fractional interest in a share, we will, upon exercise, round up to the nearest whole number the number of shares of Class A Common Stock to be issued to the warrant holder.</w:t>
      </w:r>
    </w:p>
    <w:p>
      <w:pPr>
        <w:spacing w:after="0" w:line="8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Anti-Takeover Provisions of Delaware Law and Our Amended Charter and Amended Bylaws</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Special meeting of stockholders</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Amended Bylaws provide that special meetings of our stockholders may be called only by a majority vote of the Board, by our president or by our chairman or by our secretary at the request in writing of stockholders owning a majority of our issued and outstanding capital stock entitled to vote.</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Advance notice requirements for stockholder proposals and director nominations</w:t>
      </w:r>
    </w:p>
    <w:p>
      <w:pPr>
        <w:spacing w:after="0" w:line="157" w:lineRule="exact"/>
        <w:rPr>
          <w:sz w:val="20"/>
          <w:szCs w:val="20"/>
          <w:color w:val="auto"/>
        </w:rPr>
      </w:pPr>
    </w:p>
    <w:p>
      <w:pPr>
        <w:jc w:val="both"/>
        <w:ind w:left="600" w:right="619" w:firstLine="416"/>
        <w:spacing w:after="0" w:line="243" w:lineRule="auto"/>
        <w:rPr>
          <w:sz w:val="20"/>
          <w:szCs w:val="20"/>
          <w:color w:val="auto"/>
        </w:rPr>
      </w:pPr>
      <w:r>
        <w:rPr>
          <w:rFonts w:ascii="Times New Roman" w:cs="Times New Roman" w:eastAsia="Times New Roman" w:hAnsi="Times New Roman"/>
          <w:sz w:val="17"/>
          <w:szCs w:val="17"/>
          <w:color w:val="auto"/>
        </w:rPr>
        <w:t>Our Amended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nor earlier than the close of business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scheduled date of the annual meeting of stockholders. In the event that less than 70 days’ notice or prior public disclosure of the date of the annual meeting of stockholders is given, a stockholder’s notice shall be timely if delivered to our principal executive offices not later than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our annual meeting of stockholders is first made or sent by us. Our Amended Bylaws also specify certain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7" w:name="page128"/>
    <w:bookmarkEnd w:id="12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requirement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Authorized but unissued shares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0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30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Choice of Forum</w:t>
      </w:r>
    </w:p>
    <w:p>
      <w:pPr>
        <w:spacing w:after="0" w:line="15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Amended Charter provides that, unless SoundHound AI consents in writing to the selection of an alternative forum, to the fullest extent permitted by the applicable law, the Court of Chancery of the State of Delaware shall be the sole and exclusive forum for any stockholder (including a beneficial owner) to bring</w:t>
      </w:r>
    </w:p>
    <w:p>
      <w:pPr>
        <w:spacing w:after="0" w:line="2" w:lineRule="exact"/>
        <w:rPr>
          <w:sz w:val="20"/>
          <w:szCs w:val="20"/>
          <w:color w:val="auto"/>
        </w:rPr>
      </w:pPr>
    </w:p>
    <w:p>
      <w:pPr>
        <w:jc w:val="both"/>
        <w:ind w:left="600" w:right="619" w:firstLine="6"/>
        <w:spacing w:after="0" w:line="255" w:lineRule="auto"/>
        <w:tabs>
          <w:tab w:leader="none" w:pos="809"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derivative action or proceeding brought on behalf of SoundHound AI, (ii) any action asserting a claim of breach of a fiduciary duty owed by any director, officer or other employee of SoundHound AI to SoundHound AI or SoundHound AI’s stockholders, (iii) any action asserting a claim against SoundHound AI, its directors, officers or employees arising pursuant to any provision of the DGCL or the Amended Charter or the Amended Bylaws of SoundHound AI, or (iv) any action asserting a claim against SoundHound AI,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w:t>
      </w:r>
    </w:p>
    <w:p>
      <w:pPr>
        <w:spacing w:after="0" w:line="2" w:lineRule="exact"/>
        <w:rPr>
          <w:rFonts w:ascii="Times New Roman" w:cs="Times New Roman" w:eastAsia="Times New Roman" w:hAnsi="Times New Roman"/>
          <w:sz w:val="17"/>
          <w:szCs w:val="17"/>
          <w:color w:val="auto"/>
        </w:rPr>
      </w:pPr>
    </w:p>
    <w:p>
      <w:pPr>
        <w:jc w:val="both"/>
        <w:ind w:left="600" w:right="619"/>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which is vested in the exclusive jurisdiction of a court or forum other than the Court of Chancery, or (C) for which the Court of Chancery does not have subject matter jurisdiction. However, the foregoing will not apply to suits brought to enforce any liability or duty created by the Exchange Act or any other claim for which the federal courts have exclusive jurisdiction and (ii) unless SoundHound AI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Limitation on Liability and Indemnification</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Amended Charter provides that, to the fullest extent permitted by the Delaware General Corporation Law, a director of SoundHound AI shall not be personally liable to SoundHound AI or its stockholders for monetary damages for breach of fiduciary duty as a director, except for liability (i) for any breach of the director’s duty of loyalty to</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8" w:name="page129"/>
    <w:bookmarkEnd w:id="12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57" w:lineRule="auto"/>
        <w:rPr>
          <w:sz w:val="20"/>
          <w:szCs w:val="20"/>
          <w:color w:val="auto"/>
        </w:rPr>
      </w:pPr>
      <w:r>
        <w:rPr>
          <w:rFonts w:ascii="Times New Roman" w:cs="Times New Roman" w:eastAsia="Times New Roman" w:hAnsi="Times New Roman"/>
          <w:sz w:val="17"/>
          <w:szCs w:val="17"/>
          <w:color w:val="auto"/>
        </w:rPr>
        <w:t>SoundHound AI or its stockholders, (ii) for acts or omissions not in good faith or which involve intentional misconduct or a knowing violation of law, (iii) under Section 174 of the DGCL, or (iv) for any transaction from which the director derived an improper personal benefit. Any repeal or modification of foregoing paragraph by the stockholders of SoundHound AI shall not adversely affect any right or protection of a director of SoundHound AI with respect to events occurring prior to the time of such repeal or modification. \The Amended Charter,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SoundHound AI in advance of the final disposition of such action, suit or proceeding upon receipt of an undertaking by or on behalf of such director or officer to repay such amount if it shall ultimately be determined that he or she is not entitled to be indemnified by SoundHound AI as authorized hereby. The Amended Bylaws of SoundHound AI will permit SoundHound AI to purchase and maintain insurance on behalf of any person who is or was a director, officer, employee or agent of SoundHound AI, or is or was serving at the request of SoundHound AI as a director, officer, employee or agent of another corporation, partnership, joint venture, trust or other enterprise against any liability asserted against him and incurred by him in any such capacity, or arising out of his or her status as such, whether or not SoundHound AI would have the power to indemnify him against such liability.</w:t>
      </w:r>
    </w:p>
    <w:p>
      <w:pPr>
        <w:spacing w:after="0" w:line="3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Our Class A Common Stock and Warrants are listed on The Nasdaq Global Market under the trading symbols “SOUN” and “SOUNW”.</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57" w:lineRule="exact"/>
        <w:rPr>
          <w:sz w:val="20"/>
          <w:szCs w:val="20"/>
          <w:color w:val="auto"/>
        </w:rPr>
      </w:pPr>
    </w:p>
    <w:p>
      <w:pPr>
        <w:jc w:val="both"/>
        <w:ind w:left="600" w:right="619" w:firstLine="416"/>
        <w:spacing w:after="0" w:line="366" w:lineRule="auto"/>
        <w:rPr>
          <w:sz w:val="20"/>
          <w:szCs w:val="20"/>
          <w:color w:val="auto"/>
        </w:rPr>
      </w:pPr>
      <w:r>
        <w:rPr>
          <w:rFonts w:ascii="Times New Roman" w:cs="Times New Roman" w:eastAsia="Times New Roman" w:hAnsi="Times New Roman"/>
          <w:sz w:val="17"/>
          <w:szCs w:val="17"/>
          <w:color w:val="auto"/>
        </w:rPr>
        <w:t>The transfer agent and registrar for our Class A Common Stock is Continental Stock Transfer &amp; Trust Company. The Transfer Agent’s address is 1 State Street,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Floor, New York, New York 10004.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9" w:name="page130"/>
    <w:bookmarkEnd w:id="12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ACT RESTRICTIONS ON RESALE OF OUR SECURITIES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Rule 144</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Pursuant to Rule 144, a person who has beneficially owned restricted shares of Class A Common Stock or Class B Common Stock or Warrants for at least six months would be entitled to sell their securities provided that (a) such person is not deemed to have been one of our affiliates at the time of, or at any time during the three months preceding, a sale and (b)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Persons who have beneficially owned restricted shares of our Class A Common Stock or Class B Common Stock or warrants for at least six months but who are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12" w:lineRule="exact"/>
        <w:rPr>
          <w:sz w:val="20"/>
          <w:szCs w:val="20"/>
          <w:color w:val="auto"/>
        </w:rPr>
      </w:pPr>
    </w:p>
    <w:p>
      <w:pPr>
        <w:ind w:left="1440" w:hanging="418"/>
        <w:spacing w:after="0"/>
        <w:tabs>
          <w:tab w:leader="none" w:pos="14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of the total number of shares of our securities then-outstanding; or</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weekly reported trading volume of our securities during the four calendar weeks preceding the filing of a notice on Form 144 with respect to the sale.</w:t>
      </w:r>
    </w:p>
    <w:p>
      <w:pPr>
        <w:spacing w:after="0" w:line="68"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Sales by our affiliates under Rule 144 are also limited by manner of sale provisions and notice requirements and to the availability of current public information about us.</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Restrictions on the Use of Rule 144 by Shell Companies or Former Shell Companies</w:t>
      </w:r>
    </w:p>
    <w:p>
      <w:pPr>
        <w:spacing w:after="0" w:line="15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Rule 144 is not available for the resale of securities initially issued by shell companies or issuers that have been at any time previously a shell company. However, Rule 144 also includes an important exception to this prohibition if the following conditions are met:</w:t>
      </w:r>
    </w:p>
    <w:p>
      <w:pPr>
        <w:spacing w:after="0" w:line="97" w:lineRule="exact"/>
        <w:rPr>
          <w:sz w:val="20"/>
          <w:szCs w:val="20"/>
          <w:color w:val="auto"/>
        </w:rPr>
      </w:pPr>
    </w:p>
    <w:p>
      <w:pPr>
        <w:ind w:left="1440" w:hanging="418"/>
        <w:spacing w:after="0"/>
        <w:tabs>
          <w:tab w:leader="none" w:pos="14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that was formerly a shell company has ceased to be a shell company;</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is subject to the reporting requirements of Section 13 or 15(d) of the Exchange Act;</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97"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one year has elapsed from the time that the issuer filed current Form 10 type information with the SEC reflecting its status as an entity that is not a shell company.</w:t>
      </w:r>
    </w:p>
    <w:p>
      <w:pPr>
        <w:spacing w:after="0" w:line="68"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As a result, stockholders will not be able to sell their Class A Common Stock or Class B Common Stock or warrants pursuant to Rule 144 without registration until April 16, 2023, although these shares may be sold sooner to the extent they have been registered on a registration statement that has been declared effective by the SEC, including the shares of Class A Common Stock offered pursuant to this prospectus.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0" w:name="page131"/>
    <w:bookmarkEnd w:id="13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Ellenoff Grossman &amp; Schole LLP, New York, New York, is acting as counsel in connection with the registration of our securities under the Securities Act, and as such, will pass upon the validity of the securities offered in this prospectus.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financial statements of Archimedes Tech SPAC Partners Co. as of December 31, 2021 and 2020, and for the year ended December 31, 2021 and the period from September 15, 2020 (inception) through December 31, 2020, appearing in this registration statement have been audited by UHY LLP, independent registered public accounting firm, as set forth in their report thereon (which contains an explanatory paragraph relating to the substantial doubt about the ability of Archimedes Tech SPAC Partners Co. to continue as a going concern as described in Note 1 to the financial statements), appearing elsewhere in this registration statement, and are included in reliance upon such report given on the authority of such firm as experts in auditing and accounting.</w:t>
      </w:r>
    </w:p>
    <w:p>
      <w:pPr>
        <w:spacing w:after="0" w:line="318"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financial statements of SoundHound, Inc. as of and for the years ended December 31, 2021 and 2020, included in this registration statement, of which this prospectus forms a part, have been audited by Armanino LLP, independent registered public accounting firm, as set forth in their report appearing elsewhere herein, and are included in reliance upon such report given on the authority of such firm as experts in auditing and accounting in giving said report.</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S-1 under the Securities Act with respect to the securities offered in this prospectus. This prospectus, which constitutes a part of the registration statement, does not contain all of the information set forth in the registration statement and its exhibits and schedules, portions of which have been omitted as permitted by the rules and regulations of the SEC. For further information about us and our securities,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w:t>
      </w:r>
    </w:p>
    <w:p>
      <w:pPr>
        <w:spacing w:after="0" w:line="115"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 xml:space="preserve">You can read our SEC filings, including the registration statement, over the Internet at the SEC’s website at </w:t>
      </w:r>
      <w:r>
        <w:rPr>
          <w:rFonts w:ascii="Times New Roman" w:cs="Times New Roman" w:eastAsia="Times New Roman" w:hAnsi="Times New Roman"/>
          <w:sz w:val="17"/>
          <w:szCs w:val="17"/>
          <w:i w:val="1"/>
          <w:iCs w:val="1"/>
          <w:color w:val="auto"/>
        </w:rPr>
        <w:t>www.sec.gov</w:t>
      </w:r>
    </w:p>
    <w:p>
      <w:pPr>
        <w:spacing w:after="0" w:line="81"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 xml:space="preserve">We also file periodic reports, proxy statements and other information with the SEC. These reports, proxy statements and other information will be available for inspection and copying at the public reference room and website of the SEC referred to above. We also maintain a website at </w:t>
      </w:r>
      <w:r>
        <w:rPr>
          <w:rFonts w:ascii="Times New Roman" w:cs="Times New Roman" w:eastAsia="Times New Roman" w:hAnsi="Times New Roman"/>
          <w:sz w:val="17"/>
          <w:szCs w:val="17"/>
          <w:i w:val="1"/>
          <w:iCs w:val="1"/>
          <w:color w:val="auto"/>
        </w:rPr>
        <w:t>www.soundhound.com</w:t>
      </w:r>
      <w:r>
        <w:rPr>
          <w:rFonts w:ascii="Times New Roman" w:cs="Times New Roman" w:eastAsia="Times New Roman" w:hAnsi="Times New Roman"/>
          <w:sz w:val="17"/>
          <w:szCs w:val="17"/>
          <w:color w:val="auto"/>
        </w:rPr>
        <w:t>, by which you may access these materials free of charge as soon as reasonably practicable after they are electronically filed with, or furnished to, the SEC. The information that is contained on, or that may be accessed through, our website is not a part of this prospectus. We have included our website in this prospectus solely as an inactive textual reference.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1" w:name="page132"/>
    <w:bookmarkEnd w:id="13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186"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1900" w:type="dxa"/>
            <w:vAlign w:val="bottom"/>
            <w:tcBorders>
              <w:bottom w:val="single" w:sz="8" w:color="CCEEFF"/>
            </w:tcBorders>
          </w:tcPr>
          <w:p>
            <w:pPr>
              <w:spacing w:after="0"/>
              <w:rPr>
                <w:sz w:val="7"/>
                <w:szCs w:val="7"/>
                <w:color w:val="auto"/>
              </w:rPr>
            </w:pPr>
          </w:p>
        </w:tc>
        <w:tc>
          <w:tcPr>
            <w:tcW w:w="1380" w:type="dxa"/>
            <w:vAlign w:val="bottom"/>
            <w:tcBorders>
              <w:bottom w:val="single" w:sz="8" w:color="CCEEFF"/>
            </w:tcBorders>
          </w:tcPr>
          <w:p>
            <w:pPr>
              <w:spacing w:after="0"/>
              <w:rPr>
                <w:sz w:val="7"/>
                <w:szCs w:val="7"/>
                <w:color w:val="auto"/>
              </w:rPr>
            </w:pPr>
          </w:p>
        </w:tc>
        <w:tc>
          <w:tcPr>
            <w:tcW w:w="600" w:type="dxa"/>
            <w:vAlign w:val="bottom"/>
            <w:tcBorders>
              <w:bottom w:val="single" w:sz="8" w:color="CCEEFF"/>
            </w:tcBorders>
          </w:tcPr>
          <w:p>
            <w:pPr>
              <w:spacing w:after="0"/>
              <w:rPr>
                <w:sz w:val="7"/>
                <w:szCs w:val="7"/>
                <w:color w:val="auto"/>
              </w:rPr>
            </w:pPr>
          </w:p>
        </w:tc>
        <w:tc>
          <w:tcPr>
            <w:tcW w:w="240" w:type="dxa"/>
            <w:vAlign w:val="bottom"/>
            <w:tcBorders>
              <w:bottom w:val="single" w:sz="8" w:color="CCEEFF"/>
            </w:tcBorders>
          </w:tcPr>
          <w:p>
            <w:pPr>
              <w:spacing w:after="0"/>
              <w:rPr>
                <w:sz w:val="7"/>
                <w:szCs w:val="7"/>
                <w:color w:val="auto"/>
              </w:rPr>
            </w:pPr>
          </w:p>
        </w:tc>
        <w:tc>
          <w:tcPr>
            <w:tcW w:w="240" w:type="dxa"/>
            <w:vAlign w:val="bottom"/>
            <w:tcBorders>
              <w:bottom w:val="single" w:sz="8" w:color="CCEEFF"/>
            </w:tcBorders>
          </w:tcPr>
          <w:p>
            <w:pPr>
              <w:spacing w:after="0"/>
              <w:rPr>
                <w:sz w:val="7"/>
                <w:szCs w:val="7"/>
                <w:color w:val="auto"/>
              </w:rPr>
            </w:pPr>
          </w:p>
        </w:tc>
        <w:tc>
          <w:tcPr>
            <w:tcW w:w="340" w:type="dxa"/>
            <w:vAlign w:val="bottom"/>
            <w:tcBorders>
              <w:bottom w:val="single" w:sz="8" w:color="CCEEFF"/>
            </w:tcBorders>
          </w:tcPr>
          <w:p>
            <w:pPr>
              <w:spacing w:after="0"/>
              <w:rPr>
                <w:sz w:val="7"/>
                <w:szCs w:val="7"/>
                <w:color w:val="auto"/>
              </w:rPr>
            </w:pPr>
          </w:p>
        </w:tc>
        <w:tc>
          <w:tcPr>
            <w:tcW w:w="112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86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000" w:type="dxa"/>
            <w:vAlign w:val="bottom"/>
            <w:tcBorders>
              <w:bottom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Financial Statements</w:t>
            </w: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7020" w:type="dxa"/>
            <w:vAlign w:val="bottom"/>
            <w:gridSpan w:val="12"/>
          </w:tcPr>
          <w:p>
            <w:pPr>
              <w:spacing w:after="0"/>
              <w:rPr>
                <w:sz w:val="20"/>
                <w:szCs w:val="20"/>
                <w:color w:val="auto"/>
              </w:rPr>
            </w:pPr>
            <w:r>
              <w:rPr>
                <w:rFonts w:ascii="Times New Roman" w:cs="Times New Roman" w:eastAsia="Times New Roman" w:hAnsi="Times New Roman"/>
                <w:sz w:val="17"/>
                <w:szCs w:val="17"/>
                <w:color w:val="0000EE"/>
              </w:rPr>
              <w:t>Report of Independent Registered Public Accounting Firm</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F-2</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344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0000EE"/>
              </w:rPr>
              <w:t>Balance Sheet as of December 31, 2021 and 2020</w:t>
            </w:r>
          </w:p>
        </w:tc>
        <w:tc>
          <w:tcPr>
            <w:tcW w:w="3560" w:type="dxa"/>
            <w:vAlign w:val="bottom"/>
            <w:tcBorders>
              <w:bottom w:val="single" w:sz="8" w:color="CCEEFF"/>
            </w:tcBorders>
            <w:gridSpan w:val="8"/>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F-3</w:t>
            </w:r>
          </w:p>
        </w:tc>
        <w:tc>
          <w:tcPr>
            <w:tcW w:w="0" w:type="dxa"/>
            <w:vAlign w:val="bottom"/>
          </w:tcPr>
          <w:p>
            <w:pPr>
              <w:spacing w:after="0"/>
              <w:rPr>
                <w:sz w:val="1"/>
                <w:szCs w:val="1"/>
                <w:color w:val="auto"/>
              </w:rPr>
            </w:pPr>
          </w:p>
        </w:tc>
      </w:tr>
      <w:tr>
        <w:trPr>
          <w:trHeight w:val="169"/>
        </w:trPr>
        <w:tc>
          <w:tcPr>
            <w:tcW w:w="20" w:type="dxa"/>
            <w:vAlign w:val="bottom"/>
            <w:tcBorders>
              <w:bottom w:val="single" w:sz="8" w:color="0000EE"/>
            </w:tcBorders>
          </w:tcPr>
          <w:p>
            <w:pPr>
              <w:spacing w:after="0"/>
              <w:rPr>
                <w:sz w:val="14"/>
                <w:szCs w:val="14"/>
                <w:color w:val="auto"/>
              </w:rPr>
            </w:pPr>
          </w:p>
        </w:tc>
        <w:tc>
          <w:tcPr>
            <w:tcW w:w="6000" w:type="dxa"/>
            <w:vAlign w:val="bottom"/>
            <w:tcBorders>
              <w:bottom w:val="single" w:sz="8" w:color="0000EE"/>
            </w:tcBorders>
            <w:gridSpan w:val="9"/>
          </w:tcPr>
          <w:p>
            <w:pPr>
              <w:spacing w:after="0" w:line="169" w:lineRule="exact"/>
              <w:rPr>
                <w:sz w:val="20"/>
                <w:szCs w:val="20"/>
                <w:color w:val="auto"/>
              </w:rPr>
            </w:pPr>
            <w:r>
              <w:rPr>
                <w:rFonts w:ascii="Times New Roman" w:cs="Times New Roman" w:eastAsia="Times New Roman" w:hAnsi="Times New Roman"/>
                <w:sz w:val="17"/>
                <w:szCs w:val="17"/>
                <w:color w:val="0000EE"/>
              </w:rPr>
              <w:t>Statements of Operations for the periods from September 15, 2020 (inception) through</w:t>
            </w:r>
          </w:p>
        </w:tc>
        <w:tc>
          <w:tcPr>
            <w:tcW w:w="100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0" w:type="dxa"/>
            <w:vAlign w:val="bottom"/>
            <w:gridSpan w:val="11"/>
          </w:tcPr>
          <w:p>
            <w:pPr>
              <w:ind w:left="160"/>
              <w:spacing w:after="0" w:line="188" w:lineRule="exact"/>
              <w:rPr>
                <w:sz w:val="20"/>
                <w:szCs w:val="20"/>
                <w:color w:val="auto"/>
              </w:rPr>
            </w:pPr>
            <w:r>
              <w:rPr>
                <w:rFonts w:ascii="Times New Roman" w:cs="Times New Roman" w:eastAsia="Times New Roman" w:hAnsi="Times New Roman"/>
                <w:sz w:val="17"/>
                <w:szCs w:val="17"/>
                <w:color w:val="0000EE"/>
              </w:rPr>
              <w:t>December 31, 2020 and for the year ended December 31, 2021</w:t>
            </w: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color w:val="auto"/>
              </w:rPr>
              <w:t>F-4</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00" w:type="dxa"/>
            <w:vAlign w:val="bottom"/>
            <w:gridSpan w:val="11"/>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Statement of Changes in Stockholders’ Equity for the periods from September 15, 2020 (inception)</w:t>
            </w: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0000EE"/>
            </w:tcBorders>
          </w:tcPr>
          <w:p>
            <w:pPr>
              <w:spacing w:after="0"/>
              <w:rPr>
                <w:sz w:val="16"/>
                <w:szCs w:val="16"/>
                <w:color w:val="auto"/>
              </w:rPr>
            </w:pPr>
          </w:p>
        </w:tc>
        <w:tc>
          <w:tcPr>
            <w:tcW w:w="6860" w:type="dxa"/>
            <w:vAlign w:val="bottom"/>
            <w:tcBorders>
              <w:top w:val="single" w:sz="8" w:color="0000EE"/>
            </w:tcBorders>
            <w:gridSpan w:val="10"/>
            <w:shd w:val="clear" w:color="auto" w:fill="CCEEFF"/>
          </w:tcPr>
          <w:p>
            <w:pPr>
              <w:ind w:left="160"/>
              <w:spacing w:after="0" w:line="188" w:lineRule="exact"/>
              <w:rPr>
                <w:sz w:val="20"/>
                <w:szCs w:val="20"/>
                <w:color w:val="auto"/>
              </w:rPr>
            </w:pPr>
            <w:r>
              <w:rPr>
                <w:rFonts w:ascii="Times New Roman" w:cs="Times New Roman" w:eastAsia="Times New Roman" w:hAnsi="Times New Roman"/>
                <w:sz w:val="17"/>
                <w:szCs w:val="17"/>
                <w:color w:val="0000EE"/>
              </w:rPr>
              <w:t>through December 31, 2020 and the year ended December 31, 2021</w:t>
            </w: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7"/>
                <w:szCs w:val="17"/>
                <w:color w:val="auto"/>
              </w:rPr>
              <w:t>F-5</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0000EE"/>
            </w:tcBorders>
            <w:vMerge w:val="continue"/>
          </w:tcPr>
          <w:p>
            <w:pPr>
              <w:spacing w:after="0"/>
              <w:rPr>
                <w:sz w:val="14"/>
                <w:szCs w:val="14"/>
                <w:color w:val="auto"/>
              </w:rPr>
            </w:pPr>
          </w:p>
        </w:tc>
        <w:tc>
          <w:tcPr>
            <w:tcW w:w="5980" w:type="dxa"/>
            <w:vAlign w:val="bottom"/>
            <w:tcBorders>
              <w:bottom w:val="single" w:sz="8" w:color="0000EE"/>
            </w:tcBorders>
            <w:gridSpan w:val="8"/>
          </w:tcPr>
          <w:p>
            <w:pPr>
              <w:spacing w:after="0" w:line="169" w:lineRule="exact"/>
              <w:rPr>
                <w:sz w:val="20"/>
                <w:szCs w:val="20"/>
                <w:color w:val="auto"/>
              </w:rPr>
            </w:pPr>
            <w:r>
              <w:rPr>
                <w:rFonts w:ascii="Times New Roman" w:cs="Times New Roman" w:eastAsia="Times New Roman" w:hAnsi="Times New Roman"/>
                <w:sz w:val="17"/>
                <w:szCs w:val="17"/>
                <w:color w:val="0000EE"/>
              </w:rPr>
              <w:t>Statement of Cash Flows for the periods from September 15, 2020 (inception) through</w:t>
            </w:r>
          </w:p>
        </w:tc>
        <w:tc>
          <w:tcPr>
            <w:tcW w:w="1020" w:type="dxa"/>
            <w:vAlign w:val="bottom"/>
            <w:gridSpan w:val="3"/>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0" w:type="dxa"/>
            <w:vAlign w:val="bottom"/>
            <w:gridSpan w:val="11"/>
          </w:tcPr>
          <w:p>
            <w:pPr>
              <w:ind w:left="160"/>
              <w:spacing w:after="0" w:line="188" w:lineRule="exact"/>
              <w:rPr>
                <w:sz w:val="20"/>
                <w:szCs w:val="20"/>
                <w:color w:val="auto"/>
              </w:rPr>
            </w:pPr>
            <w:r>
              <w:rPr>
                <w:rFonts w:ascii="Times New Roman" w:cs="Times New Roman" w:eastAsia="Times New Roman" w:hAnsi="Times New Roman"/>
                <w:sz w:val="17"/>
                <w:szCs w:val="17"/>
                <w:color w:val="0000EE"/>
              </w:rPr>
              <w:t>December 31, 2020 and the year ended December 31, 2021</w:t>
            </w: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color w:val="auto"/>
              </w:rPr>
              <w:t>F-6</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7"/>
                <w:szCs w:val="17"/>
                <w:color w:val="0000EE"/>
              </w:rPr>
              <w:t>Notes to Financial Statements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F-7</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-110490</wp:posOffset>
            </wp:positionV>
            <wp:extent cx="4951095" cy="1733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0000EE"/>
        </w:rPr>
        <w:t>Condensed Balance Sheets as of March 31, 2022 (unaudited) and December 31, 2021</w:t>
      </w:r>
    </w:p>
    <w:p>
      <w:pPr>
        <w:spacing w:after="0" w:line="77" w:lineRule="exact"/>
        <w:rPr>
          <w:sz w:val="20"/>
          <w:szCs w:val="20"/>
          <w:color w:val="auto"/>
        </w:rPr>
      </w:pPr>
    </w:p>
    <w:p>
      <w:pPr>
        <w:ind w:left="780" w:right="80" w:hanging="172"/>
        <w:spacing w:after="0" w:line="279" w:lineRule="auto"/>
        <w:rPr>
          <w:sz w:val="20"/>
          <w:szCs w:val="20"/>
          <w:color w:val="auto"/>
        </w:rPr>
      </w:pPr>
      <w:r>
        <w:rPr>
          <w:rFonts w:ascii="Times New Roman" w:cs="Times New Roman" w:eastAsia="Times New Roman" w:hAnsi="Times New Roman"/>
          <w:sz w:val="17"/>
          <w:szCs w:val="17"/>
          <w:u w:val="single" w:color="auto"/>
          <w:color w:val="0000EE"/>
        </w:rPr>
        <w:t>Unaudited Condensed Statements of Operations for the 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-276225</wp:posOffset>
            </wp:positionV>
            <wp:extent cx="4951095" cy="2889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51095" cy="288925"/>
                    </a:xfrm>
                    <a:prstGeom prst="rect">
                      <a:avLst/>
                    </a:prstGeom>
                    <a:noFill/>
                  </pic:spPr>
                </pic:pic>
              </a:graphicData>
            </a:graphic>
          </wp:anchor>
        </w:drawing>
      </w:r>
    </w:p>
    <w:p>
      <w:pPr>
        <w:ind w:left="780" w:hanging="172"/>
        <w:spacing w:after="0" w:line="279" w:lineRule="auto"/>
        <w:rPr>
          <w:sz w:val="20"/>
          <w:szCs w:val="20"/>
          <w:color w:val="auto"/>
        </w:rPr>
      </w:pPr>
      <w:r>
        <w:rPr>
          <w:rFonts w:ascii="Times New Roman" w:cs="Times New Roman" w:eastAsia="Times New Roman" w:hAnsi="Times New Roman"/>
          <w:sz w:val="17"/>
          <w:szCs w:val="17"/>
          <w:u w:val="single" w:color="auto"/>
          <w:color w:val="0000EE"/>
        </w:rPr>
        <w:t>Unaudited Condensed Statements of Changes in Stockholders’ Equity for the three months ended March 31, 2022 and 2021</w:t>
      </w:r>
    </w:p>
    <w:p>
      <w:pPr>
        <w:ind w:left="780" w:right="100" w:hanging="172"/>
        <w:spacing w:after="0" w:line="279" w:lineRule="auto"/>
        <w:rPr>
          <w:sz w:val="20"/>
          <w:szCs w:val="20"/>
          <w:color w:val="auto"/>
        </w:rPr>
      </w:pPr>
      <w:r>
        <w:rPr>
          <w:rFonts w:ascii="Times New Roman" w:cs="Times New Roman" w:eastAsia="Times New Roman" w:hAnsi="Times New Roman"/>
          <w:sz w:val="17"/>
          <w:szCs w:val="17"/>
          <w:u w:val="single" w:color="auto"/>
          <w:color w:val="0000EE"/>
        </w:rPr>
        <w:t>Unaudited Condensed Statement of Cash Flows for the 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-276225</wp:posOffset>
            </wp:positionV>
            <wp:extent cx="4951095" cy="2889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951095" cy="288925"/>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17"/>
          <w:szCs w:val="17"/>
          <w:u w:val="single" w:color="auto"/>
          <w:color w:val="0000EE"/>
        </w:rPr>
        <w:t>Notes to Unaudited Condensed Financial Statements</w:t>
      </w:r>
    </w:p>
    <w:p>
      <w:pPr>
        <w:spacing w:after="0" w:line="28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-110490</wp:posOffset>
            </wp:positionV>
            <wp:extent cx="4951095" cy="1733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F-26</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F-27</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F-28</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F-29</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F-30</w:t>
      </w:r>
    </w:p>
    <w:p>
      <w:pPr>
        <w:spacing w:after="0" w:line="912" w:lineRule="exact"/>
        <w:rPr>
          <w:sz w:val="20"/>
          <w:szCs w:val="20"/>
          <w:color w:val="auto"/>
        </w:rPr>
      </w:pPr>
    </w:p>
    <w:p>
      <w:pPr>
        <w:sectPr>
          <w:pgSz w:w="11900" w:h="16838" w:orient="portrait"/>
          <w:cols w:equalWidth="0" w:num="2">
            <w:col w:w="7360" w:space="480"/>
            <w:col w:w="1179"/>
          </w:cols>
          <w:pgMar w:left="1440" w:top="264" w:right="1440" w:bottom="1440" w:gutter="0" w:footer="0" w:header="0"/>
          <w:type w:val="continuous"/>
        </w:sectPr>
      </w:pPr>
    </w:p>
    <w:tbl>
      <w:tblPr>
        <w:tblLayout w:type="fixed"/>
        <w:tblInd w:w="600" w:type="dxa"/>
        <w:tblCellMar>
          <w:top w:w="0" w:type="dxa"/>
          <w:left w:w="0" w:type="dxa"/>
          <w:bottom w:w="0" w:type="dxa"/>
          <w:right w:w="0" w:type="dxa"/>
        </w:tblCellMar>
      </w:tblPr>
      <w:tr>
        <w:trPr>
          <w:trHeight w:val="195"/>
        </w:trPr>
        <w:tc>
          <w:tcPr>
            <w:tcW w:w="706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Report of Independent Registered Public Accounting Firm</w:t>
            </w:r>
          </w:p>
        </w:tc>
        <w:tc>
          <w:tcPr>
            <w:tcW w:w="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F-46</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1260" w:type="dxa"/>
            <w:vAlign w:val="bottom"/>
            <w:tcBorders>
              <w:top w:val="single" w:sz="8" w:color="0000EE"/>
            </w:tcBorders>
          </w:tcPr>
          <w:p>
            <w:pPr>
              <w:spacing w:after="0"/>
              <w:rPr>
                <w:sz w:val="7"/>
                <w:szCs w:val="7"/>
                <w:color w:val="auto"/>
              </w:rPr>
            </w:pPr>
          </w:p>
        </w:tc>
        <w:tc>
          <w:tcPr>
            <w:tcW w:w="118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Balance Sheets as of December 31, 2021 and 2020</w:t>
            </w:r>
          </w:p>
        </w:tc>
        <w:tc>
          <w:tcPr>
            <w:tcW w:w="74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7"/>
                <w:szCs w:val="17"/>
                <w:color w:val="auto"/>
              </w:rPr>
              <w:t>F-47</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300" w:type="dxa"/>
            <w:vAlign w:val="bottom"/>
            <w:tcBorders>
              <w:top w:val="single" w:sz="8" w:color="0000EE"/>
            </w:tcBorders>
            <w:shd w:val="clear" w:color="auto" w:fill="CCEEFF"/>
          </w:tcPr>
          <w:p>
            <w:pPr>
              <w:spacing w:after="0"/>
              <w:rPr>
                <w:sz w:val="7"/>
                <w:szCs w:val="7"/>
                <w:color w:val="auto"/>
              </w:rPr>
            </w:pPr>
          </w:p>
        </w:tc>
        <w:tc>
          <w:tcPr>
            <w:tcW w:w="1260" w:type="dxa"/>
            <w:vAlign w:val="bottom"/>
            <w:tcBorders>
              <w:top w:val="single" w:sz="8" w:color="0000EE"/>
            </w:tcBorders>
            <w:shd w:val="clear" w:color="auto" w:fill="CCEEFF"/>
          </w:tcPr>
          <w:p>
            <w:pPr>
              <w:spacing w:after="0"/>
              <w:rPr>
                <w:sz w:val="7"/>
                <w:szCs w:val="7"/>
                <w:color w:val="auto"/>
              </w:rPr>
            </w:pPr>
          </w:p>
        </w:tc>
        <w:tc>
          <w:tcPr>
            <w:tcW w:w="118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tcPr>
          <w:p>
            <w:pPr>
              <w:spacing w:after="0" w:line="169" w:lineRule="exact"/>
              <w:rPr>
                <w:sz w:val="20"/>
                <w:szCs w:val="20"/>
                <w:color w:val="auto"/>
              </w:rPr>
            </w:pPr>
            <w:r>
              <w:rPr>
                <w:rFonts w:ascii="Times New Roman" w:cs="Times New Roman" w:eastAsia="Times New Roman" w:hAnsi="Times New Roman"/>
                <w:sz w:val="17"/>
                <w:szCs w:val="17"/>
                <w:color w:val="0000EE"/>
              </w:rPr>
              <w:t>Statements of Operations for the years ended December 31, 2021 and 2020</w:t>
            </w:r>
          </w:p>
        </w:tc>
        <w:tc>
          <w:tcPr>
            <w:tcW w:w="740" w:type="dxa"/>
            <w:vAlign w:val="bottom"/>
          </w:tcPr>
          <w:p>
            <w:pPr>
              <w:ind w:left="180"/>
              <w:spacing w:after="0" w:line="169" w:lineRule="exact"/>
              <w:rPr>
                <w:sz w:val="20"/>
                <w:szCs w:val="20"/>
                <w:color w:val="auto"/>
              </w:rPr>
            </w:pPr>
            <w:r>
              <w:rPr>
                <w:rFonts w:ascii="Times New Roman" w:cs="Times New Roman" w:eastAsia="Times New Roman" w:hAnsi="Times New Roman"/>
                <w:sz w:val="17"/>
                <w:szCs w:val="17"/>
                <w:color w:val="auto"/>
              </w:rPr>
              <w:t>F-49</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1260" w:type="dxa"/>
            <w:vAlign w:val="bottom"/>
            <w:tcBorders>
              <w:top w:val="single" w:sz="8" w:color="0000EE"/>
            </w:tcBorders>
          </w:tcPr>
          <w:p>
            <w:pPr>
              <w:spacing w:after="0"/>
              <w:rPr>
                <w:sz w:val="7"/>
                <w:szCs w:val="7"/>
                <w:color w:val="auto"/>
              </w:rPr>
            </w:pPr>
          </w:p>
        </w:tc>
        <w:tc>
          <w:tcPr>
            <w:tcW w:w="118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140" w:type="dxa"/>
            <w:vAlign w:val="bottom"/>
            <w:tcBorders>
              <w:top w:val="single" w:sz="8" w:color="0000EE"/>
            </w:tcBorders>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Statements of Stockholders’ Equity for the years ended December 31, 2021 and 2020</w:t>
            </w:r>
          </w:p>
        </w:tc>
        <w:tc>
          <w:tcPr>
            <w:tcW w:w="74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7"/>
                <w:szCs w:val="17"/>
                <w:color w:val="auto"/>
              </w:rPr>
              <w:t>F-50</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300" w:type="dxa"/>
            <w:vAlign w:val="bottom"/>
            <w:tcBorders>
              <w:top w:val="single" w:sz="8" w:color="0000EE"/>
            </w:tcBorders>
            <w:shd w:val="clear" w:color="auto" w:fill="CCEEFF"/>
          </w:tcPr>
          <w:p>
            <w:pPr>
              <w:spacing w:after="0"/>
              <w:rPr>
                <w:sz w:val="7"/>
                <w:szCs w:val="7"/>
                <w:color w:val="auto"/>
              </w:rPr>
            </w:pPr>
          </w:p>
        </w:tc>
        <w:tc>
          <w:tcPr>
            <w:tcW w:w="1260" w:type="dxa"/>
            <w:vAlign w:val="bottom"/>
            <w:tcBorders>
              <w:top w:val="single" w:sz="8" w:color="0000EE"/>
            </w:tcBorders>
            <w:shd w:val="clear" w:color="auto" w:fill="CCEEFF"/>
          </w:tcPr>
          <w:p>
            <w:pPr>
              <w:spacing w:after="0"/>
              <w:rPr>
                <w:sz w:val="7"/>
                <w:szCs w:val="7"/>
                <w:color w:val="auto"/>
              </w:rPr>
            </w:pPr>
          </w:p>
        </w:tc>
        <w:tc>
          <w:tcPr>
            <w:tcW w:w="118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11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tcPr>
          <w:p>
            <w:pPr>
              <w:spacing w:after="0" w:line="169" w:lineRule="exact"/>
              <w:rPr>
                <w:sz w:val="20"/>
                <w:szCs w:val="20"/>
                <w:color w:val="auto"/>
              </w:rPr>
            </w:pPr>
            <w:r>
              <w:rPr>
                <w:rFonts w:ascii="Times New Roman" w:cs="Times New Roman" w:eastAsia="Times New Roman" w:hAnsi="Times New Roman"/>
                <w:sz w:val="17"/>
                <w:szCs w:val="17"/>
                <w:color w:val="0000EE"/>
              </w:rPr>
              <w:t>Statements of Cash Flows for the years ended December 31, 2021 and 2020</w:t>
            </w:r>
          </w:p>
        </w:tc>
        <w:tc>
          <w:tcPr>
            <w:tcW w:w="740" w:type="dxa"/>
            <w:vAlign w:val="bottom"/>
          </w:tcPr>
          <w:p>
            <w:pPr>
              <w:ind w:left="180"/>
              <w:spacing w:after="0" w:line="169" w:lineRule="exact"/>
              <w:rPr>
                <w:sz w:val="20"/>
                <w:szCs w:val="20"/>
                <w:color w:val="auto"/>
              </w:rPr>
            </w:pPr>
            <w:r>
              <w:rPr>
                <w:rFonts w:ascii="Times New Roman" w:cs="Times New Roman" w:eastAsia="Times New Roman" w:hAnsi="Times New Roman"/>
                <w:sz w:val="17"/>
                <w:szCs w:val="17"/>
                <w:color w:val="auto"/>
              </w:rPr>
              <w:t>F-51</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1260" w:type="dxa"/>
            <w:vAlign w:val="bottom"/>
            <w:tcBorders>
              <w:top w:val="single" w:sz="8" w:color="0000EE"/>
            </w:tcBorders>
          </w:tcPr>
          <w:p>
            <w:pPr>
              <w:spacing w:after="0"/>
              <w:rPr>
                <w:sz w:val="7"/>
                <w:szCs w:val="7"/>
                <w:color w:val="auto"/>
              </w:rPr>
            </w:pPr>
          </w:p>
        </w:tc>
        <w:tc>
          <w:tcPr>
            <w:tcW w:w="118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1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Notes to Financial Statements</w:t>
            </w:r>
          </w:p>
        </w:tc>
        <w:tc>
          <w:tcPr>
            <w:tcW w:w="74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7"/>
                <w:szCs w:val="17"/>
                <w:color w:val="auto"/>
              </w:rPr>
              <w:t>F-53</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300" w:type="dxa"/>
            <w:vAlign w:val="bottom"/>
            <w:tcBorders>
              <w:top w:val="single" w:sz="8" w:color="0000EE"/>
            </w:tcBorders>
            <w:shd w:val="clear" w:color="auto" w:fill="CCEEFF"/>
          </w:tcPr>
          <w:p>
            <w:pPr>
              <w:spacing w:after="0"/>
              <w:rPr>
                <w:sz w:val="7"/>
                <w:szCs w:val="7"/>
                <w:color w:val="auto"/>
              </w:rPr>
            </w:pPr>
          </w:p>
        </w:tc>
        <w:tc>
          <w:tcPr>
            <w:tcW w:w="1260" w:type="dxa"/>
            <w:vAlign w:val="bottom"/>
            <w:tcBorders>
              <w:top w:val="single" w:sz="8" w:color="0000EE"/>
            </w:tcBorders>
            <w:shd w:val="clear" w:color="auto" w:fill="CCEEFF"/>
          </w:tcPr>
          <w:p>
            <w:pPr>
              <w:spacing w:after="0"/>
              <w:rPr>
                <w:sz w:val="7"/>
                <w:szCs w:val="7"/>
                <w:color w:val="auto"/>
              </w:rPr>
            </w:pPr>
          </w:p>
        </w:tc>
        <w:tc>
          <w:tcPr>
            <w:tcW w:w="118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1"/>
                <w:szCs w:val="21"/>
                <w:color w:val="auto"/>
              </w:rPr>
            </w:pPr>
          </w:p>
        </w:tc>
        <w:tc>
          <w:tcPr>
            <w:tcW w:w="7040" w:type="dxa"/>
            <w:vAlign w:val="bottom"/>
            <w:tcBorders>
              <w:bottom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Condensed Consolidated Financial Statements</w:t>
            </w: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40" w:type="dxa"/>
            <w:vAlign w:val="bottom"/>
            <w:gridSpan w:val="17"/>
          </w:tcPr>
          <w:p>
            <w:pPr>
              <w:spacing w:after="0" w:line="169" w:lineRule="exact"/>
              <w:rPr>
                <w:sz w:val="20"/>
                <w:szCs w:val="20"/>
                <w:color w:val="auto"/>
              </w:rPr>
            </w:pPr>
            <w:r>
              <w:rPr>
                <w:rFonts w:ascii="Times New Roman" w:cs="Times New Roman" w:eastAsia="Times New Roman" w:hAnsi="Times New Roman"/>
                <w:sz w:val="17"/>
                <w:szCs w:val="17"/>
                <w:color w:val="0000EE"/>
              </w:rPr>
              <w:t>Condensed Consolidated Balance Sheets as of September 30, 2022 (unaudited) and December 31,</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0" w:type="dxa"/>
            <w:vAlign w:val="bottom"/>
            <w:tcBorders>
              <w:top w:val="single" w:sz="8" w:color="0000EE"/>
            </w:tcBorders>
            <w:gridSpan w:val="3"/>
          </w:tcPr>
          <w:p>
            <w:pPr>
              <w:ind w:left="180"/>
              <w:spacing w:after="0" w:line="188" w:lineRule="exact"/>
              <w:rPr>
                <w:sz w:val="20"/>
                <w:szCs w:val="20"/>
                <w:color w:val="auto"/>
              </w:rPr>
            </w:pPr>
            <w:r>
              <w:rPr>
                <w:rFonts w:ascii="Times New Roman" w:cs="Times New Roman" w:eastAsia="Times New Roman" w:hAnsi="Times New Roman"/>
                <w:sz w:val="17"/>
                <w:szCs w:val="17"/>
                <w:color w:val="0000EE"/>
                <w:w w:val="93"/>
              </w:rPr>
              <w:t>2021</w:t>
            </w:r>
          </w:p>
        </w:tc>
        <w:tc>
          <w:tcPr>
            <w:tcW w:w="300" w:type="dxa"/>
            <w:vAlign w:val="bottom"/>
            <w:tcBorders>
              <w:top w:val="single" w:sz="8" w:color="0000EE"/>
            </w:tcBorders>
          </w:tcPr>
          <w:p>
            <w:pPr>
              <w:spacing w:after="0"/>
              <w:rPr>
                <w:sz w:val="16"/>
                <w:szCs w:val="16"/>
                <w:color w:val="auto"/>
              </w:rPr>
            </w:pPr>
          </w:p>
        </w:tc>
        <w:tc>
          <w:tcPr>
            <w:tcW w:w="1260" w:type="dxa"/>
            <w:vAlign w:val="bottom"/>
            <w:tcBorders>
              <w:top w:val="single" w:sz="8" w:color="0000EE"/>
            </w:tcBorders>
          </w:tcPr>
          <w:p>
            <w:pPr>
              <w:spacing w:after="0"/>
              <w:rPr>
                <w:sz w:val="16"/>
                <w:szCs w:val="16"/>
                <w:color w:val="auto"/>
              </w:rPr>
            </w:pPr>
          </w:p>
        </w:tc>
        <w:tc>
          <w:tcPr>
            <w:tcW w:w="11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1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F-87</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Condensed Consolidated Statements of Operations and Comprehensive Loss for the three and nine</w:t>
            </w: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shd w:val="clear" w:color="auto" w:fill="CCEEFF"/>
          </w:tcPr>
          <w:p>
            <w:pPr>
              <w:spacing w:after="0"/>
              <w:rPr>
                <w:sz w:val="16"/>
                <w:szCs w:val="16"/>
                <w:color w:val="auto"/>
              </w:rPr>
            </w:pPr>
          </w:p>
        </w:tc>
        <w:tc>
          <w:tcPr>
            <w:tcW w:w="6660" w:type="dxa"/>
            <w:vAlign w:val="bottom"/>
            <w:tcBorders>
              <w:top w:val="single" w:sz="8" w:color="0000EE"/>
            </w:tcBorders>
            <w:gridSpan w:val="14"/>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0000EE"/>
              </w:rPr>
              <w:t>months ended September 30, 2022 and 2021</w:t>
            </w:r>
          </w:p>
        </w:tc>
        <w:tc>
          <w:tcPr>
            <w:tcW w:w="220" w:type="dxa"/>
            <w:vAlign w:val="bottom"/>
            <w:tcBorders>
              <w:top w:val="single" w:sz="8" w:color="CCEEFF"/>
            </w:tcBorders>
            <w:gridSpan w:val="2"/>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ind w:left="180"/>
              <w:spacing w:after="0" w:line="188" w:lineRule="exact"/>
              <w:rPr>
                <w:sz w:val="20"/>
                <w:szCs w:val="20"/>
                <w:color w:val="auto"/>
              </w:rPr>
            </w:pPr>
            <w:r>
              <w:rPr>
                <w:rFonts w:ascii="Times New Roman" w:cs="Times New Roman" w:eastAsia="Times New Roman" w:hAnsi="Times New Roman"/>
                <w:sz w:val="17"/>
                <w:szCs w:val="17"/>
                <w:color w:val="auto"/>
              </w:rPr>
              <w:t>F-88</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0000EE"/>
            </w:tcBorders>
            <w:shd w:val="clear" w:color="auto" w:fill="CCEEFF"/>
          </w:tcPr>
          <w:p>
            <w:pPr>
              <w:spacing w:after="0"/>
              <w:rPr>
                <w:sz w:val="5"/>
                <w:szCs w:val="5"/>
                <w:color w:val="auto"/>
              </w:rPr>
            </w:pPr>
          </w:p>
        </w:tc>
        <w:tc>
          <w:tcPr>
            <w:tcW w:w="1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tcPr>
          <w:p>
            <w:pPr>
              <w:spacing w:after="0" w:line="169" w:lineRule="exact"/>
              <w:rPr>
                <w:sz w:val="20"/>
                <w:szCs w:val="20"/>
                <w:color w:val="auto"/>
              </w:rPr>
            </w:pPr>
            <w:r>
              <w:rPr>
                <w:rFonts w:ascii="Times New Roman" w:cs="Times New Roman" w:eastAsia="Times New Roman" w:hAnsi="Times New Roman"/>
                <w:sz w:val="17"/>
                <w:szCs w:val="17"/>
                <w:color w:val="0000EE"/>
              </w:rPr>
              <w:t>Condensed Consolidated Statements of Redeemable Convertible Preferred Stock and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20" w:type="dxa"/>
            <w:vAlign w:val="bottom"/>
            <w:gridSpan w:val="4"/>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80" w:type="dxa"/>
            <w:vAlign w:val="bottom"/>
            <w:gridSpan w:val="16"/>
          </w:tcPr>
          <w:p>
            <w:pPr>
              <w:spacing w:after="0" w:line="188" w:lineRule="exact"/>
              <w:rPr>
                <w:sz w:val="20"/>
                <w:szCs w:val="20"/>
                <w:color w:val="auto"/>
              </w:rPr>
            </w:pPr>
            <w:r>
              <w:rPr>
                <w:rFonts w:ascii="Times New Roman" w:cs="Times New Roman" w:eastAsia="Times New Roman" w:hAnsi="Times New Roman"/>
                <w:sz w:val="17"/>
                <w:szCs w:val="17"/>
                <w:color w:val="0000EE"/>
              </w:rPr>
              <w:t>Stockholders’ Equity (Deficit) for the three and nine months ended September 30, 2022 and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0" w:type="dxa"/>
            <w:vAlign w:val="bottom"/>
            <w:gridSpan w:val="3"/>
          </w:tcPr>
          <w:p>
            <w:pPr>
              <w:ind w:left="180"/>
              <w:spacing w:after="0" w:line="188" w:lineRule="exact"/>
              <w:rPr>
                <w:sz w:val="20"/>
                <w:szCs w:val="20"/>
                <w:color w:val="auto"/>
              </w:rPr>
            </w:pPr>
            <w:r>
              <w:rPr>
                <w:rFonts w:ascii="Times New Roman" w:cs="Times New Roman" w:eastAsia="Times New Roman" w:hAnsi="Times New Roman"/>
                <w:sz w:val="17"/>
                <w:szCs w:val="17"/>
                <w:color w:val="0000EE"/>
                <w:w w:val="93"/>
              </w:rPr>
              <w:t>2021</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F-89</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Condensed Consolidated Statements of Cash Flows for the nine months ended September 30, 2022</w:t>
            </w: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bottom w:val="single" w:sz="8" w:color="CCEEFF"/>
            </w:tcBorders>
            <w:shd w:val="clear" w:color="auto" w:fill="CCEEFF"/>
          </w:tcPr>
          <w:p>
            <w:pPr>
              <w:spacing w:after="0"/>
              <w:rPr>
                <w:sz w:val="21"/>
                <w:szCs w:val="21"/>
                <w:color w:val="auto"/>
              </w:rPr>
            </w:pPr>
          </w:p>
        </w:tc>
        <w:tc>
          <w:tcPr>
            <w:tcW w:w="640" w:type="dxa"/>
            <w:vAlign w:val="bottom"/>
            <w:tcBorders>
              <w:top w:val="single" w:sz="8" w:color="0000EE"/>
              <w:bottom w:val="single" w:sz="8" w:color="0000EE"/>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0000EE"/>
                <w:w w:val="98"/>
              </w:rPr>
              <w:t>and 2021</w:t>
            </w:r>
          </w:p>
        </w:tc>
        <w:tc>
          <w:tcPr>
            <w:tcW w:w="6040" w:type="dxa"/>
            <w:vAlign w:val="bottom"/>
            <w:tcBorders>
              <w:top w:val="single" w:sz="8" w:color="0000EE"/>
              <w:bottom w:val="single" w:sz="8" w:color="CCEEFF"/>
            </w:tcBorders>
            <w:gridSpan w:val="13"/>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ind w:left="180"/>
              <w:spacing w:after="0" w:line="188" w:lineRule="exact"/>
              <w:rPr>
                <w:sz w:val="20"/>
                <w:szCs w:val="20"/>
                <w:color w:val="auto"/>
              </w:rPr>
            </w:pPr>
            <w:r>
              <w:rPr>
                <w:rFonts w:ascii="Times New Roman" w:cs="Times New Roman" w:eastAsia="Times New Roman" w:hAnsi="Times New Roman"/>
                <w:sz w:val="17"/>
                <w:szCs w:val="17"/>
                <w:color w:val="auto"/>
              </w:rPr>
              <w:t>F-92</w:t>
            </w:r>
          </w:p>
        </w:tc>
        <w:tc>
          <w:tcPr>
            <w:tcW w:w="0" w:type="dxa"/>
            <w:vAlign w:val="bottom"/>
          </w:tcPr>
          <w:p>
            <w:pPr>
              <w:spacing w:after="0"/>
              <w:rPr>
                <w:sz w:val="1"/>
                <w:szCs w:val="1"/>
                <w:color w:val="auto"/>
              </w:rPr>
            </w:pPr>
          </w:p>
        </w:tc>
      </w:tr>
      <w:tr>
        <w:trPr>
          <w:trHeight w:val="169"/>
        </w:trPr>
        <w:tc>
          <w:tcPr>
            <w:tcW w:w="20" w:type="dxa"/>
            <w:vAlign w:val="bottom"/>
            <w:tcBorders>
              <w:bottom w:val="single" w:sz="8" w:color="0000EE"/>
            </w:tcBorders>
          </w:tcPr>
          <w:p>
            <w:pPr>
              <w:spacing w:after="0"/>
              <w:rPr>
                <w:sz w:val="14"/>
                <w:szCs w:val="14"/>
                <w:color w:val="auto"/>
              </w:rPr>
            </w:pPr>
          </w:p>
        </w:tc>
        <w:tc>
          <w:tcPr>
            <w:tcW w:w="3820" w:type="dxa"/>
            <w:vAlign w:val="bottom"/>
            <w:tcBorders>
              <w:bottom w:val="single" w:sz="8" w:color="0000EE"/>
            </w:tcBorders>
            <w:gridSpan w:val="7"/>
          </w:tcPr>
          <w:p>
            <w:pPr>
              <w:spacing w:after="0" w:line="149" w:lineRule="exact"/>
              <w:rPr>
                <w:sz w:val="20"/>
                <w:szCs w:val="20"/>
                <w:color w:val="auto"/>
              </w:rPr>
            </w:pPr>
            <w:r>
              <w:rPr>
                <w:rFonts w:ascii="Times New Roman" w:cs="Times New Roman" w:eastAsia="Times New Roman" w:hAnsi="Times New Roman"/>
                <w:sz w:val="17"/>
                <w:szCs w:val="17"/>
                <w:color w:val="0000EE"/>
              </w:rPr>
              <w:t>Notes to Condensed Consolidated Financial Statements</w:t>
            </w:r>
          </w:p>
        </w:tc>
        <w:tc>
          <w:tcPr>
            <w:tcW w:w="3220" w:type="dxa"/>
            <w:vAlign w:val="bottom"/>
            <w:gridSpan w:val="10"/>
          </w:tcPr>
          <w:p>
            <w:pPr>
              <w:spacing w:after="0"/>
              <w:rPr>
                <w:sz w:val="14"/>
                <w:szCs w:val="14"/>
                <w:color w:val="auto"/>
              </w:rPr>
            </w:pPr>
          </w:p>
        </w:tc>
        <w:tc>
          <w:tcPr>
            <w:tcW w:w="740" w:type="dxa"/>
            <w:vAlign w:val="bottom"/>
          </w:tcPr>
          <w:p>
            <w:pPr>
              <w:ind w:left="180"/>
              <w:spacing w:after="0" w:line="162" w:lineRule="exact"/>
              <w:rPr>
                <w:sz w:val="20"/>
                <w:szCs w:val="20"/>
                <w:color w:val="auto"/>
              </w:rPr>
            </w:pPr>
            <w:r>
              <w:rPr>
                <w:rFonts w:ascii="Times New Roman" w:cs="Times New Roman" w:eastAsia="Times New Roman" w:hAnsi="Times New Roman"/>
                <w:sz w:val="17"/>
                <w:szCs w:val="17"/>
                <w:color w:val="auto"/>
              </w:rPr>
              <w:t>F-93</w:t>
            </w: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11"/>
          </w:tcPr>
          <w:p>
            <w:pPr>
              <w:ind w:left="260"/>
              <w:spacing w:after="0"/>
              <w:rPr>
                <w:sz w:val="20"/>
                <w:szCs w:val="20"/>
                <w:color w:val="auto"/>
              </w:rPr>
            </w:pPr>
            <w:r>
              <w:rPr>
                <w:rFonts w:ascii="Times New Roman" w:cs="Times New Roman" w:eastAsia="Times New Roman" w:hAnsi="Times New Roman"/>
                <w:sz w:val="17"/>
                <w:szCs w:val="17"/>
                <w:color w:val="auto"/>
              </w:rPr>
              <w:t>F-1</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type w:val="continuous"/>
        </w:sectPr>
      </w:pPr>
    </w:p>
    <w:bookmarkStart w:id="132" w:name="page133"/>
    <w:bookmarkEnd w:id="13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b w:val="1"/>
          <w:bCs w:val="1"/>
          <w:color w:val="auto"/>
        </w:rPr>
        <w:t>REPORT OF INDEPDENT REGISTERED PUBLIC ACCOUNTING FIRM</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 the Board of Directors and Shareholders of</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Archimedes Tech SPAC Partners Co.</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We have audited the accompanying balance sheet of Archimedes Tech SPAC Partners Co. (the “Company”) as of December 31, 2021 and 2020, and the related statement of operations, changes in shareholders’ equity, and cash flow for the year ended December 31, 2021 and the period from September 15,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the period from September 15, 2020 (Inception) through December 31, 2020, in conformity with accounting principles generally accepted in the United States of America.</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Substantial Doubt about the Company’s Ability to Continue as a Going Concern</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accompanying financial statements have been prepared assuming that the Company will continue as a going concern. As discussed in Note 1, as of December 31, 2021, the Company had $235,295 of cash available for its working capital needs. The Company expects to incur significant costs in pursuit of its financing and acquisition plans. These conditions raise substantial doubt about the Company’s ability to continue as a going concern. Management plans to address this uncertainty through a Proposed Business Combination as discussed in Note 1. There is no assurance that the Company’s plans to consummate a business combination will be successful within the combination period. The financial statements do not include any adjustments that might result from the outcome of this uncertainty. Our opinion is not modified with respect to that matter.</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4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 UHY LLP</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have served as the Company’s auditor since 2021.</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March 9, 2022</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3" w:name="page134"/>
    <w:bookmarkEnd w:id="13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BALANCE SHEETS</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2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Prepaid expenses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98,066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333,361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Marketable securities held in Trust Account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133,343,944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expenses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247,868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Due to related party</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249,684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Warrant liability</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497,198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Common stock subject to possible redemption, 13,300,000 shares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and 0 shares at redemption value as of December 31, 2021 and 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respectively</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Stockholders’ Deficit: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5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2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Preferred stock, $0.0001 par value; 1,000,000 shares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authorized; none issued and outstanding</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Common stock, $0.0001 par value; 100,000,000 shares and 31,000,000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shares authorized, 4,161,000 shares and 0 shares issued and outstanding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(excluding 13,300,000 shares and 0 shares subject to possible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redemption) as of December 31, 2021 and 2020, respectively</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paid-in-capital</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818,347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(982,600)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Stockholders’ Deficit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(163,837</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280" w:type="dxa"/>
            <w:vAlign w:val="bottom"/>
            <w:gridSpan w:val="2"/>
            <w:vMerge w:val="continue"/>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133,343,944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4" w:name="page135"/>
    <w:bookmarkEnd w:id="13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STATEMENTS OF OPERATIONS</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Period from</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September 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(Inception)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year ended</w:t>
            </w: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through</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Formation and operating costs</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1,015,260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(1,015,260)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3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3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Trust interest income</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Unrealized gain on change in fair value of warrants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22,793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53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income</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(981,884)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4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Basic and diluted weighted average shares outstanding, common stock</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subject to redemption</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10,589,315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4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Basic and diluted net income per share attributable to common stock subject</w:t>
            </w: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 redemption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weighted average shares outstanding, common stock</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3,959,088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Basic and diluted net loss per share attributable to common stockholders</w:t>
            </w: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360" w:type="dxa"/>
            <w:vAlign w:val="bottom"/>
            <w:gridSpan w:val="2"/>
            <w:vMerge w:val="continue"/>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(0.99</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5" w:name="page136"/>
    <w:bookmarkEnd w:id="13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STATEMENTS OF CHANGES IN STOCKHOLDERS’ DEFICIT</w:t>
      </w:r>
    </w:p>
    <w:p>
      <w:pPr>
        <w:spacing w:after="0" w:line="25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840" w:type="dxa"/>
            <w:vAlign w:val="bottom"/>
            <w:gridSpan w:val="6"/>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84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160"/>
              <w:spacing w:after="0" w:line="139" w:lineRule="exact"/>
              <w:rPr>
                <w:sz w:val="20"/>
                <w:szCs w:val="20"/>
                <w:color w:val="auto"/>
              </w:rPr>
            </w:pPr>
            <w:r>
              <w:rPr>
                <w:rFonts w:ascii="Times New Roman" w:cs="Times New Roman" w:eastAsia="Times New Roman" w:hAnsi="Times New Roman"/>
                <w:sz w:val="16"/>
                <w:szCs w:val="16"/>
                <w:b w:val="1"/>
                <w:bCs w:val="1"/>
                <w:color w:val="auto"/>
                <w:w w:val="96"/>
              </w:rPr>
              <w:t>Paid-in</w:t>
            </w:r>
          </w:p>
        </w:tc>
        <w:tc>
          <w:tcPr>
            <w:tcW w:w="1060" w:type="dxa"/>
            <w:vAlign w:val="bottom"/>
            <w:gridSpan w:val="5"/>
            <w:vMerge w:val="restart"/>
          </w:tcPr>
          <w:p>
            <w:pPr>
              <w:ind w:left="80"/>
              <w:spacing w:after="0" w:line="139"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9"/>
                <w:szCs w:val="9"/>
                <w:color w:val="auto"/>
              </w:rPr>
            </w:pPr>
          </w:p>
        </w:tc>
        <w:tc>
          <w:tcPr>
            <w:tcW w:w="1080" w:type="dxa"/>
            <w:vAlign w:val="bottom"/>
            <w:gridSpan w:val="3"/>
            <w:vMerge w:val="restart"/>
          </w:tcPr>
          <w:p>
            <w:pPr>
              <w:jc w:val="center"/>
              <w:ind w:right="120"/>
              <w:spacing w:after="0" w:line="139" w:lineRule="exact"/>
              <w:rPr>
                <w:sz w:val="20"/>
                <w:szCs w:val="20"/>
                <w:color w:val="auto"/>
              </w:rPr>
            </w:pPr>
            <w:r>
              <w:rPr>
                <w:rFonts w:ascii="Times New Roman" w:cs="Times New Roman" w:eastAsia="Times New Roman" w:hAnsi="Times New Roman"/>
                <w:sz w:val="16"/>
                <w:szCs w:val="16"/>
                <w:b w:val="1"/>
                <w:bCs w:val="1"/>
                <w:color w:val="auto"/>
                <w:w w:val="97"/>
              </w:rPr>
              <w:t>Stockholders’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9"/>
                <w:szCs w:val="19"/>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4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Balance as of September 15,</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2020 (inception)</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47"/>
        </w:trPr>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(716)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Balance as of December 31,</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2020</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(716)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(716)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Sale of 12,000,000 Units through</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IPO</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119,998,800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Sale of 1,300,000 Units through</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over-allotment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12,999,870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Sale of 416,000 Private Units in</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private placement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4,159,958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46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representative shares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420,000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Common stock issued to initial</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stockholders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3,450,000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46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 of founder shares</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(125,000)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Underwriting fee</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(2,660,000)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(2,660,000)</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Offering costs charged to the</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stockholders’ equity</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(2,449,810)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Initial classification of warrant</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liability</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(270,307)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(270,307)</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Reclassification of offering costs</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related to Public Shares</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(981,884)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(981,884)</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Initial value of common stock</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subject to possible redemption</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(13,300,000)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(124,412,583)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(124,413,913)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redemption value</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(13,366,023)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redemption value (interest</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earned on trust account)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(10,583)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(10,583)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40" w:type="dxa"/>
            <w:vAlign w:val="bottom"/>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Balance as of December 31,</w:t>
            </w: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2021</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4,161,000</w:t>
            </w:r>
          </w:p>
        </w:tc>
        <w:tc>
          <w:tcPr>
            <w:tcW w:w="12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416</w:t>
            </w:r>
          </w:p>
        </w:tc>
        <w:tc>
          <w:tcPr>
            <w:tcW w:w="12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818,347</w:t>
            </w:r>
          </w:p>
        </w:tc>
        <w:tc>
          <w:tcPr>
            <w:tcW w:w="120" w:type="dxa"/>
            <w:vAlign w:val="bottom"/>
          </w:tcPr>
          <w:p>
            <w:pPr>
              <w:spacing w:after="0"/>
              <w:rPr>
                <w:sz w:val="21"/>
                <w:szCs w:val="21"/>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(982,600)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(163,837)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6" w:name="page137"/>
    <w:bookmarkEnd w:id="13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STATEMENTS OF CASH FLOWS</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For the Period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from</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September 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(Inception)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through</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(981,884)</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(716)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Unrealized gain on change in fair value of warrants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(22,793)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earned on marketable securities held in Trust Account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Changes in current assets and current liabilities: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Prepaid expenses</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(98,066)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expenses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247,868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Due to related party</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(864,358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held in Trust Account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IPO and over-allotment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Payment of underwriting fees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(2,660,000)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private placement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4,160,000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issuance of promissory note to related party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to promissory note to related party</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issuance of common stock to initial stockholders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of deferred offering costs</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(425,347)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134,099,653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change in cash</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beginning of the year</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Cash, end of the year</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260" w:type="dxa"/>
            <w:vAlign w:val="bottom"/>
            <w:gridSpan w:val="2"/>
            <w:vMerge w:val="continue"/>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value of common stock subject to possible redemption</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124,413,913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260" w:type="dxa"/>
            <w:vAlign w:val="bottom"/>
            <w:gridSpan w:val="2"/>
            <w:vMerge w:val="continue"/>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24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Accretion of common stock to redemption value (interest earned on trust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 of founder shares</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Initial classification of warrant liability</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260" w:type="dxa"/>
            <w:vAlign w:val="bottom"/>
            <w:gridSpan w:val="2"/>
            <w:vMerge w:val="continue"/>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7" w:name="page138"/>
    <w:bookmarkEnd w:id="13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1 — Organization and Business Operations</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Organization and General</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has selected December 31 as its fiscal year end.</w:t>
      </w:r>
    </w:p>
    <w:p>
      <w:pPr>
        <w:spacing w:after="0" w:line="14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As of December 31, 2021, the Company had not commenced any revenue-generating operations. All activity for the period from September 15, 2020 (inception) through December 31, 2021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spacing w:after="0" w:line="318"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On November 15, 2021, the Company entered into a definitive merger agreement with SoundHound Inc., a voice artificial intelligence company, pursuant to which the two companies agreed to consummate a Business Combination (the “Merger Agreement”). The total consideration to be paid by the Company to SoundHound Inc. is $2 billion in equity of the Company, with outstanding SoundHound Inc. stock options and warrants included on a net exercise basis. In connection with the Business Combination, certain accredited investors committed to purchase 11.1 million shares of Class A common stock of the combined company at a price of $10.00 per share, for total gross proceeds of $111 million, in a private placement that is scheduled to close concurrently with the Business Combination.</w:t>
      </w:r>
    </w:p>
    <w:p>
      <w:pPr>
        <w:spacing w:after="0" w:line="112"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Company’s sponsor is Archimedes Tech SPAC Sponsors LLC, a Delaware limited liability company (the “Sponsor”).</w:t>
      </w:r>
    </w:p>
    <w:p>
      <w:pPr>
        <w:spacing w:after="0" w:line="68"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References to the Company’s “initial stockholders” refer to the Company’s stockholders prior to the IPO, excluding the holders of the Representative Shares (See Note 8).</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Financing</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registration statement for the Company’s IPO was declared effective on March 10, 2021 (the “Effective Date”). As discussed in Note 4, on March 15, 2021, the Company consummated the IPO of 12,000,000 units, (the “Public Units”), at $10.00 per Public Unit, generating gross proceeds of $120,000,000.</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9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5. 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110"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Transaction costs amounted to $4,849,810 consisting of $2,400,000 of underwriting discount and $2,449,810 of other offering costs.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8" w:name="page139"/>
    <w:bookmarkEnd w:id="13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Trust Account</w:t>
      </w:r>
    </w:p>
    <w:p>
      <w:pPr>
        <w:spacing w:after="0" w:line="15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Initial Business Combination</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Company must complete one or more initial Business Combinations having an aggregate fair market value of at least 80% of the value of the assets held in the Trust Account (excluding taxes payable on the interest earned on the Trust Account)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spacing w:after="0" w:line="11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110"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Company will continue in existence only until 18 months from the closing of the IPO (the “Combination Period”). However, if the Company is unable to complete the initial Business Combination within the Combination Period, the Company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the Company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9" w:name="page140"/>
    <w:bookmarkEnd w:id="13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67" w:lineRule="auto"/>
        <w:rPr>
          <w:sz w:val="20"/>
          <w:szCs w:val="20"/>
          <w:color w:val="auto"/>
        </w:rPr>
      </w:pPr>
      <w:r>
        <w:rPr>
          <w:rFonts w:ascii="Times New Roman" w:cs="Times New Roman" w:eastAsia="Times New Roman" w:hAnsi="Times New Roman"/>
          <w:sz w:val="17"/>
          <w:szCs w:val="17"/>
          <w:color w:val="auto"/>
        </w:rPr>
        <w:t>will also forfeit the one-quarter of one warrant included in the Public Subunits being redeemed. As promptly as reasonably possible following such redemption, subject to the approval of the remaining stockholders and its board of directors, the Company will dissolve and liquidate, subject to its obligations under Delaware law to provide for claims of creditors and the requirements of other applicable law.</w:t>
      </w:r>
    </w:p>
    <w:p>
      <w:pPr>
        <w:spacing w:after="0" w:line="10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A public stockholder will be entitled to receive funds from the Trust Account (including interest earned on his, her or its portion of the Trust Account to the extent not previously released to the Company) only in the event of (i) the redemption of 100% of the outstanding Public Subunits if the Company has not completed a Business Combination in the required time period, (ii) if that public stockholder converts such Public Subunits, or sells such Public Subunits to the Company in a tender offer, in connection with a Business Combination which the Company consummates or (iii) the Company seeks to amend any provisions of its amended and restated certificate of incorporation that would affect the public stockholders’ ability to convert or sell their Public Subunits to the Company in connection with a Business Combination or affect the substance or timing of the Company’s obligation to redeem 100% of the Public Subunits if the Company does not complete a Business Combination within the Combination Period. This redemption right shall apply in the event of the approval of any such amendment to the Company’s amended and restated certificate of incorporation, whether proposed by the Sponsor, initial stockholders, executive officers, directors or any other person. In no other circumstances will a public stockholder have any right or interest of any kind to or in the Trust Account.</w:t>
      </w:r>
    </w:p>
    <w:p>
      <w:pPr>
        <w:spacing w:after="0" w:line="101"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Sponsor, initial stockholders, officers and directors have agreed (1) to vote any shares of common stock owned by them in favor of any proposed Business Combination, (2) not to convert any shares in connection with a stockholder vote to approve a proposed initial Business Combination and (3) not to sell any shares in any tender in connection with a proposed initial Business Combination.</w:t>
      </w:r>
    </w:p>
    <w:p>
      <w:pPr>
        <w:spacing w:after="0" w:line="105"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Sponsor has agreed that it will be liable to ensure that the proceeds in the Trust Account are not reduced below $10.00 per Public Subunit by the claims of target businesses or claims of vendors or other entities that are owed money by the Company for services rendered or contracted for or products sold to the Company, but the Company cannot assure that it will be able to satisfy its indemnification obligations if it is required to do so. The Company has not asked the Sponsor to reserve for such indemnification obligations, nor has the Company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3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Liquidity and Going Concern</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As of December 31, 2021, the Company had cash outside the Trust Account of $235,295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December 31, 2021, none of the amount on deposit in the Trust Account was available to be withdrawn as described above.</w:t>
      </w:r>
    </w:p>
    <w:p>
      <w:pPr>
        <w:spacing w:after="0" w:line="9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Prior to the completion of the IPO, the Company’s liquidity needs had been satisfied through receipt of $25,000 from the sale of Founder Shares (see Note 6), advances from the Sponsor in an aggregate amount of $125,000 under an unsecured promissory note, which were repaid upon the closing of the IPO (see Note 6). Subsequent to the consummation of the IPO and Private Placement, the Company’s liquidity needs have been satisfied through the net proceeds from the IPO and Private Placement held outside of the Trust Account.</w:t>
      </w:r>
    </w:p>
    <w:p>
      <w:pPr>
        <w:spacing w:after="0" w:line="10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6). To date, there were no amounts outstanding under any Working Capital Loans.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0" w:name="page141"/>
    <w:bookmarkEnd w:id="14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 anticipates that the $235,295 outside of the Trust account as of December 31, 2021 will not be sufficient to allow the Company to operate for at least the next 12 months, assuming that a Business Combination is not consummated during that time. Furthermore, if the Company is not able to consummate a Business Combination by September 15, 2022, it will trigger the Company’s automatic winding up, liquidation and dissolution. These conditions raise substantial doubt about the Company’s ability to continue as a going concern.</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2 — Restatement of Prior Period Financial Statements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Redeemable Equity Instruments</w:t>
      </w:r>
    </w:p>
    <w:p>
      <w:pPr>
        <w:spacing w:after="0" w:line="15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As a result of recent guidance to Special Purpose Acquisition Companies by the Securities and Exchange Commission (the “SEC”) regarding redeemable equity instruments, the Company revisited its application of ASC 480-10-S99 on the Company’s financial statements. The Company had previously classified a portion of its Public Subunits (and the underlying shares of common stock) in permanent equity. Subsequent to the re-evaluation, the Company’s management concluded that all of its Public Subunits should be classified as temporary equity. The identified errors impacted the Company’s Form 8-K filing on March 19, 2021 containing the IPO balance sheet as of March 15, 2021 (the “Closing Form 8-K), Form 10-Q filing on July 27, 2021 containing financial statements as of March 31, 2021, Form 10-Q filing on August 27, 2021 containing financial statements as of June 30, 2021, and Form 10-Q filing on November 15, 2021 containing financial statements as of September 30, 2021 (collectively,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material to the Prior Period Financial Statements. Accordingly, the Company has corrected such material errors by restating its Prior Period Financial Statements and classified all Public Subunits as temporary. The Company will also correct previously reported financial information for such material errors in future filings, as applicable.</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Classification of Private Warrants &amp; Fair Value of Representative Shares</w:t>
      </w:r>
    </w:p>
    <w:p>
      <w:pPr>
        <w:spacing w:after="0" w:line="144"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 xml:space="preserve">On April 12, 2021, the Staff of the SEC issued a statement entitled “Staff Statement on Accounting and Reporting Considerations for Warrants Issued by Special Purpose Acquisition Companies.” In the statement, the SEC Staff, among other things, highlighted potential accounting implications of certain terms that are common in warrants issued in connection with the initial public offerings of special purpose acquisition companies such as the Company. As a result of the Staff statement and in light of evolving views as to certain provisions commonly included in warrants issued by special purpose acquisition companies, the Company re-evaluated the accounting for its Public Warrants and Private Warrants under ASC 815-40, </w:t>
      </w:r>
      <w:r>
        <w:rPr>
          <w:rFonts w:ascii="Times New Roman" w:cs="Times New Roman" w:eastAsia="Times New Roman" w:hAnsi="Times New Roman"/>
          <w:sz w:val="17"/>
          <w:szCs w:val="17"/>
          <w:i w:val="1"/>
          <w:iCs w:val="1"/>
          <w:color w:val="auto"/>
        </w:rPr>
        <w:t>Derivatives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Hedging — Contracts in Entity’s Own Equity</w:t>
      </w:r>
      <w:r>
        <w:rPr>
          <w:rFonts w:ascii="Times New Roman" w:cs="Times New Roman" w:eastAsia="Times New Roman" w:hAnsi="Times New Roman"/>
          <w:sz w:val="17"/>
          <w:szCs w:val="17"/>
          <w:color w:val="auto"/>
        </w:rPr>
        <w:t>, and concluded that the Private Warrants do not meet the criteria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be classified in stockholders’ equity, since the Private Warrants meet the definition of a derivative under ASC 815-40. Additionally, the Company’s management re-evaluated the fair value of the Representative Shares and concluded that the fair value the Company had previously used for the Representative Shares were incorrect and needs to be restated. The identified errors impacted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qualitatively immaterial to the Prior Period Financial Statements but, in consideration that the Company is restating its Prior Period Financial Statements to address the misclassification of redeemable equity instruments, the Company concluded that it should restate the identified errors related to the classification of Private Warrants and the fair value of Representative Shares as well.</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1" w:name="page142"/>
    <w:bookmarkEnd w:id="14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Restatement of Prior Period Financial Statements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Impact of the Restatement</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impact of the restatement on the audited balance sheet as of March 15, 2021 and unaudited interim financial statements as of and for the three months ended March 31, 2021, June 30, 2021, and September 30, 2021 are presented below.</w:t>
      </w:r>
    </w:p>
    <w:p>
      <w:pPr>
        <w:spacing w:after="0" w:line="139"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89"/>
              </w:rPr>
              <w:t>As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7"/>
              </w:rPr>
              <w:t>Previously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0" w:type="dxa"/>
            <w:vAlign w:val="bottom"/>
          </w:tcPr>
          <w:p>
            <w:pPr>
              <w:spacing w:after="0"/>
              <w:rPr>
                <w:sz w:val="1"/>
                <w:szCs w:val="1"/>
                <w:color w:val="auto"/>
              </w:rPr>
            </w:pPr>
          </w:p>
        </w:tc>
      </w:tr>
      <w:tr>
        <w:trPr>
          <w:trHeight w:val="45"/>
        </w:trPr>
        <w:tc>
          <w:tcPr>
            <w:tcW w:w="42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Audited Balance Sheet at March 15, 2021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Warrant Liabilities</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253,413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253,413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591,387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254,413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844,800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Common stock subject to possible redemption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116,095,120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3,904,880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120,000,000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Common stock</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465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5,004,068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(4,158,254)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845,814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5,000,003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(4,158,293)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841,710</w:t>
            </w:r>
          </w:p>
        </w:tc>
        <w:tc>
          <w:tcPr>
            <w:tcW w:w="0" w:type="dxa"/>
            <w:vAlign w:val="bottom"/>
          </w:tcPr>
          <w:p>
            <w:pPr>
              <w:spacing w:after="0"/>
              <w:rPr>
                <w:sz w:val="1"/>
                <w:szCs w:val="1"/>
                <w:color w:val="auto"/>
              </w:rPr>
            </w:pPr>
          </w:p>
        </w:tc>
      </w:tr>
      <w:tr>
        <w:trPr>
          <w:trHeight w:val="273"/>
        </w:trPr>
        <w:tc>
          <w:tcPr>
            <w:tcW w:w="420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Unaudited Balance Sheet at March 31, 2021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Common stock subject to possible redemption</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128,744,590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4,255,935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133,000,525</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Common stock</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459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5,084,297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(4,255,892)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828,405</w:t>
            </w:r>
          </w:p>
        </w:tc>
        <w:tc>
          <w:tcPr>
            <w:tcW w:w="0" w:type="dxa"/>
            <w:vAlign w:val="bottom"/>
          </w:tcPr>
          <w:p>
            <w:pPr>
              <w:spacing w:after="0"/>
              <w:rPr>
                <w:sz w:val="1"/>
                <w:szCs w:val="1"/>
                <w:color w:val="auto"/>
              </w:rPr>
            </w:pPr>
          </w:p>
        </w:tc>
      </w:tr>
      <w:tr>
        <w:trPr>
          <w:trHeight w:val="39"/>
        </w:trPr>
        <w:tc>
          <w:tcPr>
            <w:tcW w:w="42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restart"/>
          </w:tcPr>
          <w:p>
            <w:pPr>
              <w:spacing w:after="0"/>
              <w:rPr>
                <w:sz w:val="23"/>
                <w:szCs w:val="23"/>
                <w:color w:val="auto"/>
              </w:rPr>
            </w:pPr>
          </w:p>
        </w:tc>
        <w:tc>
          <w:tcPr>
            <w:tcW w:w="4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18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Operations for the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three months ended March 31, 2021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weighted average shares outstanding,</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common stock subject to redemption</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2,059,408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247,259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2,306,667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weighted average shares outstanding,</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common stock</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3,856,614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(514,481)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3,342,133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 subject to redemption</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0.00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3.41</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3.41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 not subject to redemption</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39"/>
        </w:trPr>
        <w:tc>
          <w:tcPr>
            <w:tcW w:w="42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restart"/>
          </w:tcPr>
          <w:p>
            <w:pPr>
              <w:spacing w:after="0"/>
              <w:rPr>
                <w:sz w:val="23"/>
                <w:szCs w:val="23"/>
                <w:color w:val="auto"/>
              </w:rPr>
            </w:pPr>
          </w:p>
        </w:tc>
        <w:tc>
          <w:tcPr>
            <w:tcW w:w="4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18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Changes in Stockholders’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Equity for the three months ended March 31, 2021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Additional Paid-in-</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Capital</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3,458</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2,020,963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2,024,421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Stockholders’ Equity</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(Deficit)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3,500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2,020,963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2,024,463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Offering costs charged to the Stockholders’ equity</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(428,847)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(2,020,963)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4,779,936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273"/>
        </w:trPr>
        <w:tc>
          <w:tcPr>
            <w:tcW w:w="20" w:type="dxa"/>
            <w:vAlign w:val="bottom"/>
            <w:vMerge w:val="restart"/>
          </w:tcPr>
          <w:p>
            <w:pPr>
              <w:spacing w:after="0"/>
              <w:rPr>
                <w:sz w:val="23"/>
                <w:szCs w:val="23"/>
                <w:color w:val="auto"/>
              </w:rPr>
            </w:pPr>
          </w:p>
        </w:tc>
        <w:tc>
          <w:tcPr>
            <w:tcW w:w="4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1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Cash Flows for the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three months ended March 31, 2021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Initial value of common stock subject to possible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redemption</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115,841,700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8,572,213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124,413,913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Change in value of common stock subject to possible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redemption</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12,902,890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(12,902,365)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13,366,023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Accretion of common stock to redemption value (interest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earned on trust account)</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525</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525</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180" w:type="dxa"/>
            <w:vAlign w:val="bottom"/>
            <w:tcBorders>
              <w:bottom w:val="single" w:sz="8" w:color="auto"/>
            </w:tcBorders>
          </w:tcPr>
          <w:p>
            <w:pPr>
              <w:ind w:left="3720"/>
              <w:spacing w:after="0"/>
              <w:rPr>
                <w:sz w:val="20"/>
                <w:szCs w:val="20"/>
                <w:color w:val="auto"/>
              </w:rPr>
            </w:pPr>
            <w:r>
              <w:rPr>
                <w:rFonts w:ascii="Times New Roman" w:cs="Times New Roman" w:eastAsia="Times New Roman" w:hAnsi="Times New Roman"/>
                <w:sz w:val="17"/>
                <w:szCs w:val="17"/>
                <w:color w:val="auto"/>
              </w:rPr>
              <w:t>F-11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142" w:name="page143"/>
    <w:bookmarkEnd w:id="14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Restatement of Prior Period Financial Statements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89"/>
              </w:rPr>
              <w:t>As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7"/>
              </w:rPr>
              <w:t>Previously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00" w:type="dxa"/>
            <w:vAlign w:val="bottom"/>
          </w:tcPr>
          <w:p>
            <w:pPr>
              <w:spacing w:after="0"/>
              <w:rPr>
                <w:sz w:val="17"/>
                <w:szCs w:val="17"/>
                <w:color w:val="auto"/>
              </w:rPr>
            </w:pPr>
          </w:p>
        </w:tc>
        <w:tc>
          <w:tcPr>
            <w:tcW w:w="1020" w:type="dxa"/>
            <w:vAlign w:val="bottom"/>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3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Unaudited Statement of Operations for the six months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ended June 30, 2021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 subject to redemption</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0.46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0.08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0.54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 not subject to redemption</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73"/>
        </w:trPr>
        <w:tc>
          <w:tcPr>
            <w:tcW w:w="20" w:type="dxa"/>
            <w:vAlign w:val="bottom"/>
            <w:vMerge w:val="restart"/>
          </w:tcPr>
          <w:p>
            <w:pPr>
              <w:spacing w:after="0"/>
              <w:rPr>
                <w:sz w:val="23"/>
                <w:szCs w:val="23"/>
                <w:color w:val="auto"/>
              </w:rPr>
            </w:pPr>
          </w:p>
        </w:tc>
        <w:tc>
          <w:tcPr>
            <w:tcW w:w="4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Changes in Stockholders’ Equity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for the six months ended June 30, 2021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Additional Paid-in-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Capital</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3,458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2,020,963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2,024,421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Stockholders’ Equity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(Deficit)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2,020,963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2,024,463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Offering costs charged to the Stockholders’ equity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(428,847)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(2,020,963)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2,886,166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(11,472,253)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4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restart"/>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0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Cash Flows for the six months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ended June 30,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(2,886,166)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11,472,253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4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restart"/>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0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Operations for the nine months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ended September 30,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 subject to redemption</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0.31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0.06</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0.37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 not subject to redemption</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39"/>
        </w:trPr>
        <w:tc>
          <w:tcPr>
            <w:tcW w:w="4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restart"/>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0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Changes in Stockholders’ Equity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for the nine months ended September 30,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Additional Paid-in-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Capital</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3,458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2,020,963</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2,024,421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Stockholders’ Equity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(Deficit)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2,020,963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2,024,463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Offering costs charged to the Stockholders’ equity</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(428,847)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(2,020,963)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2,886,166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(11,472,253)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273"/>
        </w:trPr>
        <w:tc>
          <w:tcPr>
            <w:tcW w:w="20" w:type="dxa"/>
            <w:vAlign w:val="bottom"/>
            <w:vMerge w:val="restart"/>
          </w:tcPr>
          <w:p>
            <w:pPr>
              <w:spacing w:after="0"/>
              <w:rPr>
                <w:sz w:val="23"/>
                <w:szCs w:val="23"/>
                <w:color w:val="auto"/>
              </w:rPr>
            </w:pPr>
          </w:p>
        </w:tc>
        <w:tc>
          <w:tcPr>
            <w:tcW w:w="4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Cash Flows for the nine months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ended September 30, 2021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(2,886,166)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11,472,253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300" w:type="dxa"/>
            <w:vAlign w:val="bottom"/>
            <w:tcBorders>
              <w:bottom w:val="single" w:sz="8" w:color="auto"/>
            </w:tcBorders>
          </w:tcPr>
          <w:p>
            <w:pPr>
              <w:ind w:left="3720"/>
              <w:spacing w:after="0"/>
              <w:rPr>
                <w:sz w:val="20"/>
                <w:szCs w:val="20"/>
                <w:color w:val="auto"/>
              </w:rPr>
            </w:pPr>
            <w:r>
              <w:rPr>
                <w:rFonts w:ascii="Times New Roman" w:cs="Times New Roman" w:eastAsia="Times New Roman" w:hAnsi="Times New Roman"/>
                <w:sz w:val="17"/>
                <w:szCs w:val="17"/>
                <w:color w:val="auto"/>
              </w:rPr>
              <w:t>F-12</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143" w:name="page144"/>
    <w:bookmarkEnd w:id="14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3 — Summary of Significant Accounting Policies</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accompanying financial statements of the Company are presented in U.S. dollars in conformity with accounting principles generally accepted in the United States of America (“GAAP”) and pursuant to the rules and regulations of the U.S. Securities and Exchange Commission (“SEC”).</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9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preparation of financial statement in conformity with US GAAP requires management to make estimates and assumptions that affect the reported amounts of assets and liabilities and disclosure of contingent assets and liabilities at the date of the financial statement. Actual results could differ from those estimates.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Company considers all short-term investments with an original maturity of three months or less when purchased to be cash equivalents. The Company has $235,295 of cash held outside of the Trust Account as of December 31, 2021 and no cash held outside of the Trust Account as of December 31, 2020. The Company did not have any cash equivalents as of December 31, 2021 and 2020.</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Marketable Securities Held in Trust Account</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At December 31, 2021, the Company had $133,010,583 in the Trust Account which may be utilized for Business Combination. As of December 31, 2021, the assets held in the Trust Account were invested in Treasury Securities consisting of money market funds.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4" w:name="page145"/>
    <w:bookmarkEnd w:id="14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14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07" w:lineRule="exact"/>
        <w:rPr>
          <w:sz w:val="20"/>
          <w:szCs w:val="20"/>
          <w:color w:val="auto"/>
        </w:rPr>
      </w:pPr>
    </w:p>
    <w:p>
      <w:pPr>
        <w:ind w:left="1440" w:right="619" w:hanging="418"/>
        <w:spacing w:after="0" w:line="293" w:lineRule="auto"/>
        <w:tabs>
          <w:tab w:leader="none" w:pos="143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defined as observable inputs such as quoted prices (unadjusted) for identical instruments in active markets;</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84"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expenses, and due to related party are estimated to approximate the carrying values as of December 31, 2021 due to the short maturities of such instruments.</w:t>
      </w:r>
    </w:p>
    <w:p>
      <w:pPr>
        <w:spacing w:after="0" w:line="9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7 for additional information on assets, liabilities and Representative Shares measured at fair value.</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of a cash account in a financial institution, which, at times, may exceed the Federal Depository Insurance Coverage of $250,000. At December 31, 2021 and 2020, the Company has not experienced losses on this account and management believes the Company is not exposed to significant risks on such account.</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Common Stock Subject to Possible Redemption</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5" w:name="page146"/>
    <w:bookmarkEnd w:id="14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Net Income (Loss) Per Common Share</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10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earnings per share presented in the statements of operations is based on the following:</w:t>
      </w:r>
    </w:p>
    <w:p>
      <w:pPr>
        <w:spacing w:after="0" w:line="184"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For the</w:t>
      </w:r>
    </w:p>
    <w:p>
      <w:pPr>
        <w:spacing w:after="0" w:line="21"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11"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35560</wp:posOffset>
            </wp:positionV>
            <wp:extent cx="4951095" cy="1733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Net loss</w:t>
      </w:r>
    </w:p>
    <w:p>
      <w:pPr>
        <w:spacing w:after="0" w:line="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44450</wp:posOffset>
            </wp:positionV>
            <wp:extent cx="4951095" cy="1733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Net loss including 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621665</wp:posOffset>
            </wp:positionV>
            <wp:extent cx="4951095" cy="1816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951095" cy="181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Basic and diluted net loss per share:</w:t>
      </w:r>
    </w:p>
    <w:p>
      <w:pPr>
        <w:spacing w:after="0" w:line="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44450</wp:posOffset>
            </wp:positionV>
            <wp:extent cx="4951095" cy="1733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Allocation of net loss including accretion of temporary equity</w:t>
      </w:r>
    </w:p>
    <w:p>
      <w:pPr>
        <w:spacing w:after="0" w:line="7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44450</wp:posOffset>
            </wp:positionV>
            <wp:extent cx="4951095" cy="1733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Allocation of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234315</wp:posOffset>
            </wp:positionV>
            <wp:extent cx="4951095" cy="1733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3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Denominator:</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both"/>
        <w:ind w:left="1180"/>
        <w:spacing w:after="0"/>
        <w:tabs>
          <w:tab w:leader="none" w:pos="16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(981,884)</w:t>
      </w:r>
    </w:p>
    <w:p>
      <w:pPr>
        <w:spacing w:after="0" w:line="77"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7"/>
          <w:szCs w:val="17"/>
          <w:color w:val="auto"/>
        </w:rPr>
        <w:t>(13,376,606)</w:t>
      </w:r>
    </w:p>
    <w:p>
      <w:pPr>
        <w:spacing w:after="0" w:line="77" w:lineRule="exact"/>
        <w:rPr>
          <w:sz w:val="20"/>
          <w:szCs w:val="20"/>
          <w:color w:val="auto"/>
        </w:rPr>
      </w:pPr>
    </w:p>
    <w:p>
      <w:pPr>
        <w:jc w:val="right"/>
        <w:ind w:right="679"/>
        <w:spacing w:after="0"/>
        <w:tabs>
          <w:tab w:leader="none" w:pos="900" w:val="left"/>
        </w:tabs>
        <w:rPr>
          <w:sz w:val="20"/>
          <w:szCs w:val="20"/>
          <w:color w:val="auto"/>
        </w:rPr>
      </w:pPr>
      <w:r>
        <w:rPr>
          <w:rFonts w:ascii="Times New Roman" w:cs="Times New Roman" w:eastAsia="Times New Roman" w:hAnsi="Times New Roman"/>
          <w:sz w:val="17"/>
          <w:szCs w:val="17"/>
          <w:color w:val="auto"/>
        </w:rPr>
        <w:t>$</w:t>
        <w:tab/>
        <w:t>(14,358,490)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44450</wp:posOffset>
            </wp:positionV>
            <wp:extent cx="6769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For the year ended</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wp:posOffset>
            </wp:positionV>
            <wp:extent cx="15182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72" w:lineRule="exact"/>
        <w:rPr>
          <w:sz w:val="20"/>
          <w:szCs w:val="20"/>
          <w:color w:val="auto"/>
        </w:rPr>
      </w:pPr>
    </w:p>
    <w:p>
      <w:pPr>
        <w:ind w:left="140"/>
        <w:spacing w:after="0"/>
        <w:tabs>
          <w:tab w:leader="none" w:pos="1220" w:val="left"/>
        </w:tabs>
        <w:rPr>
          <w:sz w:val="20"/>
          <w:szCs w:val="20"/>
          <w:color w:val="auto"/>
        </w:rPr>
      </w:pPr>
      <w:r>
        <w:rPr>
          <w:rFonts w:ascii="Times New Roman" w:cs="Times New Roman" w:eastAsia="Times New Roman" w:hAnsi="Times New Roman"/>
          <w:sz w:val="14"/>
          <w:szCs w:val="14"/>
          <w:b w:val="1"/>
          <w:bCs w:val="1"/>
          <w:color w:val="auto"/>
        </w:rPr>
        <w:t>Redeemable</w:t>
      </w:r>
      <w:r>
        <w:rPr>
          <w:sz w:val="20"/>
          <w:szCs w:val="20"/>
          <w:color w:val="auto"/>
        </w:rPr>
        <w:tab/>
      </w:r>
      <w:r>
        <w:rPr>
          <w:rFonts w:ascii="Times New Roman" w:cs="Times New Roman" w:eastAsia="Times New Roman" w:hAnsi="Times New Roman"/>
          <w:sz w:val="14"/>
          <w:szCs w:val="14"/>
          <w:b w:val="1"/>
          <w:bCs w:val="1"/>
          <w:color w:val="auto"/>
        </w:rPr>
        <w:t>Non-redeemable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160" w:val="left"/>
          <w:tab w:leader="none" w:pos="1460" w:val="left"/>
        </w:tabs>
        <w:rPr>
          <w:sz w:val="20"/>
          <w:szCs w:val="20"/>
          <w:color w:val="auto"/>
        </w:rPr>
      </w:pPr>
      <w:r>
        <w:rPr>
          <w:rFonts w:ascii="Times New Roman" w:cs="Times New Roman" w:eastAsia="Times New Roman" w:hAnsi="Times New Roman"/>
          <w:sz w:val="17"/>
          <w:szCs w:val="17"/>
          <w:color w:val="auto"/>
        </w:rPr>
        <w:t>$ (10,451,084)</w:t>
        <w:tab/>
        <w:t>$</w:t>
        <w:tab/>
        <w:t>(3,907,406)</w:t>
      </w:r>
    </w:p>
    <w:p>
      <w:pPr>
        <w:spacing w:after="0" w:line="90" w:lineRule="exact"/>
        <w:rPr>
          <w:sz w:val="20"/>
          <w:szCs w:val="20"/>
          <w:color w:val="auto"/>
        </w:rPr>
      </w:pPr>
    </w:p>
    <w:p>
      <w:pPr>
        <w:ind w:left="180"/>
        <w:spacing w:after="0"/>
        <w:tabs>
          <w:tab w:leader="none" w:pos="2040" w:val="left"/>
        </w:tabs>
        <w:rPr>
          <w:sz w:val="20"/>
          <w:szCs w:val="20"/>
          <w:color w:val="auto"/>
        </w:rPr>
      </w:pPr>
      <w:r>
        <w:rPr>
          <w:rFonts w:ascii="Times New Roman" w:cs="Times New Roman" w:eastAsia="Times New Roman" w:hAnsi="Times New Roman"/>
          <w:sz w:val="17"/>
          <w:szCs w:val="17"/>
          <w:color w:val="auto"/>
        </w:rPr>
        <w:t>13,376,606</w:t>
      </w:r>
      <w:r>
        <w:rPr>
          <w:sz w:val="20"/>
          <w:szCs w:val="20"/>
          <w:color w:val="auto"/>
        </w:rPr>
        <w:tab/>
      </w:r>
      <w:r>
        <w:rPr>
          <w:rFonts w:ascii="Times New Roman" w:cs="Times New Roman" w:eastAsia="Times New Roman" w:hAnsi="Times New Roman"/>
          <w:sz w:val="17"/>
          <w:szCs w:val="17"/>
          <w:color w:val="auto"/>
        </w:rPr>
        <w:t>—</w:t>
      </w:r>
    </w:p>
    <w:p>
      <w:pPr>
        <w:spacing w:after="0" w:line="64" w:lineRule="exact"/>
        <w:rPr>
          <w:sz w:val="20"/>
          <w:szCs w:val="20"/>
          <w:color w:val="auto"/>
        </w:rPr>
      </w:pPr>
    </w:p>
    <w:p>
      <w:pPr>
        <w:spacing w:after="0"/>
        <w:tabs>
          <w:tab w:leader="none" w:pos="260" w:val="left"/>
          <w:tab w:leader="none" w:pos="1160" w:val="left"/>
          <w:tab w:leader="none" w:pos="1460" w:val="left"/>
        </w:tabs>
        <w:rPr>
          <w:sz w:val="20"/>
          <w:szCs w:val="20"/>
          <w:color w:val="auto"/>
        </w:rPr>
      </w:pPr>
      <w:r>
        <w:rPr>
          <w:rFonts w:ascii="Times New Roman" w:cs="Times New Roman" w:eastAsia="Times New Roman" w:hAnsi="Times New Roman"/>
          <w:sz w:val="17"/>
          <w:szCs w:val="17"/>
          <w:color w:val="auto"/>
        </w:rPr>
        <w:t>$</w:t>
        <w:tab/>
        <w:t>2,925,522</w:t>
        <w:tab/>
        <w:t>$</w:t>
        <w:tab/>
        <w:t>(3,907,406)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52705</wp:posOffset>
            </wp:positionV>
            <wp:extent cx="14274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648" w:lineRule="exact"/>
        <w:rPr>
          <w:sz w:val="20"/>
          <w:szCs w:val="20"/>
          <w:color w:val="auto"/>
        </w:rPr>
      </w:pPr>
    </w:p>
    <w:p>
      <w:pPr>
        <w:sectPr>
          <w:pgSz w:w="11900" w:h="16838" w:orient="portrait"/>
          <w:cols w:equalWidth="0" w:num="2">
            <w:col w:w="5400" w:space="620"/>
            <w:col w:w="2999"/>
          </w:cols>
          <w:pgMar w:left="1440" w:top="264" w:right="1440" w:bottom="1440" w:gutter="0" w:footer="0" w:header="0"/>
          <w:type w:val="continuous"/>
        </w:sectPr>
      </w:pPr>
    </w:p>
    <w:tbl>
      <w:tblPr>
        <w:tblLayout w:type="fixed"/>
        <w:tblInd w:w="60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13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10,589,315</w:t>
            </w:r>
          </w:p>
        </w:tc>
        <w:tc>
          <w:tcPr>
            <w:tcW w:w="34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3,959,088</w:t>
            </w:r>
          </w:p>
        </w:tc>
      </w:tr>
      <w:tr>
        <w:trPr>
          <w:trHeight w:val="39"/>
        </w:trPr>
        <w:tc>
          <w:tcPr>
            <w:tcW w:w="4260" w:type="dxa"/>
            <w:vAlign w:val="bottom"/>
            <w:gridSpan w:val="2"/>
          </w:tcPr>
          <w:p>
            <w:pPr>
              <w:spacing w:after="0"/>
              <w:rPr>
                <w:sz w:val="3"/>
                <w:szCs w:val="3"/>
                <w:color w:val="auto"/>
              </w:rPr>
            </w:pPr>
          </w:p>
        </w:tc>
        <w:tc>
          <w:tcPr>
            <w:tcW w:w="1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4"/>
        </w:trPr>
        <w:tc>
          <w:tcPr>
            <w:tcW w:w="20" w:type="dxa"/>
            <w:vAlign w:val="bottom"/>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net income (loss) per share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0.28</w:t>
            </w:r>
          </w:p>
        </w:tc>
        <w:tc>
          <w:tcPr>
            <w:tcW w:w="3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(0.99)</w:t>
            </w:r>
          </w:p>
        </w:tc>
      </w:tr>
      <w:tr>
        <w:trPr>
          <w:trHeight w:val="39"/>
        </w:trPr>
        <w:tc>
          <w:tcPr>
            <w:tcW w:w="20" w:type="dxa"/>
            <w:vAlign w:val="bottom"/>
          </w:tcPr>
          <w:p>
            <w:pPr>
              <w:spacing w:after="0"/>
              <w:rPr>
                <w:sz w:val="3"/>
                <w:szCs w:val="3"/>
                <w:color w:val="auto"/>
              </w:rPr>
            </w:pPr>
          </w:p>
        </w:tc>
        <w:tc>
          <w:tcPr>
            <w:tcW w:w="424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r>
    </w:tbl>
    <w:p>
      <w:pPr>
        <w:spacing w:after="0" w:line="15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No shares of the Company were issued or outstanding in 2020 and, as a result, Earnings Per Share does not exist for 2020.</w:t>
      </w:r>
    </w:p>
    <w:p>
      <w:pPr>
        <w:spacing w:after="0" w:line="8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8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As of December 31,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46" w:name="page147"/>
    <w:bookmarkEnd w:id="14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Offering Costs associated with the Initial Public Offering</w:t>
      </w:r>
    </w:p>
    <w:p>
      <w:pPr>
        <w:spacing w:after="0" w:line="14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spacing w:after="0" w:line="11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generating an aggregate of gross proceeds of $13,000,000, and incurred additional transaction costs of $260,000 in underwriting discount.</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Derivative Financial Instruments</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1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2021 and 2020, respectively.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and Uncertainties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financial statements. The financial statements do not include any adjustments that might result from the outcome of this uncertainty.</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7" w:name="page148"/>
    <w:bookmarkEnd w:id="14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Recently Adopted Accounting Standards</w:t>
      </w:r>
    </w:p>
    <w:p>
      <w:pPr>
        <w:spacing w:after="0" w:line="14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 xml:space="preserve">In August 2020, the FASB issued ASU 2020-06, </w:t>
      </w:r>
      <w:r>
        <w:rPr>
          <w:rFonts w:ascii="Times New Roman" w:cs="Times New Roman" w:eastAsia="Times New Roman" w:hAnsi="Times New Roman"/>
          <w:sz w:val="17"/>
          <w:szCs w:val="17"/>
          <w:i w:val="1"/>
          <w:iCs w:val="1"/>
          <w:color w:val="auto"/>
        </w:rPr>
        <w:t>Debt-Debt with Conversion and Other Options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(Subtopic 470-20) and Derivatives and Hedging-Contracts in Entity’s Own Equity (Subtopic 815-40): Accounting for Convertible Instruments and Contracts in an Entity’s Own Equity </w:t>
      </w:r>
      <w:r>
        <w:rPr>
          <w:rFonts w:ascii="Times New Roman" w:cs="Times New Roman" w:eastAsia="Times New Roman" w:hAnsi="Times New Roman"/>
          <w:sz w:val="17"/>
          <w:szCs w:val="17"/>
          <w:color w:val="auto"/>
        </w:rPr>
        <w:t>(“ASU 2020-06”),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4 — Initial Public Offering</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1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at a purchase price of $10.00 per Public Unit, generating gross proceeds to the Company of $13,000,000.</w:t>
      </w:r>
    </w:p>
    <w:p>
      <w:pPr>
        <w:spacing w:after="0" w:line="8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3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5 — Private Placement</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8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1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8" w:name="page149"/>
    <w:bookmarkEnd w:id="14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6 — Related Party Transactions</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Founder Shares</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w:t>
      </w:r>
    </w:p>
    <w:p>
      <w:pPr>
        <w:spacing w:after="0" w:line="11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On the date of the IPO, the Founder Shares were placed into an escrow account maintained in New York, New York by Continental Stock Transfer&amp;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3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Promissory Note — Related Party</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January 4, 2021, the Sponsor agreed to loan the Company up to $300,000 to be used for a portion of the expenses of the IPO (the “Promissory Note”). These loans were non-interest bearing, unsecured and were due at the earlier of March 31, 2021 or the closing of the IPO.</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Related Party Loans</w:t>
      </w:r>
    </w:p>
    <w:p>
      <w:pPr>
        <w:spacing w:after="0" w:line="15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 At December 31, 2021 and 2020, no such Working Capital Loans were outstanding.</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9" w:name="page150"/>
    <w:bookmarkEnd w:id="14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6 — Related Party Transactions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Administrative Service Fee</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Commencing on the Effective Date of the registration statement through the acquisition of a target business, the Company will pay an affiliate of the Chief Executive Officer, an aggregate fee of $10,000 per month for providing the Company with office space and certain office and secretarial services. The Company has recorded 97,097 for the for the period from March 10, 2021 through December 31, 2021.</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7 — Fair Value Measurements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Non-Recurring Fair Value Measurement</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p>
      <w:pPr>
        <w:spacing w:after="0" w:line="12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4"/>
              </w:rPr>
              <w:t>Quoted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Prices In Active</w:t>
            </w:r>
          </w:p>
        </w:tc>
        <w:tc>
          <w:tcPr>
            <w:tcW w:w="100" w:type="dxa"/>
            <w:vAlign w:val="bottom"/>
          </w:tcPr>
          <w:p>
            <w:pPr>
              <w:spacing w:after="0"/>
              <w:rPr>
                <w:sz w:val="16"/>
                <w:szCs w:val="16"/>
                <w:color w:val="auto"/>
              </w:rPr>
            </w:pPr>
          </w:p>
        </w:tc>
        <w:tc>
          <w:tcPr>
            <w:tcW w:w="90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January 13,</w:t>
            </w:r>
          </w:p>
        </w:tc>
        <w:tc>
          <w:tcPr>
            <w:tcW w:w="100" w:type="dxa"/>
            <w:vAlign w:val="bottom"/>
          </w:tcPr>
          <w:p>
            <w:pPr>
              <w:spacing w:after="0"/>
              <w:rPr>
                <w:sz w:val="16"/>
                <w:szCs w:val="16"/>
                <w:color w:val="auto"/>
              </w:rPr>
            </w:pPr>
          </w:p>
        </w:tc>
        <w:tc>
          <w:tcPr>
            <w:tcW w:w="880" w:type="dxa"/>
            <w:vAlign w:val="bottom"/>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4"/>
              </w:rPr>
              <w:t>Inputs</w:t>
            </w:r>
          </w:p>
        </w:tc>
      </w:tr>
      <w:tr>
        <w:trPr>
          <w:trHeight w:val="205"/>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880" w:type="dxa"/>
            <w:vAlign w:val="bottom"/>
          </w:tcPr>
          <w:p>
            <w:pPr>
              <w:jc w:val="center"/>
              <w:ind w:left="142"/>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(Level 3)</w:t>
            </w:r>
          </w:p>
        </w:tc>
      </w:tr>
      <w:tr>
        <w:trPr>
          <w:trHeight w:val="45"/>
        </w:trPr>
        <w:tc>
          <w:tcPr>
            <w:tcW w:w="228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46"/>
        </w:trPr>
        <w:tc>
          <w:tcPr>
            <w:tcW w:w="20" w:type="dxa"/>
            <w:vAlign w:val="bottom"/>
          </w:tcPr>
          <w:p>
            <w:pPr>
              <w:spacing w:after="0"/>
              <w:rPr>
                <w:sz w:val="21"/>
                <w:szCs w:val="21"/>
                <w:color w:val="auto"/>
              </w:rPr>
            </w:pPr>
          </w:p>
        </w:tc>
        <w:tc>
          <w:tcPr>
            <w:tcW w:w="2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7"/>
        </w:trPr>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Representative Shares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9"/>
              </w:rPr>
              <w:t>2,024,463</w:t>
            </w:r>
          </w:p>
        </w:tc>
        <w:tc>
          <w:tcPr>
            <w:tcW w:w="980" w:type="dxa"/>
            <w:vAlign w:val="bottom"/>
            <w:gridSpan w:val="2"/>
          </w:tcPr>
          <w:p>
            <w:pPr>
              <w:jc w:val="right"/>
              <w:ind w:right="722"/>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742"/>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2,024,463</w:t>
            </w:r>
          </w:p>
        </w:tc>
      </w:tr>
      <w:tr>
        <w:trPr>
          <w:trHeight w:val="26"/>
        </w:trPr>
        <w:tc>
          <w:tcPr>
            <w:tcW w:w="20" w:type="dxa"/>
            <w:vAlign w:val="bottom"/>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99"/>
              </w:rPr>
              <w:t>2,024,463</w:t>
            </w:r>
          </w:p>
        </w:tc>
        <w:tc>
          <w:tcPr>
            <w:tcW w:w="980" w:type="dxa"/>
            <w:vAlign w:val="bottom"/>
            <w:gridSpan w:val="2"/>
            <w:shd w:val="clear" w:color="auto" w:fill="CCEEFF"/>
          </w:tcPr>
          <w:p>
            <w:pPr>
              <w:jc w:val="right"/>
              <w:ind w:right="722"/>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jc w:val="right"/>
              <w:ind w:right="742"/>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2,024,463</w:t>
            </w: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Representative Shares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January 13, 2021:</w:t>
      </w:r>
    </w:p>
    <w:p>
      <w:pPr>
        <w:spacing w:after="0" w:line="178"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January 13,</w:t>
            </w:r>
          </w:p>
        </w:tc>
      </w:tr>
      <w:tr>
        <w:trPr>
          <w:trHeight w:val="205"/>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660" w:type="dxa"/>
            <w:vAlign w:val="bottom"/>
            <w:gridSpan w:val="2"/>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6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term (years)</w:t>
            </w:r>
          </w:p>
        </w:tc>
        <w:tc>
          <w:tcPr>
            <w:tcW w:w="38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1.11</w:t>
            </w: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39"/>
        </w:trPr>
        <w:tc>
          <w:tcPr>
            <w:tcW w:w="2660" w:type="dxa"/>
            <w:vAlign w:val="bottom"/>
            <w:gridSpan w:val="2"/>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3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4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9.37</w:t>
            </w:r>
          </w:p>
        </w:tc>
      </w:tr>
      <w:tr>
        <w:trPr>
          <w:trHeight w:val="39"/>
        </w:trPr>
        <w:tc>
          <w:tcPr>
            <w:tcW w:w="2660" w:type="dxa"/>
            <w:vAlign w:val="bottom"/>
            <w:gridSpan w:val="2"/>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77"/>
        </w:trPr>
        <w:tc>
          <w:tcPr>
            <w:tcW w:w="20" w:type="dxa"/>
            <w:vAlign w:val="bottom"/>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3"/>
          </w:tcPr>
          <w:p>
            <w:pPr>
              <w:jc w:val="right"/>
              <w:ind w:right="2680"/>
              <w:spacing w:after="0"/>
              <w:rPr>
                <w:sz w:val="20"/>
                <w:szCs w:val="20"/>
                <w:color w:val="auto"/>
              </w:rPr>
            </w:pPr>
            <w:r>
              <w:rPr>
                <w:rFonts w:ascii="Times New Roman" w:cs="Times New Roman" w:eastAsia="Times New Roman" w:hAnsi="Times New Roman"/>
                <w:sz w:val="17"/>
                <w:szCs w:val="17"/>
                <w:color w:val="auto"/>
              </w:rPr>
              <w:t>F-19</w:t>
            </w: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50" w:name="page151"/>
    <w:bookmarkEnd w:id="15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7 — Fair Value Measurements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Recurring Fair Value Measurement</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assets and liabilities that were measured at fair value on a recurring basis as of December 31, 2021 and indicates the fair value hierarchy of the valuation techniques the Company utilized to determine such fair value.</w:t>
      </w:r>
    </w:p>
    <w:p>
      <w:pPr>
        <w:spacing w:after="0" w:line="139"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Quoted Prices</w:t>
            </w:r>
          </w:p>
        </w:tc>
        <w:tc>
          <w:tcPr>
            <w:tcW w:w="100" w:type="dxa"/>
            <w:vAlign w:val="bottom"/>
          </w:tcPr>
          <w:p>
            <w:pPr>
              <w:spacing w:after="0"/>
              <w:rPr>
                <w:sz w:val="16"/>
                <w:szCs w:val="16"/>
                <w:color w:val="auto"/>
              </w:rPr>
            </w:pPr>
          </w:p>
        </w:tc>
        <w:tc>
          <w:tcPr>
            <w:tcW w:w="90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5"/>
              </w:rPr>
              <w:t>In Active</w:t>
            </w:r>
          </w:p>
        </w:tc>
        <w:tc>
          <w:tcPr>
            <w:tcW w:w="100" w:type="dxa"/>
            <w:vAlign w:val="bottom"/>
          </w:tcPr>
          <w:p>
            <w:pPr>
              <w:spacing w:after="0"/>
              <w:rPr>
                <w:sz w:val="16"/>
                <w:szCs w:val="16"/>
                <w:color w:val="auto"/>
              </w:rPr>
            </w:pPr>
          </w:p>
        </w:tc>
        <w:tc>
          <w:tcPr>
            <w:tcW w:w="90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w w:val="94"/>
              </w:rPr>
              <w:t>December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100" w:type="dxa"/>
            <w:vAlign w:val="bottom"/>
          </w:tcPr>
          <w:p>
            <w:pPr>
              <w:spacing w:after="0"/>
              <w:rPr>
                <w:sz w:val="16"/>
                <w:szCs w:val="16"/>
                <w:color w:val="auto"/>
              </w:rPr>
            </w:pPr>
          </w:p>
        </w:tc>
        <w:tc>
          <w:tcPr>
            <w:tcW w:w="900" w:type="dxa"/>
            <w:vAlign w:val="bottom"/>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4"/>
              </w:rPr>
              <w:t>Inputs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100" w:type="dxa"/>
            <w:vAlign w:val="bottom"/>
          </w:tcPr>
          <w:p>
            <w:pPr>
              <w:spacing w:after="0"/>
              <w:rPr>
                <w:sz w:val="17"/>
                <w:szCs w:val="17"/>
                <w:color w:val="auto"/>
              </w:rPr>
            </w:pPr>
          </w:p>
        </w:tc>
        <w:tc>
          <w:tcPr>
            <w:tcW w:w="900" w:type="dxa"/>
            <w:vAlign w:val="bottom"/>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0" w:type="dxa"/>
            <w:vAlign w:val="bottom"/>
          </w:tcPr>
          <w:p>
            <w:pPr>
              <w:spacing w:after="0"/>
              <w:rPr>
                <w:sz w:val="1"/>
                <w:szCs w:val="1"/>
                <w:color w:val="auto"/>
              </w:rPr>
            </w:pPr>
          </w:p>
        </w:tc>
      </w:tr>
      <w:tr>
        <w:trPr>
          <w:trHeight w:val="45"/>
        </w:trPr>
        <w:tc>
          <w:tcPr>
            <w:tcW w:w="29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 Mutual Fund held in Trust Account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000" w:type="dxa"/>
            <w:vAlign w:val="bottom"/>
            <w:gridSpan w:val="2"/>
          </w:tcPr>
          <w:p>
            <w:pPr>
              <w:jc w:val="right"/>
              <w:ind w:right="741"/>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000" w:type="dxa"/>
            <w:vAlign w:val="bottom"/>
            <w:gridSpan w:val="2"/>
            <w:shd w:val="clear" w:color="auto" w:fill="CCEEFF"/>
          </w:tcPr>
          <w:p>
            <w:pPr>
              <w:jc w:val="right"/>
              <w:ind w:right="741"/>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9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Liability</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right"/>
              <w:ind w:right="741"/>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ind w:right="741"/>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estimated fair value of the warrant liability on March 15, 2021 and December 31, 2021 is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0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March 15, 2021:</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March 15,</w:t>
            </w:r>
          </w:p>
        </w:tc>
      </w:tr>
      <w:tr>
        <w:trPr>
          <w:trHeight w:val="205"/>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64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5.99</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r>
      <w:tr>
        <w:trPr>
          <w:trHeight w:val="39"/>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9.36</w:t>
            </w:r>
          </w:p>
        </w:tc>
      </w:tr>
      <w:tr>
        <w:trPr>
          <w:trHeight w:val="39"/>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bl>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December 31, 2021:</w:t>
      </w:r>
    </w:p>
    <w:p>
      <w:pPr>
        <w:spacing w:after="0" w:line="178"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64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6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3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5.30</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39"/>
        </w:trPr>
        <w:tc>
          <w:tcPr>
            <w:tcW w:w="264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40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9.58</w:t>
            </w:r>
          </w:p>
        </w:tc>
      </w:tr>
      <w:tr>
        <w:trPr>
          <w:trHeight w:val="39"/>
        </w:trPr>
        <w:tc>
          <w:tcPr>
            <w:tcW w:w="264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40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r>
        <w:trPr>
          <w:trHeight w:val="416"/>
        </w:trPr>
        <w:tc>
          <w:tcPr>
            <w:tcW w:w="20" w:type="dxa"/>
            <w:vAlign w:val="bottom"/>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3"/>
          </w:tcPr>
          <w:p>
            <w:pPr>
              <w:jc w:val="right"/>
              <w:ind w:right="2640"/>
              <w:spacing w:after="0"/>
              <w:rPr>
                <w:sz w:val="20"/>
                <w:szCs w:val="20"/>
                <w:color w:val="auto"/>
              </w:rPr>
            </w:pPr>
            <w:r>
              <w:rPr>
                <w:rFonts w:ascii="Times New Roman" w:cs="Times New Roman" w:eastAsia="Times New Roman" w:hAnsi="Times New Roman"/>
                <w:sz w:val="17"/>
                <w:szCs w:val="17"/>
                <w:color w:val="auto"/>
              </w:rPr>
              <w:t>F-20</w:t>
            </w: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51" w:name="page152"/>
    <w:bookmarkEnd w:id="15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7 — Fair Value Measurements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sets forth a summary of the changes in the fair value of the warrant liability for the year ended December 31, 2021:</w:t>
      </w:r>
    </w:p>
    <w:p>
      <w:pPr>
        <w:spacing w:after="0" w:line="110"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45"/>
        </w:trPr>
        <w:tc>
          <w:tcPr>
            <w:tcW w:w="66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December 31, 2020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Initial fair value of warrant liability upon issuance at IPO</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66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(22,793)</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Fair value as of December 31, 2021</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600" w:type="dxa"/>
            <w:vAlign w:val="bottom"/>
            <w:gridSpan w:val="2"/>
            <w:vMerge w:val="continue"/>
          </w:tcPr>
          <w:p>
            <w:pPr>
              <w:spacing w:after="0"/>
              <w:rPr>
                <w:sz w:val="19"/>
                <w:szCs w:val="19"/>
                <w:color w:val="auto"/>
              </w:rPr>
            </w:pPr>
          </w:p>
        </w:tc>
        <w:tc>
          <w:tcPr>
            <w:tcW w:w="20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8 — Commitments and Contingencies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15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 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3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Underwriters Agreement</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9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and were, in aggregate, paid a fixed underwriting discount of $260,000.</w:t>
      </w:r>
    </w:p>
    <w:p>
      <w:pPr>
        <w:spacing w:after="0" w:line="81"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10"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2" w:name="page153"/>
    <w:bookmarkEnd w:id="15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8 — Commitments and Contingencies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Business Combination Marketing Agreement</w:t>
      </w:r>
    </w:p>
    <w:p>
      <w:pPr>
        <w:spacing w:after="0" w:line="144"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will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Representative Shares</w:t>
      </w:r>
    </w:p>
    <w:p>
      <w:pPr>
        <w:spacing w:after="0" w:line="15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On January 13, 2021, the Company has issued to EarlyBirdCapital and its designees an aggregate of 350,000 representative shares at a purchase price of $0.0001 per share (the “Representative Shares”). The fair value of the Representative Shares was determined to be $2,024,463 (See Note 7).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1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Business Combination Legal Services Agreement</w:t>
      </w:r>
    </w:p>
    <w:p>
      <w:pPr>
        <w:spacing w:after="0" w:line="14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Company has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As of December 31, 2021, the Company had paid a total of $50,000 of retainer fees to Loeb.</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Consulting Agreement</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On March 16, 2021, the Company entered into a consulting agreement with Dr. Julia, a director of the Company, pursuant to which Dr. Julia agreed to introduce to the Company one or more potential candidates for the Company to pursue regarding a potential business combination in exchange for a single consulting fee equal to 1.0% of the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3" w:name="page154"/>
    <w:bookmarkEnd w:id="15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8 — Commitments and Contingencies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64" w:lineRule="auto"/>
        <w:rPr>
          <w:sz w:val="20"/>
          <w:szCs w:val="20"/>
          <w:color w:val="auto"/>
        </w:rPr>
      </w:pPr>
      <w:r>
        <w:rPr>
          <w:rFonts w:ascii="Times New Roman" w:cs="Times New Roman" w:eastAsia="Times New Roman" w:hAnsi="Times New Roman"/>
          <w:sz w:val="17"/>
          <w:szCs w:val="17"/>
          <w:color w:val="auto"/>
        </w:rPr>
        <w:t>enterprise value of the target company paid in cash, not to exceed 2.0% of the Trust Account, payable concurrent with the closing of the business combination with the target introduced by Dr. Julia. On November 15, 2021, the Company entered into a Merger Agreement with SoundHound Inc., which Dr. Julia had introduced to the Company. Pursuant to the consulting agreement, upon the closing of the Business Combination, Dr. Julia will be entitled to a finder’s fee of $2.66 million.</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9 — Stockholders’ Equity</w:t>
      </w:r>
    </w:p>
    <w:p>
      <w:pPr>
        <w:spacing w:after="0" w:line="153" w:lineRule="exact"/>
        <w:rPr>
          <w:sz w:val="20"/>
          <w:szCs w:val="20"/>
          <w:color w:val="auto"/>
        </w:rPr>
      </w:pPr>
    </w:p>
    <w:p>
      <w:pPr>
        <w:jc w:val="both"/>
        <w:ind w:left="600" w:right="619" w:firstLine="416"/>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Preferred Stock — </w:t>
      </w:r>
      <w:r>
        <w:rPr>
          <w:rFonts w:ascii="Times New Roman" w:cs="Times New Roman" w:eastAsia="Times New Roman" w:hAnsi="Times New Roman"/>
          <w:sz w:val="17"/>
          <w:szCs w:val="17"/>
          <w:color w:val="auto"/>
        </w:rPr>
        <w:t>The Company is authorized to issue 1,000,000 shares of preferred stock at par value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$0.0001 per share. As of December 31, 2021, there were no shares of preferred stock issued or outstanding.</w:t>
      </w:r>
    </w:p>
    <w:p>
      <w:pPr>
        <w:spacing w:after="0" w:line="60" w:lineRule="exact"/>
        <w:rPr>
          <w:sz w:val="20"/>
          <w:szCs w:val="20"/>
          <w:color w:val="auto"/>
        </w:rPr>
      </w:pPr>
    </w:p>
    <w:p>
      <w:pPr>
        <w:jc w:val="both"/>
        <w:ind w:left="600" w:right="619" w:firstLine="416"/>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Common Stock — </w:t>
      </w:r>
      <w:r>
        <w:rPr>
          <w:rFonts w:ascii="Times New Roman" w:cs="Times New Roman" w:eastAsia="Times New Roman" w:hAnsi="Times New Roman"/>
          <w:sz w:val="17"/>
          <w:szCs w:val="17"/>
          <w:color w:val="auto"/>
        </w:rPr>
        <w:t>The Company is authorized to issue 100,000,000 shares of common stock with a par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value of $0.0001 per share. At December 31, 2021, there were 4,161,000 shares of common stock issued and outstanding, excluding 13,300,000 shares of common stock subject to possible redemption.</w:t>
      </w:r>
    </w:p>
    <w:p>
      <w:pPr>
        <w:spacing w:after="0" w:line="1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159"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05"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09"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105" w:lineRule="exact"/>
        <w:rPr>
          <w:sz w:val="20"/>
          <w:szCs w:val="20"/>
          <w:color w:val="auto"/>
        </w:rPr>
      </w:pPr>
    </w:p>
    <w:p>
      <w:pPr>
        <w:ind w:left="1440" w:hanging="418"/>
        <w:spacing w:after="0"/>
        <w:tabs>
          <w:tab w:leader="none" w:pos="14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warrants become exercisable,</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to each warrant holder,</w:t>
      </w:r>
    </w:p>
    <w:p>
      <w:pPr>
        <w:spacing w:after="0" w:line="142" w:lineRule="exact"/>
        <w:rPr>
          <w:rFonts w:ascii="Times New Roman" w:cs="Times New Roman" w:eastAsia="Times New Roman" w:hAnsi="Times New Roman"/>
          <w:sz w:val="17"/>
          <w:szCs w:val="17"/>
          <w:color w:val="auto"/>
        </w:rPr>
      </w:pPr>
    </w:p>
    <w:p>
      <w:pPr>
        <w:jc w:val="both"/>
        <w:ind w:left="1440" w:right="619" w:hanging="418"/>
        <w:spacing w:after="0" w:line="266" w:lineRule="auto"/>
        <w:tabs>
          <w:tab w:leader="none" w:pos="143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31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there is a current registration statement in effect with respect to the shares of common stock underlying such warrants.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4" w:name="page155"/>
    <w:bookmarkEnd w:id="15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9 — Stockholders’ Equity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3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10 — Income Tax</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Company’s net deferred tax assets are as follows:</w:t>
      </w:r>
    </w:p>
    <w:p>
      <w:pPr>
        <w:spacing w:after="0" w:line="184"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70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w:t>
            </w: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Organizational costs/Startup expenses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51,171</w:t>
            </w:r>
          </w:p>
        </w:tc>
        <w:tc>
          <w:tcPr>
            <w:tcW w:w="120" w:type="dxa"/>
            <w:vAlign w:val="bottom"/>
          </w:tcPr>
          <w:p>
            <w:pPr>
              <w:spacing w:after="0"/>
              <w:rPr>
                <w:sz w:val="20"/>
                <w:szCs w:val="20"/>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Capitalized costs related to Business Combination</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Federal net operating loss</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47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deferred tax asset</w:t>
            </w:r>
          </w:p>
        </w:tc>
        <w:tc>
          <w:tcPr>
            <w:tcW w:w="7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(211,133)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asset, net of allowance</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46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income tax provision consists of the following:</w:t>
            </w:r>
          </w:p>
        </w:tc>
        <w:tc>
          <w:tcPr>
            <w:tcW w:w="7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70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w:t>
            </w: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State</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470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(211,133)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Income tax provision</w:t>
            </w: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700" w:type="dxa"/>
            <w:vAlign w:val="bottom"/>
            <w:gridSpan w:val="2"/>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As of December 31, 2021, the Company has $366,866 of U.S. federal net operating loss carryovers, which do not expire, and no state net operating loss carryovers available to offset future taxable income.</w:t>
      </w:r>
    </w:p>
    <w:p>
      <w:pPr>
        <w:spacing w:after="0" w:line="81"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 ended December 31, 2021, the change in the valuation allowance was $210,982.</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5" w:name="page156"/>
    <w:bookmarkEnd w:id="15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10 — Income Tax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A reconciliation of the federal income tax rate to the Company’s effective tax rate at December 31, 2021 is as follows:</w:t>
      </w:r>
    </w:p>
    <w:p>
      <w:pPr>
        <w:spacing w:after="0" w:line="126" w:lineRule="exact"/>
        <w:rPr>
          <w:sz w:val="20"/>
          <w:szCs w:val="20"/>
          <w:color w:val="auto"/>
        </w:rPr>
      </w:pPr>
    </w:p>
    <w:tbl>
      <w:tblPr>
        <w:tblLayout w:type="fixed"/>
        <w:tblInd w:w="60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Statutory federal income tax rate</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w:t>
            </w:r>
          </w:p>
        </w:tc>
      </w:tr>
      <w:tr>
        <w:trPr>
          <w:trHeight w:val="234"/>
        </w:trPr>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State taxes, net of federal tax benefit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0.00%</w:t>
            </w:r>
          </w:p>
        </w:tc>
      </w:tr>
      <w:tr>
        <w:trPr>
          <w:trHeight w:val="39"/>
        </w:trPr>
        <w:tc>
          <w:tcPr>
            <w:tcW w:w="6540" w:type="dxa"/>
            <w:vAlign w:val="bottom"/>
            <w:gridSpan w:val="2"/>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Permanent Book/Tax Differences</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0.49%</w:t>
            </w:r>
          </w:p>
        </w:tc>
      </w:tr>
      <w:tr>
        <w:trPr>
          <w:trHeight w:val="247"/>
        </w:trPr>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(21.49)%</w:t>
            </w:r>
          </w:p>
        </w:tc>
      </w:tr>
      <w:tr>
        <w:trPr>
          <w:trHeight w:val="26"/>
        </w:trPr>
        <w:tc>
          <w:tcPr>
            <w:tcW w:w="654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tax provision</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Company files income tax returns in the U.S. federal jurisdiction in various state and local jurisdictions and is subject to examination by the various taxing authorities.</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11 — Subsequent Events</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Company evaluated subsequent events and transactions that occurred after the balance sheet date up to the date that the financial statements were issued.</w:t>
      </w:r>
    </w:p>
    <w:p>
      <w:pPr>
        <w:spacing w:after="0" w:line="8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On January 10, 2022, the Company filed a registration statement on Form S-4 (the “Form S-4”) with respect to the merger between the Company and SoundHound Inc.</w:t>
      </w:r>
    </w:p>
    <w:p>
      <w:pPr>
        <w:spacing w:after="0" w:line="8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On February 14, 2022, the Company filed Amendment No. 1 to the Form S-4 to address comments the Company received from the SEC on February 9, 2022.</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6" w:name="page157"/>
    <w:bookmarkEnd w:id="15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BALANCE SHEETS</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7"/>
              </w:rPr>
              <w:t>(unaudited)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Prepaid expenses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98,066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96,695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333,361</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Marketable securities held in Trust Account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133,119,135</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133,343,944</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liabilities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503,071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247,868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Due to related party</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503,071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249,684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Warrant liability</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657,839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497,198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Common stock subject to possible redemption, 13,300,000 shares at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redemption value as of March 31, 2022 and December 31, 2021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12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3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Stockholders’ Deficit: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5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Preferred stock, $0.0001 par value; 1,000,000 shares authorized; none</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issued and outstanding</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Common stock, $0.0001 par value; 100,000,000 shares and 31,000,000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shares authorized, 4,161,000 shares issued and outstanding (excluding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13,300,000 shares subject to possible redemption) as of 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2022 and December 31,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3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paid-in-capital</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806,490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818,347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(1,368,050)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(982,600)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Stockholders’ Deficit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(561,144</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(163,837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133,119,135</w:t>
            </w: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133,343,944</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7" w:name="page158"/>
    <w:bookmarkEnd w:id="15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CONDENSED STATEMENTS OF OPERATIONS</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For the</w:t>
            </w: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Ended</w:t>
            </w: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March 31,</w:t>
            </w:r>
          </w:p>
        </w:tc>
      </w:tr>
      <w:tr>
        <w:trPr>
          <w:trHeight w:val="205"/>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3740" w:type="dxa"/>
            <w:vAlign w:val="bottom"/>
            <w:tcBorders>
              <w:bottom w:val="single" w:sz="8" w:color="CCEEFF"/>
            </w:tcBorders>
          </w:tcPr>
          <w:p>
            <w:pPr>
              <w:spacing w:after="0"/>
              <w:rPr>
                <w:sz w:val="3"/>
                <w:szCs w:val="3"/>
                <w:color w:val="auto"/>
              </w:rPr>
            </w:pPr>
          </w:p>
        </w:tc>
        <w:tc>
          <w:tcPr>
            <w:tcW w:w="16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Formation and operating costs</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490,053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81,441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19"/>
        </w:trPr>
        <w:tc>
          <w:tcPr>
            <w:tcW w:w="37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1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(490,053)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(81,441)</w:t>
            </w:r>
          </w:p>
        </w:tc>
        <w:tc>
          <w:tcPr>
            <w:tcW w:w="140" w:type="dxa"/>
            <w:vAlign w:val="bottom"/>
          </w:tcPr>
          <w:p>
            <w:pPr>
              <w:spacing w:after="0"/>
              <w:rPr>
                <w:sz w:val="19"/>
                <w:szCs w:val="19"/>
                <w:color w:val="auto"/>
              </w:rPr>
            </w:pPr>
          </w:p>
        </w:tc>
      </w:tr>
      <w:tr>
        <w:trPr>
          <w:trHeight w:val="34"/>
        </w:trPr>
        <w:tc>
          <w:tcPr>
            <w:tcW w:w="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73"/>
        </w:trPr>
        <w:tc>
          <w:tcPr>
            <w:tcW w:w="20" w:type="dxa"/>
            <w:vAlign w:val="bottom"/>
          </w:tcPr>
          <w:p>
            <w:pPr>
              <w:spacing w:after="0"/>
              <w:rPr>
                <w:sz w:val="23"/>
                <w:szCs w:val="23"/>
                <w:color w:val="auto"/>
              </w:rPr>
            </w:pPr>
          </w:p>
        </w:tc>
        <w:tc>
          <w:tcPr>
            <w:tcW w:w="37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bl>
    <w:p>
      <w:pPr>
        <w:spacing w:after="0" w:line="8" w:lineRule="exact"/>
        <w:rPr>
          <w:sz w:val="20"/>
          <w:szCs w:val="20"/>
          <w:color w:val="auto"/>
        </w:rPr>
      </w:pPr>
    </w:p>
    <w:p>
      <w:pPr>
        <w:sectPr>
          <w:pgSz w:w="11900" w:h="16838" w:orient="portrait"/>
          <w:cols w:equalWidth="0" w:num="1">
            <w:col w:w="9019"/>
          </w:cols>
          <w:pgMar w:left="1440" w:top="264" w:right="1440" w:bottom="1440" w:gutter="0" w:footer="0" w:header="0"/>
        </w:sectPr>
      </w:pPr>
    </w:p>
    <w:p>
      <w:pPr>
        <w:jc w:val="right"/>
        <w:ind w:right="3420"/>
        <w:spacing w:after="0"/>
        <w:rPr>
          <w:sz w:val="20"/>
          <w:szCs w:val="20"/>
          <w:color w:val="auto"/>
        </w:rPr>
      </w:pPr>
      <w:r>
        <w:rPr>
          <w:rFonts w:ascii="Times New Roman" w:cs="Times New Roman" w:eastAsia="Times New Roman" w:hAnsi="Times New Roman"/>
          <w:sz w:val="17"/>
          <w:szCs w:val="17"/>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44450</wp:posOffset>
            </wp:positionV>
            <wp:extent cx="4951095" cy="1733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57" w:lineRule="exact"/>
        <w:rPr>
          <w:sz w:val="20"/>
          <w:szCs w:val="20"/>
          <w:color w:val="auto"/>
        </w:rPr>
      </w:pPr>
    </w:p>
    <w:p>
      <w:pPr>
        <w:jc w:val="right"/>
        <w:ind w:right="3440"/>
        <w:spacing w:after="0"/>
        <w:rPr>
          <w:sz w:val="20"/>
          <w:szCs w:val="20"/>
          <w:color w:val="auto"/>
        </w:rPr>
      </w:pPr>
      <w:r>
        <w:rPr>
          <w:rFonts w:ascii="Times New Roman" w:cs="Times New Roman" w:eastAsia="Times New Roman" w:hAnsi="Times New Roman"/>
          <w:sz w:val="17"/>
          <w:szCs w:val="17"/>
          <w:color w:val="auto"/>
        </w:rPr>
        <w:t>Trust interest income</w:t>
      </w:r>
    </w:p>
    <w:p>
      <w:pPr>
        <w:spacing w:after="0" w:line="77" w:lineRule="exact"/>
        <w:rPr>
          <w:sz w:val="20"/>
          <w:szCs w:val="20"/>
          <w:color w:val="auto"/>
        </w:rPr>
      </w:pPr>
    </w:p>
    <w:p>
      <w:pPr>
        <w:ind w:left="600" w:right="920" w:firstLine="173"/>
        <w:spacing w:after="0" w:line="372" w:lineRule="auto"/>
        <w:rPr>
          <w:sz w:val="20"/>
          <w:szCs w:val="20"/>
          <w:color w:val="auto"/>
        </w:rPr>
      </w:pPr>
      <w:r>
        <w:rPr>
          <w:rFonts w:ascii="Times New Roman" w:cs="Times New Roman" w:eastAsia="Times New Roman" w:hAnsi="Times New Roman"/>
          <w:sz w:val="17"/>
          <w:szCs w:val="17"/>
          <w:color w:val="auto"/>
        </w:rPr>
        <w:t>Unrealized gain (loss) on change in fair value of warrants Total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-215900</wp:posOffset>
            </wp:positionV>
            <wp:extent cx="4951095" cy="1733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951095" cy="17335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138430</wp:posOffset>
            </wp:positionV>
            <wp:extent cx="4951095" cy="1733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Net loss</w:t>
      </w:r>
    </w:p>
    <w:p>
      <w:pPr>
        <w:spacing w:after="0" w:line="352" w:lineRule="exact"/>
        <w:rPr>
          <w:sz w:val="20"/>
          <w:szCs w:val="20"/>
          <w:color w:val="auto"/>
        </w:rPr>
      </w:pPr>
    </w:p>
    <w:p>
      <w:pPr>
        <w:ind w:left="960" w:hanging="172"/>
        <w:spacing w:after="0" w:line="279" w:lineRule="auto"/>
        <w:rPr>
          <w:sz w:val="20"/>
          <w:szCs w:val="20"/>
          <w:color w:val="auto"/>
        </w:rPr>
      </w:pPr>
      <w:r>
        <w:rPr>
          <w:rFonts w:ascii="Times New Roman" w:cs="Times New Roman" w:eastAsia="Times New Roman" w:hAnsi="Times New Roman"/>
          <w:sz w:val="17"/>
          <w:szCs w:val="17"/>
          <w:color w:val="auto"/>
        </w:rPr>
        <w:t>Basic and diluted weighted average shares outstanding, common stock subject to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-276225</wp:posOffset>
            </wp:positionV>
            <wp:extent cx="4951095" cy="2889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951095" cy="288925"/>
                    </a:xfrm>
                    <a:prstGeom prst="rect">
                      <a:avLst/>
                    </a:prstGeom>
                    <a:noFill/>
                  </pic:spPr>
                </pic:pic>
              </a:graphicData>
            </a:graphic>
          </wp:anchor>
        </w:drawing>
      </w:r>
    </w:p>
    <w:p>
      <w:pPr>
        <w:ind w:left="960" w:right="120" w:hanging="172"/>
        <w:spacing w:after="0" w:line="293" w:lineRule="auto"/>
        <w:rPr>
          <w:sz w:val="20"/>
          <w:szCs w:val="20"/>
          <w:color w:val="auto"/>
        </w:rPr>
      </w:pPr>
      <w:r>
        <w:rPr>
          <w:rFonts w:ascii="Times New Roman" w:cs="Times New Roman" w:eastAsia="Times New Roman" w:hAnsi="Times New Roman"/>
          <w:sz w:val="17"/>
          <w:szCs w:val="17"/>
          <w:color w:val="auto"/>
        </w:rPr>
        <w:t>Basic and diluted net (loss) income per share attributable to common stock subject to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-1905</wp:posOffset>
            </wp:positionV>
            <wp:extent cx="4951095" cy="189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951095" cy="1898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86"/>
        </w:trPr>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92,746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(3,117)</w:t>
            </w:r>
          </w:p>
        </w:tc>
      </w:tr>
      <w:tr>
        <w:trPr>
          <w:trHeight w:val="26"/>
        </w:trPr>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3"/>
          </w:tcPr>
          <w:p>
            <w:pPr>
              <w:spacing w:after="0"/>
              <w:rPr>
                <w:sz w:val="2"/>
                <w:szCs w:val="2"/>
                <w:color w:val="auto"/>
              </w:rPr>
            </w:pPr>
          </w:p>
        </w:tc>
      </w:tr>
      <w:tr>
        <w:trPr>
          <w:trHeight w:val="227"/>
        </w:trPr>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104,603</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(2,592</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6"/>
        </w:trPr>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gridSpan w:val="2"/>
          </w:tcPr>
          <w:p>
            <w:pPr>
              <w:spacing w:after="0"/>
              <w:rPr>
                <w:sz w:val="2"/>
                <w:szCs w:val="2"/>
                <w:color w:val="auto"/>
              </w:rPr>
            </w:pPr>
          </w:p>
        </w:tc>
      </w:tr>
      <w:tr>
        <w:trPr>
          <w:trHeight w:val="519"/>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(385,450)</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(84,033)</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94"/>
        </w:trPr>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13,300,000</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2,306,667</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5"/>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(0.02)</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40" w:type="dxa"/>
            <w:vAlign w:val="bottom"/>
          </w:tcPr>
          <w:p>
            <w:pPr>
              <w:spacing w:after="0"/>
              <w:rPr>
                <w:sz w:val="24"/>
                <w:szCs w:val="24"/>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80" w:space="340"/>
            <w:col w:w="2999"/>
          </w:cols>
          <w:pgMar w:left="1440" w:top="264" w:right="1440" w:bottom="1440" w:gutter="0" w:footer="0" w:header="0"/>
          <w:type w:val="continuous"/>
        </w:sectPr>
      </w:pPr>
    </w:p>
    <w:p>
      <w:pPr>
        <w:spacing w:after="0" w:line="80" w:lineRule="exact"/>
        <w:rPr>
          <w:sz w:val="20"/>
          <w:szCs w:val="20"/>
          <w:color w:val="auto"/>
        </w:rPr>
      </w:pPr>
    </w:p>
    <w:tbl>
      <w:tblPr>
        <w:tblLayout w:type="fixed"/>
        <w:tblInd w:w="600" w:type="dxa"/>
        <w:tblCellMar>
          <w:top w:w="0" w:type="dxa"/>
          <w:left w:w="0" w:type="dxa"/>
          <w:bottom w:w="0" w:type="dxa"/>
          <w:right w:w="0" w:type="dxa"/>
        </w:tblCellMar>
      </w:tblPr>
      <w:tr>
        <w:trPr>
          <w:trHeight w:val="286"/>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Basic and diluted weighted average shares outstanding, common stock</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4,161,000</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3,342,133</w:t>
            </w:r>
          </w:p>
        </w:tc>
        <w:tc>
          <w:tcPr>
            <w:tcW w:w="1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20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Basic and diluted net loss per share attributable to common stockholders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58" w:name="page159"/>
    <w:bookmarkEnd w:id="15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CONDENSED STATEMENTS OF CHANGES IN STOCKHOLDERS’ DEFICIT</w:t>
      </w:r>
    </w:p>
    <w:p>
      <w:pPr>
        <w:spacing w:after="0" w:line="25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7"/>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gridSpan w:val="7"/>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4"/>
            <w:vMerge w:val="restart"/>
          </w:tcPr>
          <w:p>
            <w:pPr>
              <w:ind w:left="140"/>
              <w:spacing w:after="0" w:line="139"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5"/>
            <w:vMerge w:val="restart"/>
          </w:tcPr>
          <w:p>
            <w:pPr>
              <w:jc w:val="right"/>
              <w:ind w:right="60"/>
              <w:spacing w:after="0" w:line="139"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vMerge w:val="restart"/>
          </w:tcPr>
          <w:p>
            <w:pPr>
              <w:jc w:val="center"/>
              <w:ind w:right="80"/>
              <w:spacing w:after="0" w:line="139" w:lineRule="exact"/>
              <w:rPr>
                <w:sz w:val="20"/>
                <w:szCs w:val="20"/>
                <w:color w:val="auto"/>
              </w:rPr>
            </w:pPr>
            <w:r>
              <w:rPr>
                <w:rFonts w:ascii="Times New Roman" w:cs="Times New Roman" w:eastAsia="Times New Roman" w:hAnsi="Times New Roman"/>
                <w:sz w:val="16"/>
                <w:szCs w:val="16"/>
                <w:b w:val="1"/>
                <w:bCs w:val="1"/>
                <w:color w:val="auto"/>
                <w:w w:val="97"/>
              </w:rPr>
              <w:t>Stockholders’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2021</w:t>
            </w:r>
          </w:p>
        </w:tc>
        <w:tc>
          <w:tcPr>
            <w:tcW w:w="11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4,161,000</w:t>
            </w:r>
          </w:p>
        </w:tc>
        <w:tc>
          <w:tcPr>
            <w:tcW w:w="480" w:type="dxa"/>
            <w:vAlign w:val="bottom"/>
            <w:tcBorders>
              <w:bottom w:val="single" w:sz="8" w:color="CCEEFF"/>
            </w:tcBorders>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416</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818,347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(982,600)</w:t>
            </w: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(163,837)</w:t>
            </w:r>
          </w:p>
        </w:tc>
        <w:tc>
          <w:tcPr>
            <w:tcW w:w="0" w:type="dxa"/>
            <w:vAlign w:val="bottom"/>
          </w:tcPr>
          <w:p>
            <w:pPr>
              <w:spacing w:after="0"/>
              <w:rPr>
                <w:sz w:val="1"/>
                <w:szCs w:val="1"/>
                <w:color w:val="auto"/>
              </w:rPr>
            </w:pPr>
          </w:p>
        </w:tc>
      </w:tr>
      <w:tr>
        <w:trPr>
          <w:trHeight w:val="219"/>
        </w:trPr>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(385,450)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(385,450)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redemption value (interest earned 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trust account)</w:t>
            </w:r>
          </w:p>
        </w:tc>
        <w:tc>
          <w:tcPr>
            <w:tcW w:w="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(11,857)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(11,857)</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March 31, 2022</w:t>
            </w:r>
          </w:p>
        </w:tc>
        <w:tc>
          <w:tcPr>
            <w:tcW w:w="280" w:type="dxa"/>
            <w:vAlign w:val="bottom"/>
            <w:shd w:val="clear" w:color="auto" w:fill="CCEEFF"/>
          </w:tcPr>
          <w:p>
            <w:pPr>
              <w:spacing w:after="0"/>
              <w:rPr>
                <w:sz w:val="22"/>
                <w:szCs w:val="22"/>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4,161,000</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416</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806,490</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8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(1,368,050)</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(561,144)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7"/>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gridSpan w:val="7"/>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4"/>
            <w:vMerge w:val="restart"/>
          </w:tcPr>
          <w:p>
            <w:pPr>
              <w:ind w:left="20"/>
              <w:spacing w:after="0" w:line="139"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5"/>
            <w:vMerge w:val="restart"/>
          </w:tcPr>
          <w:p>
            <w:pPr>
              <w:spacing w:after="0" w:line="139"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4"/>
            <w:vMerge w:val="restart"/>
          </w:tcPr>
          <w:p>
            <w:pPr>
              <w:jc w:val="center"/>
              <w:ind w:right="80"/>
              <w:spacing w:after="0" w:line="139" w:lineRule="exact"/>
              <w:rPr>
                <w:sz w:val="20"/>
                <w:szCs w:val="20"/>
                <w:color w:val="auto"/>
              </w:rPr>
            </w:pPr>
            <w:r>
              <w:rPr>
                <w:rFonts w:ascii="Times New Roman" w:cs="Times New Roman" w:eastAsia="Times New Roman" w:hAnsi="Times New Roman"/>
                <w:sz w:val="16"/>
                <w:szCs w:val="16"/>
                <w:b w:val="1"/>
                <w:bCs w:val="1"/>
                <w:color w:val="auto"/>
                <w:w w:val="97"/>
              </w:rPr>
              <w:t>Stockholders’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9"/>
                <w:szCs w:val="19"/>
                <w:color w:val="auto"/>
              </w:rPr>
            </w:pPr>
          </w:p>
        </w:tc>
        <w:tc>
          <w:tcPr>
            <w:tcW w:w="6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Equity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gridSpan w:val="2"/>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2020</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(716)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(716)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Sale of 12,000,000 Units through</w:t>
            </w:r>
          </w:p>
        </w:tc>
        <w:tc>
          <w:tcPr>
            <w:tcW w:w="2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IPO</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12,000,000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119,998,800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Sale of 1,300,000 Units through</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over-allotment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12,999,870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13,000,000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Sale of 416,000 Private Units in</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private placement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416,000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4,159,958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4,160,000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540" w:type="dxa"/>
            <w:vAlign w:val="bottom"/>
            <w:gridSpan w:val="2"/>
          </w:tcPr>
          <w:p>
            <w:pPr>
              <w:spacing w:after="0"/>
              <w:rPr>
                <w:sz w:val="3"/>
                <w:szCs w:val="3"/>
                <w:color w:val="auto"/>
              </w:rPr>
            </w:pPr>
          </w:p>
        </w:tc>
        <w:tc>
          <w:tcPr>
            <w:tcW w:w="8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representative shares</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2,024,463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Common stock issued to initial</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stockholders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3,450,000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540" w:type="dxa"/>
            <w:vAlign w:val="bottom"/>
            <w:gridSpan w:val="2"/>
          </w:tcPr>
          <w:p>
            <w:pPr>
              <w:spacing w:after="0"/>
              <w:rPr>
                <w:sz w:val="3"/>
                <w:szCs w:val="3"/>
                <w:color w:val="auto"/>
              </w:rPr>
            </w:pPr>
          </w:p>
        </w:tc>
        <w:tc>
          <w:tcPr>
            <w:tcW w:w="8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 of founder shares</w:t>
            </w: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Underwriting fee</w:t>
            </w:r>
          </w:p>
        </w:tc>
        <w:tc>
          <w:tcPr>
            <w:tcW w:w="28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(2,660,000)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(2,660,000)</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Offering costs charged to the</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(2,449,810)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Initial classification of warrant</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liability</w:t>
            </w:r>
          </w:p>
        </w:tc>
        <w:tc>
          <w:tcPr>
            <w:tcW w:w="2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(270,307)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(270,307)</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Reclassification of offering costs</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related to Public Shares</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4,779,936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(84,033)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(84,033)</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Initial value of common stock</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subject to possible redemption</w:t>
            </w: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7"/>
              </w:rPr>
              <w:t>(13,300,000)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(1,330)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9"/>
              </w:rPr>
              <w:t>(124,412,583)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(124,413,913)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redemption value</w:t>
            </w:r>
          </w:p>
        </w:tc>
        <w:tc>
          <w:tcPr>
            <w:tcW w:w="2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(13,366,023)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redemption value (interest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earned on trust account)</w:t>
            </w:r>
          </w:p>
        </w:tc>
        <w:tc>
          <w:tcPr>
            <w:tcW w:w="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(525)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(525)</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March 31, 2021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4,161,000</w:t>
            </w:r>
          </w:p>
        </w:tc>
        <w:tc>
          <w:tcPr>
            <w:tcW w:w="1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416</w:t>
            </w:r>
          </w:p>
        </w:tc>
        <w:tc>
          <w:tcPr>
            <w:tcW w:w="6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828,405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(84,749)</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744,072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financial statements.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9" w:name="page160"/>
    <w:bookmarkEnd w:id="15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CONDENSED STATEMENTS OF CASH FLOWS</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(385,450)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(84,033)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Unrealized (gain) loss on change in fair value of warrants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(92,746)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earned on marketable securities held in Trust Account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Changes in current assets and current liabilities: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(165,713)</w:t>
            </w: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Accrued liabilities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255,203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to related party</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6,381</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(217,166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(185,958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5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held in Trust Account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5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IPO and over-allotment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Payment of underwriting fees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(2,660,000)</w:t>
            </w: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private placement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4,160,000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issuance of promissory note to related party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to promissory note to related party</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issuance of common stock to initial stockholders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of deferred offering costs</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(375,347)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134,149,653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change in cash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(217,166)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963,695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beginning of the period</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Cash, end of the period</w:t>
            </w: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5320" w:type="dxa"/>
            <w:vAlign w:val="bottom"/>
            <w:gridSpan w:val="2"/>
            <w:vMerge w:val="continue"/>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18,129</w:t>
            </w:r>
          </w:p>
        </w:tc>
        <w:tc>
          <w:tcPr>
            <w:tcW w:w="12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963,695</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3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value of common stock subject to possible redemption</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124,413,913</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6"/>
        </w:trPr>
        <w:tc>
          <w:tcPr>
            <w:tcW w:w="532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160"/>
              <w:spacing w:after="0" w:line="186" w:lineRule="exact"/>
              <w:rPr>
                <w:sz w:val="20"/>
                <w:szCs w:val="20"/>
                <w:color w:val="auto"/>
              </w:rPr>
            </w:pPr>
            <w:r>
              <w:rPr>
                <w:rFonts w:ascii="Times New Roman" w:cs="Times New Roman" w:eastAsia="Times New Roman" w:hAnsi="Times New Roman"/>
                <w:sz w:val="17"/>
                <w:szCs w:val="17"/>
                <w:color w:val="auto"/>
              </w:rPr>
              <w:t>Accretion of common stock to redemption value (interest earned on trust</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5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11,857</w:t>
            </w: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Forfeiture of founder shares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Initial classification of warrant liability</w:t>
            </w: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32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270,307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Deferred offering costs included in accrued expenses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0" w:name="page161"/>
    <w:bookmarkEnd w:id="16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1 — Organization and Business Operations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Organization and General</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has selected December 31 as its fiscal year end.</w:t>
      </w:r>
    </w:p>
    <w:p>
      <w:pPr>
        <w:spacing w:after="0" w:line="155"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As of March 31, 2022, the Company had not commenced any revenue-generating operations. All activity for the period from September 15, 2020 (inception) through March 31, 2022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spacing w:after="0" w:line="30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November 15, 2021, the Company entered into a definitive merger agreement with SoundHound Inc. (“SoundHound”), a voice artificial intelligence company, pursuant to which the two companies agreed to consummate a Business Combination (the “Merger Agreement”). The total consideration to be paid by the Company to SoundHound is $2,000,000,000 in equity of the Company, with outstanding SoundHound stock options and warrants included on a net exercise basis.</w:t>
      </w:r>
    </w:p>
    <w:p>
      <w:pPr>
        <w:spacing w:after="0" w:line="10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April 26, 2022, the Company consummated its Business Combination with SoundHound pursuant to the Merger Agreement. The aggregate merger consideration paid by the Company to SoundHound security holders in connection with the Business Combination was an amount equal to $2,000,000,000, with outstanding SoundHound stock options and warrants assumed by the company included on a net exercise basis. As a result of the Business Combination, the Company owns 100% of the outstanding common stock of SoundHound and the Company changed its name from “Archimedes Tech SPAC Partners Co.” to “SoundHound AI, Inc” (See Note 9).</w:t>
      </w:r>
    </w:p>
    <w:p>
      <w:pPr>
        <w:spacing w:after="0" w:line="318"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Company’s sponsor is Archimedes Tech SPAC Sponsors LLC, a Delaware limited liability company (the “Sponsor”).</w:t>
      </w:r>
    </w:p>
    <w:p>
      <w:pPr>
        <w:spacing w:after="0" w:line="68"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References to the Company’s “initial stockholders” refer to the Company’s stockholders prior to the IPO, excluding the holders of the Representative Shares (See Note 7).</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Financing</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registration statement for the Company’s IPO was declared effective on March 10, 2021 (the “Effective Date”). As discussed in Note 3, on March 15, 2021, the Company consummated the IPO of 12,000,000 units, (the “Public Units”), at $10.00 per Public Unit, generating gross proceeds of $120,000,000.</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9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4.</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1" w:name="page162"/>
    <w:bookmarkEnd w:id="16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67" w:lineRule="auto"/>
        <w:rPr>
          <w:sz w:val="20"/>
          <w:szCs w:val="20"/>
          <w:color w:val="auto"/>
        </w:rPr>
      </w:pPr>
      <w:r>
        <w:rPr>
          <w:rFonts w:ascii="Times New Roman" w:cs="Times New Roman" w:eastAsia="Times New Roman" w:hAnsi="Times New Roman"/>
          <w:sz w:val="17"/>
          <w:szCs w:val="17"/>
          <w:color w:val="auto"/>
        </w:rPr>
        <w:t>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105"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Transaction costs amounted to $4,849,810 consisting of $2,400,000 of underwriting discount and $2,449,810 of other offering costs.</w:t>
      </w:r>
    </w:p>
    <w:p>
      <w:pPr>
        <w:spacing w:after="0" w:line="68"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110"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On April 26, 2022, in connection with the Company’s Business Combination, an aggregate of $127,679,500 was paid from the Company’s Trust Account (see below) to holders that properly exercised their right to have their Public Shares redeemed, with a remaining Trust Account balance of approximately $5,356,628 (the “Trust Proceeds”). Additionally, pursuant to subscription agreements the Company had previously entered into with certain accredited investors (the “Subscribers”), the Subscribers purchased an aggregate of 11,300,000 shares of Class A Common Stock of the combined company for a purchase price of $10.00 per share in a private placement that closed concurrently with the Business Combination, for total gross proceeds of $113,000,000 (the “PIPE Proceeds”). The Trust Proceeds and PIPE Proceeds were used for the payment of expenses incurred by the Company and SoundHound in connection with the Business Combination and the remaining proceeds will be used for general corporate purposes of the Company following the Business Combination (See Note 9).</w:t>
      </w:r>
    </w:p>
    <w:p>
      <w:pPr>
        <w:spacing w:after="0" w:line="3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Trust Account</w:t>
      </w:r>
    </w:p>
    <w:p>
      <w:pPr>
        <w:spacing w:after="0" w:line="15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0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April 26, 2022, in connection with the Company’s Business Combination, an aggregate of $127,679,500 was paid from the Company’s Trust Account to holders that properly exercised their right to have their Public Shares redeemed, resulting in Trust Proceeds of approximately $5,356,628 (See Note 9).</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Initial Business Combination</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April 26, 2022, the Company consummated its Business Combination with SoundHound pursuant to the Merger Agreement. As a result of the Business Combination, the registrant owns 100% of the outstanding common stock of SoundHound and the registrant changed its name from “Archimedes Tech SPAC Partners Co.” to “SoundHound AI, Inc.” In connection with the Company’s Business Combination, the Company received approximately $5,356,628 in Trust Proceeds and $113,000,000 in PIPE Proceeds. The Trust Proceeds and PIPE Proceeds were used for the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2" w:name="page163"/>
    <w:bookmarkEnd w:id="16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payment of expenses incurred by the Company and SoundHound in connection with the Business Combination and the remaining proceeds will be used for general corporate purposes of the Company following the Business Combination (See Note 9).</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Liquidity and Going Concern</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As of March 31, 2022, the Company had cash outside the Trust Account of $18,129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March 31, 2022, none of the amount on deposit in the Trust Account was available to be withdrawn as described above.</w:t>
      </w:r>
    </w:p>
    <w:p>
      <w:pPr>
        <w:spacing w:after="0" w:line="9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April 21, 2022, SPAC Partners LLC (“SP”), an affiliate of the Company’s Chief Executive Officer, agreed to loan the Company $167,955 to be used for tax payments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w:t>
      </w:r>
    </w:p>
    <w:p>
      <w:pPr>
        <w:spacing w:after="0" w:line="110"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April 26, 2022, in connection with the Company’s Business Combination, the Company received approximately $5,356,628 in Trust Proceeds and $113,000,000 in PIPE Proceeds. The Trust Proceeds and PIPE Proceeds were used for the payment of expenses incurred by the Company and SoundHound in connection with the Business Combination and the remaining proceeds will be used for general corporate purposes of the Company following the Business Combination (See Note 9).</w:t>
      </w:r>
    </w:p>
    <w:p>
      <w:pPr>
        <w:spacing w:after="0" w:line="10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Prior to the completion of the IPO, the Company’s liquidity needs had been satisfied through receipt of $25,000 from the sale of Founder Shares (see Note 5), advances from the Sponsor in an aggregate amount of $125,000 under an unsecured promissory note, which were repaid upon the closing of the IPO (see Note 5). Subsequent to the consummation of the IPO and Private Placement, the Company’s liquidity needs have been satisfied through the net proceeds from the IPO and Private Placement held outside of the Trust Account. Subsequent to the consummation of the Company’s Business Combination on April 26, 2022, the Company’s liquidity needs have been satisfied through the remaining Trust Proceeds and PIPE Proceeds after payment of expenses in connection with the Business Combination (See Note 9).</w:t>
      </w:r>
    </w:p>
    <w:p>
      <w:pPr>
        <w:spacing w:after="0" w:line="99"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5). To date, there were no amounts outstanding under any Working Capital Loans.</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Company anticipates that the $18,129 outside of the Trust account as of March 31, 2022, combined with the net Trust Proceeds and PIPE Proceeds that the Company received upon the consummation of the Company’s Business Combination on April 26, 2022, will be sufficient to allow the Company to operate for at least the next 12 months.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2 — Summary of Significant Accounting Policies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3" w:name="page164"/>
    <w:bookmarkEnd w:id="16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67" w:lineRule="auto"/>
        <w:rPr>
          <w:sz w:val="20"/>
          <w:szCs w:val="20"/>
          <w:color w:val="auto"/>
        </w:rPr>
      </w:pPr>
      <w:r>
        <w:rPr>
          <w:rFonts w:ascii="Times New Roman" w:cs="Times New Roman" w:eastAsia="Times New Roman" w:hAnsi="Times New Roman"/>
          <w:sz w:val="17"/>
          <w:szCs w:val="17"/>
          <w:color w:val="auto"/>
        </w:rPr>
        <w:t>operations, or cash flows. In the opinion of management, the unaudited condensed financial statements reflect all adjustments, which include only normal recurring adjustments necessary for the fair statement of the balances and results for the periods presented. Operating results for the three months ended March 31, 2022 are not necessarily indicative of the results that may be expected through December 31, 2022.</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accompanying unaudited condensed financial statements should be read in conjunction with the audited 2021 financial statements and notes thereto included in the Form 10-K filed by the Company with the SEC on March 9, 2022.</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12"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preparation of unaudited condensed financial statements in conformity with GAAP requires management to make estimates and assumptions that affect the reported amounts of assets and liabilities and disclosure of contingent assets and liabilities at the date of the unaudited condensed financial statements. Actual results could differ from those estimates.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Company considers all short-term investments with an original maturity of three months or less when purchased to be cash equivalents. The Company has $18,129 and $235,295 of cash held outside of the Trust Account as of March 31, 2022 and December 31, 2021, respectively. The Company did not have any cash equivalents held outside of the Trust Account as of March 31, 2022 or December 31, 2021.</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Marketable Securities Held in Trust Account</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At March 31, 2022 and December 31, 2021, the Company had 133,022,440 and $133,010,583 in the Trust Account which may be utilized for Business Combination. As of March 31, 2022 and December 31, 2021, the assets held in the Trust Account were invested in Treasury Securities consisting of money market funds.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4" w:name="page165"/>
    <w:bookmarkEnd w:id="16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14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07" w:lineRule="exact"/>
        <w:rPr>
          <w:sz w:val="20"/>
          <w:szCs w:val="20"/>
          <w:color w:val="auto"/>
        </w:rPr>
      </w:pPr>
    </w:p>
    <w:p>
      <w:pPr>
        <w:ind w:left="1440" w:right="619" w:hanging="418"/>
        <w:spacing w:after="0" w:line="293" w:lineRule="auto"/>
        <w:tabs>
          <w:tab w:leader="none" w:pos="143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defined as observable inputs such as quoted prices (unadjusted) for identical instruments in active markets;</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84"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liabilities, and due to related party are estimated to approximate the carrying values as of March 31, 2022 and December 31, 2021 due to the short maturities of such instruments.</w:t>
      </w:r>
    </w:p>
    <w:p>
      <w:pPr>
        <w:spacing w:after="0" w:line="9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6 for additional information on assets, liabilities and Representative Shares measured at fair value.</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of a cash account in a financial institution, which, at times, may exceed the Federal Depository Insurance Coverage of $250,000. At March 31, 2022 and December 31, 2021, the Company has not experienced losses on this account and management believes the Company is not exposed to significant risks on such account.</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Common Stock Subject to Possible Redemption</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5" w:name="page166"/>
    <w:bookmarkEnd w:id="16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Net Income (Loss) Per Common Share</w:t>
      </w:r>
    </w:p>
    <w:p>
      <w:pPr>
        <w:spacing w:after="0" w:line="144"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76.2% for the Public Shares and 23.8% for the founder non-redeemable shares for the three months ended March 31, 2022, and a ratio of 40.8% for the Public Shares and 59.2% for the founder non-redeemable shares for the three months ended March 31, 2021, respectively, reflective of the respective participation rights.</w:t>
      </w:r>
    </w:p>
    <w:p>
      <w:pPr>
        <w:spacing w:after="0" w:line="1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earnings per share presented in the statements of operations is based on the following:</w:t>
      </w:r>
    </w:p>
    <w:p>
      <w:pPr>
        <w:spacing w:after="0" w:line="184"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5"/>
              </w:rPr>
              <w:t>For the</w:t>
            </w:r>
          </w:p>
        </w:tc>
      </w:tr>
      <w:tr>
        <w:trPr>
          <w:trHeight w:val="195"/>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three months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three months</w:t>
            </w:r>
          </w:p>
        </w:tc>
      </w:tr>
      <w:tr>
        <w:trPr>
          <w:trHeight w:val="195"/>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ended</w:t>
            </w:r>
          </w:p>
        </w:tc>
      </w:tr>
      <w:tr>
        <w:trPr>
          <w:trHeight w:val="195"/>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6"/>
              </w:rPr>
              <w:t>March 31,</w:t>
            </w:r>
          </w:p>
        </w:tc>
      </w:tr>
      <w:tr>
        <w:trPr>
          <w:trHeight w:val="205"/>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7"/>
                <w:szCs w:val="17"/>
                <w:color w:val="auto"/>
              </w:rPr>
            </w:pPr>
          </w:p>
        </w:tc>
      </w:tr>
      <w:tr>
        <w:trPr>
          <w:trHeight w:val="45"/>
        </w:trPr>
        <w:tc>
          <w:tcPr>
            <w:tcW w:w="510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(385,450)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(84,033)</w:t>
            </w:r>
          </w:p>
        </w:tc>
      </w:tr>
      <w:tr>
        <w:trPr>
          <w:trHeight w:val="247"/>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Accretion of temporary equity to redemption value</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(11,857)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(13,366,548)</w:t>
            </w:r>
          </w:p>
        </w:tc>
      </w:tr>
      <w:tr>
        <w:trPr>
          <w:trHeight w:val="26"/>
        </w:trPr>
        <w:tc>
          <w:tcPr>
            <w:tcW w:w="20" w:type="dxa"/>
            <w:vAlign w:val="bottom"/>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including accretion of temporary equity to redemption value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(397,307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(13,450,581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6"/>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4"/>
          </w:tcPr>
          <w:p>
            <w:pPr>
              <w:jc w:val="center"/>
              <w:ind w:left="717"/>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6"/>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6"/>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6"/>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7"/>
              </w:rPr>
              <w:t>March 31, 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6"/>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7"/>
              </w:rPr>
              <w:t>March 31, 2021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42"/>
              <w:spacing w:after="0" w:line="172" w:lineRule="exact"/>
              <w:rPr>
                <w:sz w:val="20"/>
                <w:szCs w:val="20"/>
                <w:color w:val="auto"/>
              </w:rPr>
            </w:pPr>
            <w:r>
              <w:rPr>
                <w:rFonts w:ascii="Times New Roman" w:cs="Times New Roman" w:eastAsia="Times New Roman" w:hAnsi="Times New Roman"/>
                <w:sz w:val="16"/>
                <w:szCs w:val="16"/>
                <w:b w:val="1"/>
                <w:bCs w:val="1"/>
                <w:color w:val="auto"/>
              </w:rPr>
              <w:t>Non-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Redeemable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8"/>
              </w:rPr>
              <w:t>Redeemable</w:t>
            </w:r>
          </w:p>
        </w:tc>
        <w:tc>
          <w:tcPr>
            <w:tcW w:w="8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Non-redeemable</w:t>
            </w:r>
          </w:p>
        </w:tc>
        <w:tc>
          <w:tcPr>
            <w:tcW w:w="0" w:type="dxa"/>
            <w:vAlign w:val="bottom"/>
          </w:tcPr>
          <w:p>
            <w:pPr>
              <w:spacing w:after="0"/>
              <w:rPr>
                <w:sz w:val="1"/>
                <w:szCs w:val="1"/>
                <w:color w:val="auto"/>
              </w:rPr>
            </w:pPr>
          </w:p>
        </w:tc>
      </w:tr>
      <w:tr>
        <w:trPr>
          <w:trHeight w:val="45"/>
        </w:trPr>
        <w:tc>
          <w:tcPr>
            <w:tcW w:w="29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net loss per share:</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Numerator:</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Allocation of net loss including accretion</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of temporary equity</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(302,628)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(94,679)</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(5,492,495)</w:t>
            </w:r>
          </w:p>
        </w:tc>
        <w:tc>
          <w:tcPr>
            <w:tcW w:w="38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(7,958,086)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Accretion of temporary equity to</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redemption value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13,366,548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Allocation of net income (loss)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(290,771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(94,679</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7,874,053</w:t>
            </w: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(7,958,086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Denominator:</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13,300,000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4,161,000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2,306,667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3,342,133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(0.02)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As of March 31, 2022 and December 31,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6" w:name="page167"/>
    <w:bookmarkEnd w:id="16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Offering Costs associated with the Initial Public Offering</w:t>
      </w:r>
    </w:p>
    <w:p>
      <w:pPr>
        <w:spacing w:after="0" w:line="14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spacing w:after="0" w:line="11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generating an aggregate of gross proceeds of $13,000,000, and incurred additional transaction costs of $260,000 in underwriting discount.</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Derivative Financial Instruments</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1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2022 or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and Uncertainties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financial statements. The financial statements do not include any adjustments that might result from the outcome of this uncertainty.</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7" w:name="page168"/>
    <w:bookmarkEnd w:id="16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Recently Adopted Accounting Standards</w:t>
      </w:r>
    </w:p>
    <w:p>
      <w:pPr>
        <w:spacing w:after="0" w:line="14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 xml:space="preserve">In August 2020, the FASB issued ASU 2020-06, </w:t>
      </w:r>
      <w:r>
        <w:rPr>
          <w:rFonts w:ascii="Times New Roman" w:cs="Times New Roman" w:eastAsia="Times New Roman" w:hAnsi="Times New Roman"/>
          <w:sz w:val="17"/>
          <w:szCs w:val="17"/>
          <w:i w:val="1"/>
          <w:iCs w:val="1"/>
          <w:color w:val="auto"/>
        </w:rPr>
        <w:t>Debt-Debt with Conversion and Other Options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(Subtopic 470-20) and Derivatives and Hedging-Contracts in Entity’s Own Equity (Subtopic 815-40): Accounting for Convertible Instruments and Contracts in an Entity’s Own Equity </w:t>
      </w:r>
      <w:r>
        <w:rPr>
          <w:rFonts w:ascii="Times New Roman" w:cs="Times New Roman" w:eastAsia="Times New Roman" w:hAnsi="Times New Roman"/>
          <w:sz w:val="17"/>
          <w:szCs w:val="17"/>
          <w:color w:val="auto"/>
        </w:rPr>
        <w:t>(“ASU 2020-06”),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3 — Initial Public Offering</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1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at a purchase price of $10.00 per Public Unit, generating gross proceeds to the Company of $13,000,000.</w:t>
      </w:r>
    </w:p>
    <w:p>
      <w:pPr>
        <w:spacing w:after="0" w:line="8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3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4 — Private Placement</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8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1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8" w:name="page169"/>
    <w:bookmarkEnd w:id="16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5 — Related Party Transactions</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Founder Shares</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w:t>
      </w:r>
    </w:p>
    <w:p>
      <w:pPr>
        <w:spacing w:after="0" w:line="11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On the date of the IPO, the Founder Shares were placed into an escrow account maintained in New York, New York by Continental Stock Transfer&amp;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3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Promissory Note — Related Party</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January 4, 2021, the Sponsor agreed to loan the Company up to $300,000 to be used for a portion of the expenses of the IPO (the “Promissory Note”). These loans were non-interest bearing, unsecured and were due at the earlier of March 31, 2021 or the closing of the IPO.</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10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April 21, 2022, SP agreed to loan the Company $167,955 through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 (See Note 9).</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Related Party Loans</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9" w:name="page170"/>
    <w:bookmarkEnd w:id="16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5 — Related Party Transactions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may use a portion of the working capital held outside the Trust Account to repay such loaned amounts, but no other proceeds from the Trust Account would be used for such repayment. At March 31, 2022 and December 31, 2021, no such Working Capital Loans were outstanding.</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Administrative Service Fee</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Commencing on the Effective Date of the registration statement through the acquisition of a target business, the Company will pay SP an aggregate fee of $10,000 per month for providing the Company with office space and certain office and secretarial services. The Company has recorded $30,000 and $7,097 for the three months ended March 31, 2022 and March 31, 2021, respectively.</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6 — Fair Value Measurements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Non-Recurring Fair Value Measurement</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p>
      <w:pPr>
        <w:spacing w:after="0" w:line="139"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4"/>
              </w:rPr>
              <w:t>Quoted</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1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1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Active</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11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January 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4"/>
              </w:rPr>
              <w:t>Inputs</w:t>
            </w:r>
          </w:p>
        </w:tc>
      </w:tr>
      <w:tr>
        <w:trPr>
          <w:trHeight w:val="205"/>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(Level 3)</w:t>
            </w:r>
          </w:p>
        </w:tc>
      </w:tr>
      <w:tr>
        <w:trPr>
          <w:trHeight w:val="45"/>
        </w:trPr>
        <w:tc>
          <w:tcPr>
            <w:tcW w:w="228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46"/>
        </w:trPr>
        <w:tc>
          <w:tcPr>
            <w:tcW w:w="20" w:type="dxa"/>
            <w:vAlign w:val="bottom"/>
          </w:tcPr>
          <w:p>
            <w:pPr>
              <w:spacing w:after="0"/>
              <w:rPr>
                <w:sz w:val="21"/>
                <w:szCs w:val="21"/>
                <w:color w:val="auto"/>
              </w:rPr>
            </w:pPr>
          </w:p>
        </w:tc>
        <w:tc>
          <w:tcPr>
            <w:tcW w:w="2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7"/>
        </w:trPr>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Representative Shares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9"/>
              </w:rPr>
              <w:t>2,024,463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2,024,463</w:t>
            </w:r>
          </w:p>
        </w:tc>
      </w:tr>
      <w:tr>
        <w:trPr>
          <w:trHeight w:val="26"/>
        </w:trPr>
        <w:tc>
          <w:tcPr>
            <w:tcW w:w="20" w:type="dxa"/>
            <w:vAlign w:val="bottom"/>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99"/>
              </w:rPr>
              <w:t>2,024,463</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2,024,463</w:t>
            </w: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Representative Shares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January 13, 2021:</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January 13,</w:t>
            </w:r>
          </w:p>
        </w:tc>
      </w:tr>
      <w:tr>
        <w:trPr>
          <w:trHeight w:val="205"/>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660" w:type="dxa"/>
            <w:vAlign w:val="bottom"/>
            <w:gridSpan w:val="2"/>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6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term (years)</w:t>
            </w:r>
          </w:p>
        </w:tc>
        <w:tc>
          <w:tcPr>
            <w:tcW w:w="38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1.11</w:t>
            </w: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39"/>
        </w:trPr>
        <w:tc>
          <w:tcPr>
            <w:tcW w:w="2660" w:type="dxa"/>
            <w:vAlign w:val="bottom"/>
            <w:gridSpan w:val="2"/>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3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4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9.37</w:t>
            </w:r>
          </w:p>
        </w:tc>
      </w:tr>
      <w:tr>
        <w:trPr>
          <w:trHeight w:val="39"/>
        </w:trPr>
        <w:tc>
          <w:tcPr>
            <w:tcW w:w="2660" w:type="dxa"/>
            <w:vAlign w:val="bottom"/>
            <w:gridSpan w:val="2"/>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77"/>
        </w:trPr>
        <w:tc>
          <w:tcPr>
            <w:tcW w:w="20" w:type="dxa"/>
            <w:vAlign w:val="bottom"/>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3"/>
          </w:tcPr>
          <w:p>
            <w:pPr>
              <w:jc w:val="right"/>
              <w:ind w:right="2680"/>
              <w:spacing w:after="0"/>
              <w:rPr>
                <w:sz w:val="20"/>
                <w:szCs w:val="20"/>
                <w:color w:val="auto"/>
              </w:rPr>
            </w:pPr>
            <w:r>
              <w:rPr>
                <w:rFonts w:ascii="Times New Roman" w:cs="Times New Roman" w:eastAsia="Times New Roman" w:hAnsi="Times New Roman"/>
                <w:sz w:val="17"/>
                <w:szCs w:val="17"/>
                <w:color w:val="auto"/>
              </w:rPr>
              <w:t>F-39</w:t>
            </w: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70" w:name="page171"/>
    <w:bookmarkEnd w:id="17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6 — Fair Value Measurements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Recurring Fair Value Measurement</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following tables present information about the Company’s assets and liabilities that were measured at fair value on a recurring basis as of March 31, 2022 and December 31, 2021 and indicate the fair value hierarchy of the valuation techniques the Company utilized to determine such fair value.</w:t>
      </w:r>
    </w:p>
    <w:p>
      <w:pPr>
        <w:spacing w:after="0" w:line="139"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4"/>
              </w:rPr>
              <w:t>Quoted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6"/>
              </w:rPr>
              <w:t>Active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4"/>
              </w:rPr>
              <w:t>Inputs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0" w:type="dxa"/>
            <w:vAlign w:val="bottom"/>
          </w:tcPr>
          <w:p>
            <w:pPr>
              <w:spacing w:after="0"/>
              <w:rPr>
                <w:sz w:val="1"/>
                <w:szCs w:val="1"/>
                <w:color w:val="auto"/>
              </w:rPr>
            </w:pPr>
          </w:p>
        </w:tc>
      </w:tr>
      <w:tr>
        <w:trPr>
          <w:trHeight w:val="45"/>
        </w:trPr>
        <w:tc>
          <w:tcPr>
            <w:tcW w:w="29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 Mutual Fund held in Trust Account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9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Liability</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4"/>
              </w:rPr>
              <w:t>Quoted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6"/>
              </w:rPr>
              <w:t>Active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4"/>
              </w:rPr>
              <w:t>Inputs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0" w:type="dxa"/>
            <w:vAlign w:val="bottom"/>
          </w:tcPr>
          <w:p>
            <w:pPr>
              <w:spacing w:after="0"/>
              <w:rPr>
                <w:sz w:val="1"/>
                <w:szCs w:val="1"/>
                <w:color w:val="auto"/>
              </w:rPr>
            </w:pPr>
          </w:p>
        </w:tc>
      </w:tr>
      <w:tr>
        <w:trPr>
          <w:trHeight w:val="45"/>
        </w:trPr>
        <w:tc>
          <w:tcPr>
            <w:tcW w:w="29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 Mutual Fund held in Trust Account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900" w:type="dxa"/>
            <w:vAlign w:val="bottom"/>
            <w:gridSpan w:val="2"/>
          </w:tcPr>
          <w:p>
            <w:pPr>
              <w:spacing w:after="0"/>
              <w:rPr>
                <w:sz w:val="3"/>
                <w:szCs w:val="3"/>
                <w:color w:val="auto"/>
              </w:rPr>
            </w:pPr>
          </w:p>
        </w:tc>
        <w:tc>
          <w:tcPr>
            <w:tcW w:w="20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Liability</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estimated fair value of the warrant liability on March 31, 2022 and December 31, 2021 was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0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March 15, 2021:</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March 15,</w:t>
            </w:r>
          </w:p>
        </w:tc>
      </w:tr>
      <w:tr>
        <w:trPr>
          <w:trHeight w:val="205"/>
        </w:trPr>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64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6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3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5.99</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r>
      <w:tr>
        <w:trPr>
          <w:trHeight w:val="39"/>
        </w:trPr>
        <w:tc>
          <w:tcPr>
            <w:tcW w:w="264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41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9.36</w:t>
            </w:r>
          </w:p>
        </w:tc>
      </w:tr>
      <w:tr>
        <w:trPr>
          <w:trHeight w:val="39"/>
        </w:trPr>
        <w:tc>
          <w:tcPr>
            <w:tcW w:w="264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41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r>
        <w:trPr>
          <w:trHeight w:val="429"/>
        </w:trPr>
        <w:tc>
          <w:tcPr>
            <w:tcW w:w="20" w:type="dxa"/>
            <w:vAlign w:val="bottom"/>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3"/>
          </w:tcPr>
          <w:p>
            <w:pPr>
              <w:jc w:val="right"/>
              <w:ind w:right="2700"/>
              <w:spacing w:after="0"/>
              <w:rPr>
                <w:sz w:val="20"/>
                <w:szCs w:val="20"/>
                <w:color w:val="auto"/>
              </w:rPr>
            </w:pPr>
            <w:r>
              <w:rPr>
                <w:rFonts w:ascii="Times New Roman" w:cs="Times New Roman" w:eastAsia="Times New Roman" w:hAnsi="Times New Roman"/>
                <w:sz w:val="17"/>
                <w:szCs w:val="17"/>
                <w:color w:val="auto"/>
              </w:rPr>
              <w:t>F-40</w:t>
            </w: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71" w:name="page172"/>
    <w:bookmarkEnd w:id="17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6 — Fair Value Measurements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December 31, 2021:</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64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5.30</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39"/>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9.58</w:t>
            </w:r>
          </w:p>
        </w:tc>
      </w:tr>
      <w:tr>
        <w:trPr>
          <w:trHeight w:val="39"/>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bl>
    <w:p>
      <w:pPr>
        <w:spacing w:after="0" w:line="2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March 31, 2022:</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05"/>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5"/>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64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5.09</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39"/>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9.77</w:t>
            </w:r>
          </w:p>
        </w:tc>
      </w:tr>
      <w:tr>
        <w:trPr>
          <w:trHeight w:val="39"/>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bl>
    <w:p>
      <w:pPr>
        <w:spacing w:after="0" w:line="189"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sets forth a summary of the changes in the fair value of the warrant liability for the three months ended March 31, 2022:</w:t>
      </w:r>
    </w:p>
    <w:p>
      <w:pPr>
        <w:spacing w:after="0" w:line="123"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05"/>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5"/>
        </w:trPr>
        <w:tc>
          <w:tcPr>
            <w:tcW w:w="66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December 31, 2021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7"/>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(92,746)</w:t>
            </w:r>
          </w:p>
        </w:tc>
      </w:tr>
      <w:tr>
        <w:trPr>
          <w:trHeight w:val="26"/>
        </w:trPr>
        <w:tc>
          <w:tcPr>
            <w:tcW w:w="66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66"/>
        </w:trPr>
        <w:tc>
          <w:tcPr>
            <w:tcW w:w="20" w:type="dxa"/>
            <w:vAlign w:val="bottom"/>
          </w:tcPr>
          <w:p>
            <w:pPr>
              <w:spacing w:after="0"/>
              <w:rPr>
                <w:sz w:val="23"/>
                <w:szCs w:val="23"/>
                <w:color w:val="auto"/>
              </w:rPr>
            </w:pPr>
          </w:p>
        </w:tc>
        <w:tc>
          <w:tcPr>
            <w:tcW w:w="65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r>
      <w:tr>
        <w:trPr>
          <w:trHeight w:val="253"/>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Fair value as of March 31, 2022</w:t>
            </w:r>
          </w:p>
        </w:tc>
        <w:tc>
          <w:tcPr>
            <w:tcW w:w="20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1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sets forth a summary of the changes in the fair value of the warrant liability for the three months ended March 31, 2021:</w:t>
      </w:r>
    </w:p>
    <w:p>
      <w:pPr>
        <w:spacing w:after="0" w:line="110"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05"/>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5"/>
        </w:trPr>
        <w:tc>
          <w:tcPr>
            <w:tcW w:w="4540" w:type="dxa"/>
            <w:vAlign w:val="bottom"/>
            <w:gridSpan w:val="2"/>
          </w:tcPr>
          <w:p>
            <w:pPr>
              <w:spacing w:after="0"/>
              <w:rPr>
                <w:sz w:val="3"/>
                <w:szCs w:val="3"/>
                <w:color w:val="auto"/>
              </w:rPr>
            </w:pPr>
          </w:p>
        </w:tc>
        <w:tc>
          <w:tcPr>
            <w:tcW w:w="2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December 31, 2020</w:t>
            </w:r>
          </w:p>
        </w:tc>
        <w:tc>
          <w:tcPr>
            <w:tcW w:w="20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4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Initial valuation of warrant liability</w:t>
            </w: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270,307</w:t>
            </w:r>
          </w:p>
        </w:tc>
      </w:tr>
      <w:tr>
        <w:trPr>
          <w:trHeight w:val="39"/>
        </w:trPr>
        <w:tc>
          <w:tcPr>
            <w:tcW w:w="4540" w:type="dxa"/>
            <w:vAlign w:val="bottom"/>
            <w:gridSpan w:val="2"/>
          </w:tcPr>
          <w:p>
            <w:pPr>
              <w:spacing w:after="0"/>
              <w:rPr>
                <w:sz w:val="3"/>
                <w:szCs w:val="3"/>
                <w:color w:val="auto"/>
              </w:rPr>
            </w:pPr>
          </w:p>
        </w:tc>
        <w:tc>
          <w:tcPr>
            <w:tcW w:w="2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73"/>
        </w:trPr>
        <w:tc>
          <w:tcPr>
            <w:tcW w:w="20" w:type="dxa"/>
            <w:vAlign w:val="bottom"/>
          </w:tcPr>
          <w:p>
            <w:pPr>
              <w:spacing w:after="0"/>
              <w:rPr>
                <w:sz w:val="23"/>
                <w:szCs w:val="23"/>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20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3,117</w:t>
            </w:r>
          </w:p>
        </w:tc>
      </w:tr>
      <w:tr>
        <w:trPr>
          <w:trHeight w:val="266"/>
        </w:trPr>
        <w:tc>
          <w:tcPr>
            <w:tcW w:w="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r>
      <w:tr>
        <w:trPr>
          <w:trHeight w:val="253"/>
        </w:trPr>
        <w:tc>
          <w:tcPr>
            <w:tcW w:w="20" w:type="dxa"/>
            <w:vAlign w:val="bottom"/>
          </w:tcPr>
          <w:p>
            <w:pPr>
              <w:spacing w:after="0"/>
              <w:rPr>
                <w:sz w:val="22"/>
                <w:szCs w:val="22"/>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March 31, 2021</w:t>
            </w:r>
          </w:p>
        </w:tc>
        <w:tc>
          <w:tcPr>
            <w:tcW w:w="2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273,424</w:t>
            </w: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7 — Commitments and Contingencies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2" w:name="page173"/>
    <w:bookmarkEnd w:id="17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7 — Commitments and Contingencies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3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Underwriters Agreement</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9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and were, in aggregate, paid a fixed underwriting discount of $260,000.</w:t>
      </w:r>
    </w:p>
    <w:p>
      <w:pPr>
        <w:spacing w:after="0" w:line="81"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10"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Business Combination Marketing Agreement</w:t>
      </w:r>
    </w:p>
    <w:p>
      <w:pPr>
        <w:spacing w:after="0" w:line="144"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will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3" w:name="page174"/>
    <w:bookmarkEnd w:id="17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7 — Commitments and Contingencies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Representative Shares</w:t>
      </w:r>
    </w:p>
    <w:p>
      <w:pPr>
        <w:spacing w:after="0" w:line="144"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On January 13, 2021, the Company has issued to EarlyBirdCapital and its designees an aggregate of 350,000 representative shares at a purchase price of $0.0001 per share (the “Representative Shares”). The fair value of the Representative Shares was determined to be $2,024,463 (See Note 6).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1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Business Combination Legal Services Agreement</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July 1, 2021, the Company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For the three-month period ended March 31, 2022, the Company had accrued a total of $100,000 of legal fees.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Consulting Agreement</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On March 16, 2021, the Company entered into a consulting agreement with Dr. Julia, a director of the Company, pursuant to which Dr. Julia agreed to introduce to the Company one or more potential candidates for the Company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On November 15, 2021, the Company entered into a Merger Agreement with SoundHound, which Dr. Julia had introduced to the Company. Pursuant to the consulting agreement, upon the closing of the Business Combination, Dr. Julia will be entitled to a finder’s fee of $2,660,000.</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8 — Stockholders’ Equity</w:t>
      </w:r>
    </w:p>
    <w:p>
      <w:pPr>
        <w:spacing w:after="0" w:line="153" w:lineRule="exact"/>
        <w:rPr>
          <w:sz w:val="20"/>
          <w:szCs w:val="20"/>
          <w:color w:val="auto"/>
        </w:rPr>
      </w:pPr>
    </w:p>
    <w:p>
      <w:pPr>
        <w:jc w:val="both"/>
        <w:ind w:left="600" w:right="619" w:firstLine="416"/>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Preferred Stock — </w:t>
      </w:r>
      <w:r>
        <w:rPr>
          <w:rFonts w:ascii="Times New Roman" w:cs="Times New Roman" w:eastAsia="Times New Roman" w:hAnsi="Times New Roman"/>
          <w:sz w:val="17"/>
          <w:szCs w:val="17"/>
          <w:color w:val="auto"/>
        </w:rPr>
        <w:t>The Company is authorized to issue 1,000,000 shares of preferred stock at par value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$0.0001 per share. As of March 31, 2022 and December 31, 2021, there were no shares of preferred stock issued or outstanding.</w:t>
      </w:r>
    </w:p>
    <w:p>
      <w:pPr>
        <w:spacing w:after="0" w:line="92" w:lineRule="exact"/>
        <w:rPr>
          <w:sz w:val="20"/>
          <w:szCs w:val="20"/>
          <w:color w:val="auto"/>
        </w:rPr>
      </w:pPr>
    </w:p>
    <w:p>
      <w:pPr>
        <w:jc w:val="both"/>
        <w:ind w:left="600" w:right="619" w:firstLine="416"/>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Common Stock — </w:t>
      </w:r>
      <w:r>
        <w:rPr>
          <w:rFonts w:ascii="Times New Roman" w:cs="Times New Roman" w:eastAsia="Times New Roman" w:hAnsi="Times New Roman"/>
          <w:sz w:val="17"/>
          <w:szCs w:val="17"/>
          <w:color w:val="auto"/>
        </w:rPr>
        <w:t>The Company is authorized to issue 100,000,000 shares of common stock with a par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value of $0.0001 per share. At March 31, 2022 and December 31, 2021, there were 4,161,000 shares of common stock issued and outstanding, excluding 13,300,000 shares of common stock subject to possible redemption.</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4" w:name="page175"/>
    <w:bookmarkEnd w:id="17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8 — Stockholders’ Equity </w:t>
      </w:r>
      <w:r>
        <w:rPr>
          <w:rFonts w:ascii="Times New Roman" w:cs="Times New Roman" w:eastAsia="Times New Roman" w:hAnsi="Times New Roman"/>
          <w:sz w:val="17"/>
          <w:szCs w:val="17"/>
          <w:color w:val="auto"/>
        </w:rPr>
        <w:t>(cont.)</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146"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05"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2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92" w:lineRule="exact"/>
        <w:rPr>
          <w:sz w:val="20"/>
          <w:szCs w:val="20"/>
          <w:color w:val="auto"/>
        </w:rPr>
      </w:pPr>
    </w:p>
    <w:p>
      <w:pPr>
        <w:ind w:left="1440" w:hanging="418"/>
        <w:spacing w:after="0"/>
        <w:tabs>
          <w:tab w:leader="none" w:pos="14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warrants become exercisable,</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to each warrant holder,</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66" w:lineRule="auto"/>
        <w:tabs>
          <w:tab w:leader="none" w:pos="143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30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there is a current registration statement in effect with respect to the shares of common stock underlying such warrants.</w:t>
      </w:r>
    </w:p>
    <w:p>
      <w:pPr>
        <w:spacing w:after="0" w:line="81"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5" w:name="page176"/>
    <w:bookmarkEnd w:id="17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9 — Subsequent Events</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Company evaluated subsequent events and transactions that occurred after the balance sheet date up to the date that the unaudited condensed financial statements were issued.</w:t>
      </w:r>
    </w:p>
    <w:p>
      <w:pPr>
        <w:spacing w:after="0" w:line="81"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On April 9, 2022, the Company entered into a subscription agreement with an accredited investor (the “New Subscriber”) pursuant to which the New Subscriber agreed to purchase, and the Company has agreed to sell, 200,000 shares of common stock, par value $0.0001 per share, at a purchase price of $10.00 per share for gross proceeds of $2,000,000.</w:t>
      </w:r>
    </w:p>
    <w:p>
      <w:pPr>
        <w:spacing w:after="0" w:line="10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April 9, 2022, the Company entered into an agreement to engage Northland to serve as a capital markets advisor in connection with the Business Combination. The Company agreed an advisory fee in the amount of $500,000 payable to Northland upon the closing of the Business Combination, plus expenses. In addition to the advisory fee, the Company agreed to consider awarding, at the Company’s sole discretion, a discretionary fee to Northland in an amount not to exceed 2% of the balance of the funds in the Trust Account remaining after the closing. No such fee was paid.</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April 9, 2022, the Company entered into an agreement to engage Wedbush to act as the Company’s strategic financial advisor in connection with the Business Combination. The Company agreed to pay Wedbush a fee in the amount of $750,000, with $500,000 payable no later than ten days after the close of the Business Combination and the remaining $250,000 payable in six monthly installments of $41,667 with the installment payments starting the first month after the close.</w:t>
      </w:r>
    </w:p>
    <w:p>
      <w:pPr>
        <w:spacing w:after="0" w:line="10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On April 13, 2022, the Company entered into an agreement to engage IB CAP to act as the Company’s financial advisor and marketing agent in connection with the Business Combination. The Company agreed a fee in the amount of $550,000 payable to IB CAP upon the closing of the Business Combination. An affiliate of IB CAP acted as a “qualified independent underwriter” and co-manager in the Company’s Initial Public Offering.</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April 14, 2022, the Company amended the lock-up agreement (the “Amendment”) previously entered into with the chief executive officer of SoundHound, Keyvan Mohajer, to extend the lock-up period applicable to Mr. Mohajer from six months to one year from the date of the closing of the Business Combination.</w:t>
      </w:r>
    </w:p>
    <w:p>
      <w:pPr>
        <w:spacing w:after="0" w:line="8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April 18, 2022, the Company entered into an agreement to engage CF&amp;CO to act as the Company’s capital markets advisor in connection with the Business Combination. The Company agreed to pay an advisory fee in the amount of $750,000 to CF&amp;CO upon the closing of the Business Combination, plus expenses.</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April 21, 2022, SP agreed to loan the Company $167,955 through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w:t>
      </w:r>
    </w:p>
    <w:p>
      <w:pPr>
        <w:spacing w:after="0" w:line="10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On April 26, 2022, the Company consummated its Business Combination with SoundHound pursuant to the Merger Agreement. The aggregate merger consideration paid by the Company to SoundHound security holders in connection with the Business Combination was an amount equal to $2,000,000,000, with outstanding SoundHound stock options and warrants assumed by the Company included on a net exercise basis. As a result of the Business Combination, the Company owns 100% of the outstanding common stock of SoundHound and the Company changed its name from “Archimedes Tech SPAC Partners Co.” to “SoundHound AI, Inc.” In connection with the Business Combination, an aggregate of $127,679,500 was paid from the Company’s Trust Account to holders that properly exercised their right to have their Public Shares redeemed, with remaining Trust Proceeds of approximately $5,356,628. Additionally, pursuant to subscription agreements the Company had previously entered into with certain Subscribers, the Subscribers purchased an aggregate of 11,300,000 shares of Class A Common Stock of the combined company for a purchase price of $10.00 per share in a private placement that closed concurrently with the Business Combination, for total PIPE Proceeds of $113,000,000. The Trust Proceeds and PIPE Proceeds were used for the payment of expenses incurred by the Company and SoundHound in connection with the Business Combination and the remaining proceeds will be used for general corporate purposes of the Company following the Business Combination.</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6" w:name="page177"/>
    <w:bookmarkEnd w:id="17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4176395</wp:posOffset>
            </wp:positionH>
            <wp:positionV relativeFrom="paragraph">
              <wp:posOffset>151765</wp:posOffset>
            </wp:positionV>
            <wp:extent cx="1163320" cy="3384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63320" cy="338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 the Board of Directors and Stockholders</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SoundHound, Inc.</w:t>
      </w:r>
    </w:p>
    <w:p>
      <w:pPr>
        <w:spacing w:after="0" w:line="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Santa Clara, California</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Opinion on the Consolidated Financial Statements</w:t>
      </w:r>
    </w:p>
    <w:p>
      <w:pPr>
        <w:spacing w:after="0" w:line="14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SoundHound, Inc. (the Company) as of December 31, 2021 and 2020, and the related consolidated statements of operations and comprehensive loss, redeemable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Armanino</w:t>
      </w:r>
      <w:r>
        <w:rPr>
          <w:rFonts w:ascii="Times New Roman" w:cs="Times New Roman" w:eastAsia="Times New Roman" w:hAnsi="Times New Roman"/>
          <w:sz w:val="20"/>
          <w:szCs w:val="20"/>
          <w:color w:val="auto"/>
          <w:vertAlign w:val="superscript"/>
        </w:rPr>
        <w:t>LLP</w:t>
      </w:r>
    </w:p>
    <w:p>
      <w:pPr>
        <w:ind w:left="600"/>
        <w:spacing w:after="0"/>
        <w:rPr>
          <w:sz w:val="20"/>
          <w:szCs w:val="20"/>
          <w:color w:val="auto"/>
        </w:rPr>
      </w:pPr>
      <w:r>
        <w:rPr>
          <w:rFonts w:ascii="Times New Roman" w:cs="Times New Roman" w:eastAsia="Times New Roman" w:hAnsi="Times New Roman"/>
          <w:sz w:val="17"/>
          <w:szCs w:val="17"/>
          <w:color w:val="auto"/>
        </w:rPr>
        <w:t>San Jose, California</w:t>
      </w:r>
    </w:p>
    <w:p>
      <w:pPr>
        <w:spacing w:after="0" w:line="1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March 9, 2022</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have served as the Company’s auditors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7" w:name="page178"/>
    <w:bookmarkEnd w:id="17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 thousands, except share and par value data)</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4"/>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5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24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43,692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Restricted cash equivalents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52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Accounts receivable, net of allowances of $109 as of December 31, 2021</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and December 31, 2020, respectively</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1,452</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Debt issuance cost</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current assets</w:t>
            </w:r>
          </w:p>
        </w:tc>
        <w:tc>
          <w:tcPr>
            <w:tcW w:w="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27,471</w:t>
            </w: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48,949</w:t>
            </w:r>
          </w:p>
        </w:tc>
        <w:tc>
          <w:tcPr>
            <w:tcW w:w="0" w:type="dxa"/>
            <w:vAlign w:val="bottom"/>
          </w:tcPr>
          <w:p>
            <w:pPr>
              <w:spacing w:after="0"/>
              <w:rPr>
                <w:sz w:val="1"/>
                <w:szCs w:val="1"/>
                <w:color w:val="auto"/>
              </w:rPr>
            </w:pPr>
          </w:p>
        </w:tc>
      </w:tr>
      <w:tr>
        <w:trPr>
          <w:trHeight w:val="34"/>
        </w:trPr>
        <w:tc>
          <w:tcPr>
            <w:tcW w:w="55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 equivalents, non-current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w:t>
            </w: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5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6,155</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10,435</w:t>
            </w: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tax asset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0" w:type="dxa"/>
            <w:vAlign w:val="bottom"/>
          </w:tcPr>
          <w:p>
            <w:pPr>
              <w:spacing w:after="0"/>
              <w:rPr>
                <w:sz w:val="1"/>
                <w:szCs w:val="1"/>
                <w:color w:val="auto"/>
              </w:rPr>
            </w:pPr>
          </w:p>
        </w:tc>
      </w:tr>
      <w:tr>
        <w:trPr>
          <w:trHeight w:val="39"/>
        </w:trPr>
        <w:tc>
          <w:tcPr>
            <w:tcW w:w="55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 assets</w:t>
            </w: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520" w:type="dxa"/>
            <w:vAlign w:val="bottom"/>
            <w:vMerge w:val="continue"/>
          </w:tcPr>
          <w:p>
            <w:pPr>
              <w:spacing w:after="0"/>
              <w:rPr>
                <w:sz w:val="23"/>
                <w:szCs w:val="23"/>
                <w:color w:val="auto"/>
              </w:rPr>
            </w:pPr>
          </w:p>
        </w:tc>
        <w:tc>
          <w:tcPr>
            <w:tcW w:w="2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49,203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63,637</w:t>
            </w: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55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52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LIABILITIES, REDEEMABLE CONVERTIBLE PREFERRED STOCK,</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ind w:left="1380"/>
              <w:spacing w:after="0"/>
              <w:rPr>
                <w:sz w:val="20"/>
                <w:szCs w:val="20"/>
                <w:color w:val="auto"/>
              </w:rPr>
            </w:pPr>
            <w:r>
              <w:rPr>
                <w:rFonts w:ascii="Times New Roman" w:cs="Times New Roman" w:eastAsia="Times New Roman" w:hAnsi="Times New Roman"/>
                <w:sz w:val="17"/>
                <w:szCs w:val="17"/>
                <w:b w:val="1"/>
                <w:bCs w:val="1"/>
                <w:color w:val="auto"/>
              </w:rPr>
              <w:t>AND STOCKHOLDERS’ DEFICIT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5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7,298</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Capital lease obligation, current portion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lease liabilities, current portion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Financing lease liabilities, current portion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Income tax liability</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2,737</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rent, current portion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revenue, current portion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6,042</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Convertible notes, current portion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29,868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Derivative liability</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Note payable, current portion</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29,964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87,739</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24,523</w:t>
            </w:r>
          </w:p>
        </w:tc>
        <w:tc>
          <w:tcPr>
            <w:tcW w:w="0" w:type="dxa"/>
            <w:vAlign w:val="bottom"/>
          </w:tcPr>
          <w:p>
            <w:pPr>
              <w:spacing w:after="0"/>
              <w:rPr>
                <w:sz w:val="1"/>
                <w:szCs w:val="1"/>
                <w:color w:val="auto"/>
              </w:rPr>
            </w:pPr>
          </w:p>
        </w:tc>
      </w:tr>
      <w:tr>
        <w:trPr>
          <w:trHeight w:val="273"/>
        </w:trPr>
        <w:tc>
          <w:tcPr>
            <w:tcW w:w="5540" w:type="dxa"/>
            <w:vAlign w:val="bottom"/>
            <w:gridSpan w:val="2"/>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lease obligation, net of current portion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w:t>
            </w: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5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lease liabilities, net of current portion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rent, net of current portion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0" w:type="dxa"/>
            <w:vAlign w:val="bottom"/>
          </w:tcPr>
          <w:p>
            <w:pPr>
              <w:spacing w:after="0"/>
              <w:rPr>
                <w:sz w:val="1"/>
                <w:szCs w:val="1"/>
                <w:color w:val="auto"/>
              </w:rPr>
            </w:pPr>
          </w:p>
        </w:tc>
      </w:tr>
      <w:tr>
        <w:trPr>
          <w:trHeight w:val="39"/>
        </w:trPr>
        <w:tc>
          <w:tcPr>
            <w:tcW w:w="55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revenue, net of current portion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14,959</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19,204</w:t>
            </w: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Derivative and warrant liability</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4,384</w:t>
            </w:r>
          </w:p>
        </w:tc>
        <w:tc>
          <w:tcPr>
            <w:tcW w:w="0" w:type="dxa"/>
            <w:vAlign w:val="bottom"/>
          </w:tcPr>
          <w:p>
            <w:pPr>
              <w:spacing w:after="0"/>
              <w:rPr>
                <w:sz w:val="1"/>
                <w:szCs w:val="1"/>
                <w:color w:val="auto"/>
              </w:rPr>
            </w:pPr>
          </w:p>
        </w:tc>
      </w:tr>
      <w:tr>
        <w:trPr>
          <w:trHeight w:val="39"/>
        </w:trPr>
        <w:tc>
          <w:tcPr>
            <w:tcW w:w="55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notes, net of current portion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13,058</w:t>
            </w:r>
          </w:p>
        </w:tc>
        <w:tc>
          <w:tcPr>
            <w:tcW w:w="0" w:type="dxa"/>
            <w:vAlign w:val="bottom"/>
          </w:tcPr>
          <w:p>
            <w:pPr>
              <w:spacing w:after="0"/>
              <w:rPr>
                <w:sz w:val="1"/>
                <w:szCs w:val="1"/>
                <w:color w:val="auto"/>
              </w:rPr>
            </w:pPr>
          </w:p>
        </w:tc>
      </w:tr>
      <w:tr>
        <w:trPr>
          <w:trHeight w:val="247"/>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112,937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4" w:right="1440"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26670</wp:posOffset>
            </wp:positionV>
            <wp:extent cx="49510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78" w:name="page179"/>
    <w:bookmarkEnd w:id="17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BALANCE SHEETS — (Continued)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 thousands, except share and par value data)</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2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20" w:type="dxa"/>
            <w:vAlign w:val="bottom"/>
            <w:vMerge w:val="restart"/>
          </w:tcPr>
          <w:p>
            <w:pPr>
              <w:spacing w:after="0"/>
              <w:rPr>
                <w:sz w:val="23"/>
                <w:szCs w:val="23"/>
                <w:color w:val="auto"/>
              </w:rPr>
            </w:pPr>
          </w:p>
        </w:tc>
        <w:tc>
          <w:tcPr>
            <w:tcW w:w="5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Redeemable convertible preferred stock; $0.0001 par value; 26,316,129</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shares authorized; 19,248,537 and 19,132,387 shares issued and</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outstanding, liquidation preference of $284,826 and $284,047 as of</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December 31, 2021 and December 31, 2020,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279,503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273,687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520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deficit:</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Common stock, $0.0001 par value; 45,000,000 shares authorized;</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12,280,051 and 11,818,761 shares issued and outstanding as of</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December 31, 2021 and December 31, 2020, respectively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30,836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(386,729)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(307,189)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(343,237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(276,353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80" w:type="dxa"/>
            <w:vAlign w:val="bottom"/>
            <w:shd w:val="clear" w:color="auto" w:fill="CCEEFF"/>
          </w:tcPr>
          <w:p>
            <w:pPr>
              <w:ind w:left="340"/>
              <w:spacing w:after="0" w:line="170" w:lineRule="exact"/>
              <w:rPr>
                <w:sz w:val="20"/>
                <w:szCs w:val="20"/>
                <w:color w:val="auto"/>
              </w:rPr>
            </w:pPr>
            <w:r>
              <w:rPr>
                <w:rFonts w:ascii="Times New Roman" w:cs="Times New Roman" w:eastAsia="Times New Roman" w:hAnsi="Times New Roman"/>
                <w:sz w:val="17"/>
                <w:szCs w:val="17"/>
                <w:color w:val="auto"/>
              </w:rPr>
              <w:t>Total liabilities, redeemable convertible preferred stock, and</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stockholders’ deficit</w:t>
            </w:r>
          </w:p>
        </w:tc>
        <w:tc>
          <w:tcPr>
            <w:tcW w:w="4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49,203</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63,637</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9" w:name="page180"/>
    <w:bookmarkEnd w:id="17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AND COMPREHENSIVE LOSS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 thousands, except for per share amounts)</w:t>
      </w:r>
    </w:p>
    <w:p>
      <w:pPr>
        <w:spacing w:after="0" w:line="165"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35560</wp:posOffset>
            </wp:positionV>
            <wp:extent cx="151828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72"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2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Cost of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5,863</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Sales and marketing</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59,178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54,279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79,021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(65,327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(66,004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(2,269)</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expense, net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(5,396)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other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9"/>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(79,084)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(73,669)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Deemed dividend related to the exchange of redeemable convertible</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preferred stock series D-3A for redeemable convertible preferred stock</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series D-3</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(3,182)</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3"/>
        </w:trPr>
        <w:tc>
          <w:tcPr>
            <w:tcW w:w="5260" w:type="dxa"/>
            <w:vAlign w:val="bottom"/>
            <w:gridSpan w:val="2"/>
            <w:vMerge w:val="continue"/>
          </w:tcPr>
          <w:p>
            <w:pPr>
              <w:spacing w:after="0"/>
              <w:rPr>
                <w:sz w:val="23"/>
                <w:szCs w:val="23"/>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120" w:type="dxa"/>
            <w:vAlign w:val="bottom"/>
            <w:vMerge w:val="continue"/>
          </w:tcPr>
          <w:p>
            <w:pPr>
              <w:spacing w:after="0"/>
              <w:rPr>
                <w:sz w:val="23"/>
                <w:szCs w:val="2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(77,589</w:t>
            </w:r>
          </w:p>
        </w:tc>
        <w:tc>
          <w:tcPr>
            <w:tcW w:w="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2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gain:</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Unrealized holding gain on available-for-sale securities,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3"/>
        </w:trPr>
        <w:tc>
          <w:tcPr>
            <w:tcW w:w="5260" w:type="dxa"/>
            <w:vAlign w:val="bottom"/>
            <w:gridSpan w:val="2"/>
            <w:vMerge w:val="continue"/>
          </w:tcPr>
          <w:p>
            <w:pPr>
              <w:spacing w:after="0"/>
              <w:rPr>
                <w:sz w:val="23"/>
                <w:szCs w:val="23"/>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(79,539</w:t>
            </w:r>
          </w:p>
        </w:tc>
        <w:tc>
          <w:tcPr>
            <w:tcW w:w="120" w:type="dxa"/>
            <w:vAlign w:val="bottom"/>
            <w:vMerge w:val="continue"/>
          </w:tcPr>
          <w:p>
            <w:pPr>
              <w:spacing w:after="0"/>
              <w:rPr>
                <w:sz w:val="23"/>
                <w:szCs w:val="2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(74,402</w:t>
            </w:r>
          </w:p>
        </w:tc>
        <w:tc>
          <w:tcPr>
            <w:tcW w:w="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2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 per share: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12,104,523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11,780,078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0" w:name="page181"/>
    <w:bookmarkEnd w:id="18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REDEEMABLE CONVERTIBLE PREFERRED STOCK AND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STOCKHOLDERS’ DEFICIT</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 thousands, except share and par value data)</w:t>
      </w:r>
    </w:p>
    <w:p>
      <w:pPr>
        <w:spacing w:after="0" w:line="181" w:lineRule="exact"/>
        <w:rPr>
          <w:sz w:val="20"/>
          <w:szCs w:val="20"/>
          <w:color w:val="auto"/>
        </w:rPr>
      </w:pPr>
    </w:p>
    <w:tbl>
      <w:tblPr>
        <w:tblLayout w:type="fixed"/>
        <w:tblInd w:w="60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620" w:type="dxa"/>
            <w:vAlign w:val="bottom"/>
            <w:tcBorders>
              <w:right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Redeemable Convertible</w:t>
            </w:r>
          </w:p>
        </w:tc>
        <w:tc>
          <w:tcPr>
            <w:tcW w:w="10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80" w:type="dxa"/>
            <w:vAlign w:val="bottom"/>
          </w:tcPr>
          <w:p>
            <w:pPr>
              <w:spacing w:after="0"/>
              <w:rPr>
                <w:sz w:val="22"/>
                <w:szCs w:val="22"/>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Borders>
              <w:right w:val="single" w:sz="8" w:color="auto"/>
            </w:tcBorders>
            <w:gridSpan w:val="5"/>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2"/>
            <w:vMerge w:val="restart"/>
          </w:tcPr>
          <w:p>
            <w:pPr>
              <w:jc w:val="right"/>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900" w:type="dxa"/>
            <w:vAlign w:val="bottom"/>
            <w:gridSpan w:val="9"/>
            <w:vMerge w:val="restart"/>
          </w:tcPr>
          <w:p>
            <w:pPr>
              <w:ind w:left="80"/>
              <w:spacing w:after="0" w:line="143" w:lineRule="exact"/>
              <w:rPr>
                <w:sz w:val="20"/>
                <w:szCs w:val="20"/>
                <w:color w:val="auto"/>
              </w:rPr>
            </w:pPr>
            <w:r>
              <w:rPr>
                <w:rFonts w:ascii="Times New Roman" w:cs="Times New Roman" w:eastAsia="Times New Roman" w:hAnsi="Times New Roman"/>
                <w:sz w:val="14"/>
                <w:szCs w:val="14"/>
                <w:b w:val="1"/>
                <w:bCs w:val="1"/>
                <w:color w:val="auto"/>
              </w:rPr>
              <w:t>Comprehensive Accumulated</w:t>
            </w: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900" w:type="dxa"/>
            <w:vAlign w:val="bottom"/>
            <w:gridSpan w:val="9"/>
            <w:vMerge w:val="continue"/>
          </w:tcPr>
          <w:p>
            <w:pPr>
              <w:spacing w:after="0"/>
              <w:rPr>
                <w:sz w:val="5"/>
                <w:szCs w:val="5"/>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64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Balance as of January 1,</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17,784,975</w:t>
            </w:r>
          </w:p>
        </w:tc>
        <w:tc>
          <w:tcPr>
            <w:tcW w:w="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223,641</w:t>
            </w:r>
          </w:p>
        </w:tc>
        <w:tc>
          <w:tcPr>
            <w:tcW w:w="100" w:type="dxa"/>
            <w:vAlign w:val="bottom"/>
            <w:tcBorders>
              <w:right w:val="single" w:sz="8" w:color="auto"/>
            </w:tcBorders>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11,750,082</w:t>
            </w:r>
          </w:p>
        </w:tc>
        <w:tc>
          <w:tcPr>
            <w:tcW w:w="4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25,936</w:t>
            </w:r>
          </w:p>
        </w:tc>
        <w:tc>
          <w:tcPr>
            <w:tcW w:w="120" w:type="dxa"/>
            <w:vAlign w:val="bottom"/>
            <w:shd w:val="clear" w:color="auto" w:fill="CCEEFF"/>
          </w:tcPr>
          <w:p>
            <w:pPr>
              <w:spacing w:after="0"/>
              <w:rPr>
                <w:sz w:val="8"/>
                <w:szCs w:val="8"/>
                <w:color w:val="auto"/>
              </w:rPr>
            </w:pPr>
          </w:p>
        </w:tc>
        <w:tc>
          <w:tcPr>
            <w:tcW w:w="2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(232,782)</w:t>
            </w:r>
          </w:p>
        </w:tc>
        <w:tc>
          <w:tcPr>
            <w:tcW w:w="8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7"/>
              </w:rPr>
              <w:t>$ (206,851)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2020</w:t>
            </w: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gridSpan w:val="2"/>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44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160" w:type="dxa"/>
            <w:vAlign w:val="bottom"/>
            <w:tcBorders>
              <w:bottom w:val="single" w:sz="8" w:color="CCEEFF"/>
            </w:tcBorders>
            <w:gridSpan w:val="2"/>
            <w:vMerge w:val="continue"/>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 redeemable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convertible Series D3</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preferred stock Preferred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stock exchange at $33.00</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454,545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Borders>
              <w:righ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per share</w:t>
            </w: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6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 redeemable</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convertible Series D3</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preferred stock Preferred</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stock exchange at $40.00</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right w:val="single" w:sz="8" w:color="auto"/>
            </w:tcBorders>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per share</w:t>
            </w: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Conversion of convertible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notes for redeemable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convertible Series D-3</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766,293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30,664</w:t>
            </w:r>
          </w:p>
        </w:tc>
        <w:tc>
          <w:tcPr>
            <w:tcW w:w="100" w:type="dxa"/>
            <w:vAlign w:val="bottom"/>
            <w:tcBorders>
              <w:righ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preferred stock</w:t>
            </w: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6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Preferred stock exchange</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100" w:type="dxa"/>
            <w:vAlign w:val="bottom"/>
            <w:tcBorders>
              <w:right w:val="single" w:sz="8" w:color="auto"/>
            </w:tcBorders>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(3,182)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(3,182)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(D-3 to D-3A)</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 redeemable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convertible Series B</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preferred stock upon net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exercise of Series B</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101,574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righ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6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exercise of stock</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68,679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Other comprehensive gain,</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of tax</w:t>
            </w: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(74,407)</w:t>
            </w:r>
          </w:p>
        </w:tc>
        <w:tc>
          <w:tcPr>
            <w:tcW w:w="80" w:type="dxa"/>
            <w:vAlign w:val="bottom"/>
          </w:tcPr>
          <w:p>
            <w:pPr>
              <w:spacing w:after="0"/>
              <w:rPr>
                <w:sz w:val="23"/>
                <w:szCs w:val="23"/>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(74,407)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Balance as of December 31,</w:t>
            </w: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19,132,387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273,687</w:t>
            </w:r>
          </w:p>
        </w:tc>
        <w:tc>
          <w:tcPr>
            <w:tcW w:w="100" w:type="dxa"/>
            <w:vAlign w:val="bottom"/>
            <w:tcBorders>
              <w:right w:val="single" w:sz="8" w:color="auto"/>
            </w:tcBorders>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11,818,761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(307,189)</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(276,353)</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640" w:type="dxa"/>
            <w:vAlign w:val="bottom"/>
          </w:tcPr>
          <w:p>
            <w:pPr>
              <w:spacing w:after="0" w:line="101" w:lineRule="exact"/>
              <w:rPr>
                <w:sz w:val="20"/>
                <w:szCs w:val="20"/>
                <w:color w:val="auto"/>
              </w:rPr>
            </w:pPr>
            <w:r>
              <w:rPr>
                <w:rFonts w:ascii="Times New Roman" w:cs="Times New Roman" w:eastAsia="Times New Roman" w:hAnsi="Times New Roman"/>
                <w:sz w:val="10"/>
                <w:szCs w:val="10"/>
                <w:color w:val="auto"/>
              </w:rPr>
              <w:t>Issuance of common stock</w:t>
            </w:r>
          </w:p>
        </w:tc>
        <w:tc>
          <w:tcPr>
            <w:tcW w:w="80" w:type="dxa"/>
            <w:vAlign w:val="bottom"/>
          </w:tcPr>
          <w:p>
            <w:pPr>
              <w:spacing w:after="0"/>
              <w:rPr>
                <w:sz w:val="8"/>
                <w:szCs w:val="8"/>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vMerge w:val="restart"/>
          </w:tcPr>
          <w:p>
            <w:pPr>
              <w:spacing w:after="0"/>
              <w:rPr>
                <w:sz w:val="8"/>
                <w:szCs w:val="8"/>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spacing w:after="0"/>
              <w:rPr>
                <w:sz w:val="8"/>
                <w:szCs w:val="8"/>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6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exercise of stock</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461,290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Other comprehensive gain,</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of tax</w:t>
            </w: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 redeemable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convertible Series C</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preferred stock upon net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exercise of Series C</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116,150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5,816</w:t>
            </w:r>
          </w:p>
        </w:tc>
        <w:tc>
          <w:tcPr>
            <w:tcW w:w="100" w:type="dxa"/>
            <w:vAlign w:val="bottom"/>
            <w:tcBorders>
              <w:righ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(79,540)</w:t>
            </w:r>
          </w:p>
        </w:tc>
        <w:tc>
          <w:tcPr>
            <w:tcW w:w="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(79,540)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640" w:type="dxa"/>
            <w:vAlign w:val="bottom"/>
          </w:tcPr>
          <w:p>
            <w:pPr>
              <w:spacing w:after="0" w:line="101" w:lineRule="exact"/>
              <w:rPr>
                <w:sz w:val="20"/>
                <w:szCs w:val="20"/>
                <w:color w:val="auto"/>
              </w:rPr>
            </w:pPr>
            <w:r>
              <w:rPr>
                <w:rFonts w:ascii="Times New Roman" w:cs="Times New Roman" w:eastAsia="Times New Roman" w:hAnsi="Times New Roman"/>
                <w:sz w:val="10"/>
                <w:szCs w:val="10"/>
                <w:color w:val="auto"/>
              </w:rPr>
              <w:t>Balance as of December 31,</w:t>
            </w: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2021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19,248,537</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279,503</w:t>
            </w:r>
          </w:p>
        </w:tc>
        <w:tc>
          <w:tcPr>
            <w:tcW w:w="100" w:type="dxa"/>
            <w:vAlign w:val="bottom"/>
            <w:tcBorders>
              <w:right w:val="single" w:sz="8" w:color="auto"/>
            </w:tcBorders>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12,280,051</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43,491</w:t>
            </w:r>
          </w:p>
        </w:tc>
        <w:tc>
          <w:tcPr>
            <w:tcW w:w="120" w:type="dxa"/>
            <w:vAlign w:val="bottom"/>
          </w:tcPr>
          <w:p>
            <w:pPr>
              <w:spacing w:after="0"/>
              <w:rPr>
                <w:sz w:val="16"/>
                <w:szCs w:val="16"/>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(386,729)</w:t>
            </w: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7"/>
              </w:rPr>
              <w:t>$ (343,237)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1" w:name="page182"/>
    <w:bookmarkEnd w:id="18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 the Year Ended December 31, 2021 and 2020</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 thousands)</w:t>
      </w:r>
    </w:p>
    <w:p>
      <w:pPr>
        <w:spacing w:after="0" w:line="204"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6"/>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45"/>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r>
      <w:tr>
        <w:trPr>
          <w:trHeight w:val="45"/>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46"/>
        </w:trPr>
        <w:tc>
          <w:tcPr>
            <w:tcW w:w="20" w:type="dxa"/>
            <w:vAlign w:val="bottom"/>
          </w:tcPr>
          <w:p>
            <w:pPr>
              <w:spacing w:after="0"/>
              <w:rPr>
                <w:sz w:val="21"/>
                <w:szCs w:val="21"/>
                <w:color w:val="auto"/>
              </w:rPr>
            </w:pPr>
          </w:p>
        </w:tc>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(74,407)</w:t>
            </w: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6,037</w:t>
            </w:r>
          </w:p>
        </w:tc>
        <w:tc>
          <w:tcPr>
            <w:tcW w:w="140" w:type="dxa"/>
            <w:vAlign w:val="bottom"/>
          </w:tcPr>
          <w:p>
            <w:pPr>
              <w:spacing w:after="0"/>
              <w:rPr>
                <w:sz w:val="20"/>
                <w:szCs w:val="20"/>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5,897</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Change in fair value of derivative and warrant liability</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w:t>
            </w:r>
          </w:p>
        </w:tc>
        <w:tc>
          <w:tcPr>
            <w:tcW w:w="140" w:type="dxa"/>
            <w:vAlign w:val="bottom"/>
          </w:tcPr>
          <w:p>
            <w:pPr>
              <w:spacing w:after="0"/>
              <w:rPr>
                <w:sz w:val="20"/>
                <w:szCs w:val="20"/>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Amortization of debt issuance cost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Non-cash lease amortization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Loss upon extinguishment of debt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taxes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(2,282)</w:t>
            </w: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receivable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(1,890)</w:t>
            </w: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r>
      <w:tr>
        <w:trPr>
          <w:trHeight w:val="234"/>
        </w:trPr>
        <w:tc>
          <w:tcPr>
            <w:tcW w:w="20" w:type="dxa"/>
            <w:vAlign w:val="bottom"/>
          </w:tcPr>
          <w:p>
            <w:pPr>
              <w:spacing w:after="0"/>
              <w:rPr>
                <w:sz w:val="20"/>
                <w:szCs w:val="20"/>
                <w:color w:val="auto"/>
              </w:rPr>
            </w:pPr>
          </w:p>
        </w:tc>
        <w:tc>
          <w:tcPr>
            <w:tcW w:w="5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Other assets, non-current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20" w:type="dxa"/>
            <w:vAlign w:val="bottom"/>
          </w:tcPr>
          <w:p>
            <w:pPr>
              <w:spacing w:after="0"/>
              <w:rPr>
                <w:sz w:val="20"/>
                <w:szCs w:val="20"/>
                <w:color w:val="auto"/>
              </w:rPr>
            </w:pPr>
          </w:p>
        </w:tc>
        <w:tc>
          <w:tcPr>
            <w:tcW w:w="5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payable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w:t>
            </w:r>
          </w:p>
        </w:tc>
        <w:tc>
          <w:tcPr>
            <w:tcW w:w="140" w:type="dxa"/>
            <w:vAlign w:val="bottom"/>
          </w:tcPr>
          <w:p>
            <w:pPr>
              <w:spacing w:after="0"/>
              <w:rPr>
                <w:sz w:val="20"/>
                <w:szCs w:val="20"/>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Accrued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Deferred rent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140" w:type="dxa"/>
            <w:vAlign w:val="bottom"/>
          </w:tcPr>
          <w:p>
            <w:pPr>
              <w:spacing w:after="0"/>
              <w:rPr>
                <w:sz w:val="20"/>
                <w:szCs w:val="20"/>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Deferred revenue</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7"/>
        </w:trPr>
        <w:tc>
          <w:tcPr>
            <w:tcW w:w="20" w:type="dxa"/>
            <w:vAlign w:val="bottom"/>
          </w:tcPr>
          <w:p>
            <w:pPr>
              <w:spacing w:after="0"/>
              <w:rPr>
                <w:sz w:val="21"/>
                <w:szCs w:val="21"/>
                <w:color w:val="auto"/>
              </w:rPr>
            </w:pPr>
          </w:p>
        </w:tc>
        <w:tc>
          <w:tcPr>
            <w:tcW w:w="5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140" w:type="dxa"/>
            <w:vAlign w:val="bottom"/>
          </w:tcPr>
          <w:p>
            <w:pPr>
              <w:spacing w:after="0"/>
              <w:rPr>
                <w:sz w:val="21"/>
                <w:szCs w:val="21"/>
                <w:color w:val="auto"/>
              </w:rPr>
            </w:pPr>
          </w:p>
        </w:tc>
      </w:tr>
      <w:tr>
        <w:trPr>
          <w:trHeight w:val="26"/>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53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(66,177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173355</wp:posOffset>
            </wp:positionV>
            <wp:extent cx="4951095" cy="1733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Cash flows from investing activities:</w:t>
      </w:r>
    </w:p>
    <w:p>
      <w:pPr>
        <w:spacing w:after="0" w:line="7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44450</wp:posOffset>
            </wp:positionV>
            <wp:extent cx="4951095" cy="1733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Maturities of short-term investments</w:t>
      </w:r>
    </w:p>
    <w:p>
      <w:pPr>
        <w:spacing w:after="0" w:line="77" w:lineRule="exact"/>
        <w:rPr>
          <w:sz w:val="20"/>
          <w:szCs w:val="20"/>
          <w:color w:val="auto"/>
        </w:rPr>
      </w:pPr>
    </w:p>
    <w:p>
      <w:pPr>
        <w:jc w:val="right"/>
        <w:ind w:right="1156"/>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44450</wp:posOffset>
            </wp:positionV>
            <wp:extent cx="4951095" cy="1816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951095" cy="181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ind w:left="1164" w:hanging="1164"/>
        <w:spacing w:after="0"/>
        <w:tabs>
          <w:tab w:leader="none" w:pos="1164"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(2,162)</w:t>
      </w:r>
    </w:p>
    <w:p>
      <w:pPr>
        <w:spacing w:after="0" w:line="90" w:lineRule="exact"/>
        <w:rPr>
          <w:rFonts w:ascii="Times New Roman" w:cs="Times New Roman" w:eastAsia="Times New Roman" w:hAnsi="Times New Roman"/>
          <w:sz w:val="17"/>
          <w:szCs w:val="17"/>
          <w:color w:val="auto"/>
        </w:rPr>
      </w:pPr>
    </w:p>
    <w:p>
      <w:pPr>
        <w:ind w:left="1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36195</wp:posOffset>
            </wp:positionV>
            <wp:extent cx="14274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44" w:lineRule="exact"/>
        <w:rPr>
          <w:sz w:val="20"/>
          <w:szCs w:val="20"/>
          <w:color w:val="auto"/>
        </w:rPr>
      </w:pPr>
    </w:p>
    <w:p>
      <w:pPr>
        <w:ind w:left="4"/>
        <w:spacing w:after="0"/>
        <w:tabs>
          <w:tab w:leader="none" w:pos="1104" w:val="left"/>
        </w:tabs>
        <w:rPr>
          <w:sz w:val="20"/>
          <w:szCs w:val="20"/>
          <w:color w:val="auto"/>
        </w:rPr>
      </w:pPr>
      <w:r>
        <w:rPr>
          <w:rFonts w:ascii="Times New Roman" w:cs="Times New Roman" w:eastAsia="Times New Roman" w:hAnsi="Times New Roman"/>
          <w:sz w:val="17"/>
          <w:szCs w:val="17"/>
          <w:color w:val="auto"/>
        </w:rPr>
        <w:t>(636)</w:t>
      </w:r>
      <w:r>
        <w:rPr>
          <w:sz w:val="20"/>
          <w:szCs w:val="20"/>
          <w:color w:val="auto"/>
        </w:rPr>
        <w:tab/>
      </w:r>
      <w:r>
        <w:rPr>
          <w:rFonts w:ascii="Times New Roman" w:cs="Times New Roman" w:eastAsia="Times New Roman" w:hAnsi="Times New Roman"/>
          <w:sz w:val="17"/>
          <w:szCs w:val="17"/>
          <w:color w:val="auto"/>
        </w:rPr>
        <w:t>11,448</w:t>
      </w:r>
    </w:p>
    <w:p>
      <w:pPr>
        <w:spacing w:after="0" w:line="200" w:lineRule="exact"/>
        <w:rPr>
          <w:sz w:val="20"/>
          <w:szCs w:val="20"/>
          <w:color w:val="auto"/>
        </w:rPr>
      </w:pPr>
    </w:p>
    <w:p>
      <w:pPr>
        <w:sectPr>
          <w:pgSz w:w="11900" w:h="16838" w:orient="portrait"/>
          <w:cols w:equalWidth="0" w:num="2">
            <w:col w:w="5936" w:space="720"/>
            <w:col w:w="2364"/>
          </w:cols>
          <w:pgMar w:left="1440" w:top="264" w:right="1440" w:bottom="1440" w:gutter="0" w:footer="0" w:header="0"/>
          <w:type w:val="continuous"/>
        </w:sectPr>
      </w:pPr>
    </w:p>
    <w:p>
      <w:pPr>
        <w:spacing w:after="0" w:line="163" w:lineRule="exact"/>
        <w:rPr>
          <w:sz w:val="20"/>
          <w:szCs w:val="20"/>
          <w:color w:val="auto"/>
        </w:rPr>
      </w:pPr>
    </w:p>
    <w:tbl>
      <w:tblPr>
        <w:tblLayout w:type="fixed"/>
        <w:tblInd w:w="600" w:type="dxa"/>
        <w:tblCellMar>
          <w:top w:w="0" w:type="dxa"/>
          <w:left w:w="0" w:type="dxa"/>
          <w:bottom w:w="0" w:type="dxa"/>
          <w:right w:w="0" w:type="dxa"/>
        </w:tblCellMar>
      </w:tblPr>
      <w:tr>
        <w:trPr>
          <w:trHeight w:val="226"/>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issuance of convertible notes, net of issuance cost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14,905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note payable, net of issuance cost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29,833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issuance of preferred stock</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the exercise of common stock options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 of finance and capital lease obligations</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(2,575)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(3,000)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30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Proceeds from the exercise of warrants for redeemable convertible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preferred stock</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44,653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53,454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tcPr>
          <w:p>
            <w:pPr>
              <w:ind w:left="680"/>
              <w:spacing w:after="0" w:line="170" w:lineRule="exact"/>
              <w:rPr>
                <w:sz w:val="20"/>
                <w:szCs w:val="20"/>
                <w:color w:val="auto"/>
              </w:rPr>
            </w:pPr>
            <w:r>
              <w:rPr>
                <w:rFonts w:ascii="Times New Roman" w:cs="Times New Roman" w:eastAsia="Times New Roman" w:hAnsi="Times New Roman"/>
                <w:sz w:val="17"/>
                <w:szCs w:val="17"/>
                <w:color w:val="auto"/>
              </w:rPr>
              <w:t>Net (decrease) increase in cash, cash equivalents, and restricted</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cash equivalents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(22,160)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18,598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equivalents, beginning of period</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44,982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26,384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equivalents, end of period</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320" w:type="dxa"/>
            <w:vAlign w:val="bottom"/>
            <w:gridSpan w:val="2"/>
            <w:vMerge w:val="continue"/>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22,822</w:t>
            </w:r>
          </w:p>
        </w:tc>
        <w:tc>
          <w:tcPr>
            <w:tcW w:w="14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3720"/>
              <w:spacing w:after="0"/>
              <w:rPr>
                <w:sz w:val="20"/>
                <w:szCs w:val="20"/>
                <w:color w:val="auto"/>
              </w:rPr>
            </w:pPr>
            <w:r>
              <w:rPr>
                <w:rFonts w:ascii="Times New Roman" w:cs="Times New Roman" w:eastAsia="Times New Roman" w:hAnsi="Times New Roman"/>
                <w:sz w:val="17"/>
                <w:szCs w:val="17"/>
                <w:color w:val="auto"/>
              </w:rPr>
              <w:t>F-51</w:t>
            </w: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5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type w:val="continuous"/>
        </w:sectPr>
      </w:pPr>
    </w:p>
    <w:bookmarkStart w:id="182" w:name="page183"/>
    <w:bookmarkEnd w:id="18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 (Continued)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 the Year Ended December 31, 2021 and 2020</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 thousands)</w:t>
      </w:r>
    </w:p>
    <w:p>
      <w:pPr>
        <w:spacing w:after="0" w:line="204"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5"/>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Reconciliation to amounts on the consolidated balance sheets: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21,626</w:t>
            </w:r>
          </w:p>
        </w:tc>
        <w:tc>
          <w:tcPr>
            <w:tcW w:w="36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43,692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 portion of restricted cash equivalents</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Non-current portion of restricted cash equivalents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20" w:type="dxa"/>
            <w:vAlign w:val="bottom"/>
            <w:shd w:val="clear" w:color="auto" w:fill="CCEEFF"/>
          </w:tcPr>
          <w:p>
            <w:pPr>
              <w:ind w:left="500"/>
              <w:spacing w:after="0" w:line="170" w:lineRule="exact"/>
              <w:rPr>
                <w:sz w:val="20"/>
                <w:szCs w:val="20"/>
                <w:color w:val="auto"/>
              </w:rPr>
            </w:pPr>
            <w:r>
              <w:rPr>
                <w:rFonts w:ascii="Times New Roman" w:cs="Times New Roman" w:eastAsia="Times New Roman" w:hAnsi="Times New Roman"/>
                <w:sz w:val="17"/>
                <w:szCs w:val="17"/>
                <w:color w:val="auto"/>
              </w:rPr>
              <w:t>Total cash, cash equivalents, and restricted cash equivalents shown</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in the consolidated statements of cash flows</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22,822</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44,982</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paid during the year for:</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2,631</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Income taxes</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3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Noncash investing and financing activities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32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7"/>
                <w:szCs w:val="17"/>
                <w:color w:val="auto"/>
              </w:rPr>
              <w:t>Operating lease liabilities and right-of-use assets through adoption of</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Topic 842</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11,428</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Operating lease liabilities arising from obtaining right-of-use assets</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3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ind w:left="340"/>
              <w:spacing w:after="0" w:line="191" w:lineRule="exact"/>
              <w:rPr>
                <w:sz w:val="20"/>
                <w:szCs w:val="20"/>
                <w:color w:val="auto"/>
              </w:rPr>
            </w:pPr>
            <w:r>
              <w:rPr>
                <w:rFonts w:ascii="Times New Roman" w:cs="Times New Roman" w:eastAsia="Times New Roman" w:hAnsi="Times New Roman"/>
                <w:sz w:val="17"/>
                <w:szCs w:val="17"/>
                <w:color w:val="auto"/>
              </w:rPr>
              <w:t>Property and equipment acquired under capital leases or debt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Debt discount through issuance of common stock warrants</w:t>
            </w:r>
          </w:p>
        </w:tc>
        <w:tc>
          <w:tcPr>
            <w:tcW w:w="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3,843</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320" w:type="dxa"/>
            <w:vAlign w:val="bottom"/>
            <w:shd w:val="clear" w:color="auto" w:fill="CCEEFF"/>
          </w:tcPr>
          <w:p>
            <w:pPr>
              <w:ind w:left="340"/>
              <w:spacing w:after="0" w:line="146" w:lineRule="exact"/>
              <w:rPr>
                <w:sz w:val="20"/>
                <w:szCs w:val="20"/>
                <w:color w:val="auto"/>
              </w:rPr>
            </w:pPr>
            <w:r>
              <w:rPr>
                <w:rFonts w:ascii="Times New Roman" w:cs="Times New Roman" w:eastAsia="Times New Roman" w:hAnsi="Times New Roman"/>
                <w:sz w:val="16"/>
                <w:szCs w:val="16"/>
                <w:color w:val="auto"/>
              </w:rPr>
              <w:t>Debt discount through issuance of convertible note with derivative</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liability</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6,520</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Extinguishment of derivative liability</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3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(5,377</w:t>
            </w:r>
          </w:p>
        </w:tc>
        <w:tc>
          <w:tcPr>
            <w:tcW w:w="14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ind w:left="340"/>
              <w:spacing w:after="0" w:line="191" w:lineRule="exact"/>
              <w:rPr>
                <w:sz w:val="20"/>
                <w:szCs w:val="20"/>
                <w:color w:val="auto"/>
              </w:rPr>
            </w:pPr>
            <w:r>
              <w:rPr>
                <w:rFonts w:ascii="Times New Roman" w:cs="Times New Roman" w:eastAsia="Times New Roman" w:hAnsi="Times New Roman"/>
                <w:sz w:val="17"/>
                <w:szCs w:val="17"/>
                <w:color w:val="auto"/>
              </w:rPr>
              <w:t>Non-cash debt discount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ind w:left="340"/>
              <w:spacing w:after="0" w:line="186" w:lineRule="exact"/>
              <w:rPr>
                <w:sz w:val="20"/>
                <w:szCs w:val="20"/>
                <w:color w:val="auto"/>
              </w:rPr>
            </w:pPr>
            <w:r>
              <w:rPr>
                <w:rFonts w:ascii="Times New Roman" w:cs="Times New Roman" w:eastAsia="Times New Roman" w:hAnsi="Times New Roman"/>
                <w:sz w:val="17"/>
                <w:szCs w:val="17"/>
                <w:color w:val="auto"/>
              </w:rPr>
              <w:t>Issues of series C redeemable convertible preferred stock for exercise</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of warrants</w:t>
            </w:r>
          </w:p>
        </w:tc>
        <w:tc>
          <w:tcPr>
            <w:tcW w:w="28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5,816</w:t>
            </w:r>
          </w:p>
        </w:tc>
        <w:tc>
          <w:tcPr>
            <w:tcW w:w="36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Borders>
              <w:top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7"/>
                <w:szCs w:val="17"/>
                <w:color w:val="auto"/>
              </w:rPr>
              <w:t>Issues of series B redeemable convertible preferred stock for exercise</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of warrants</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bottom w:val="single" w:sz="8" w:color="CCEEFF"/>
            </w:tcBorders>
            <w:vMerge w:val="restart"/>
          </w:tcPr>
          <w:p>
            <w:pPr>
              <w:ind w:left="340"/>
              <w:spacing w:after="0" w:line="189" w:lineRule="exact"/>
              <w:rPr>
                <w:sz w:val="20"/>
                <w:szCs w:val="20"/>
                <w:color w:val="auto"/>
              </w:rPr>
            </w:pPr>
            <w:r>
              <w:rPr>
                <w:rFonts w:ascii="Times New Roman" w:cs="Times New Roman" w:eastAsia="Times New Roman" w:hAnsi="Times New Roman"/>
                <w:sz w:val="17"/>
                <w:szCs w:val="17"/>
                <w:color w:val="auto"/>
              </w:rPr>
              <w:t>Deemed dividend from exchange of series D-3A redeemable</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convertible preferred stock for series D-3</w:t>
            </w:r>
          </w:p>
        </w:tc>
        <w:tc>
          <w:tcPr>
            <w:tcW w:w="28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Borders>
              <w:top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7"/>
                <w:szCs w:val="17"/>
                <w:color w:val="auto"/>
              </w:rPr>
              <w:t>Conversion of convertible notes to series D-3A redeemable convertible</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preferred stock</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30,664</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3" w:name="page184"/>
    <w:bookmarkEnd w:id="18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Nature of Operations</w:t>
      </w:r>
    </w:p>
    <w:p>
      <w:pPr>
        <w:spacing w:after="0" w:line="14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SoundHound, Inc. and its subsidiaries (“SoundHound” or the “Company”) was incorporated in Delaware on September 2, 2005 and is headquartered in Santa Clara, California.</w:t>
      </w:r>
    </w:p>
    <w:p>
      <w:pPr>
        <w:spacing w:after="0" w:line="81"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SoundHound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Going Concern</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Since inception, the Company has generated recurring losses as well as negative operating cash flows, which has resulted in a net loss attributable to common stockholders of $79,540 for the year ended December 31, 2021. As of December 31, 2021, the Company has an accumulated deficit of $386,729. Management expects to continue to incur additional substantial losses in the foreseeable future as a result of research and development activities. The Company has funded its operations primarily through equity or debt financings.</w:t>
      </w:r>
    </w:p>
    <w:p>
      <w:pPr>
        <w:spacing w:after="0" w:line="9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plans to continue funding its operations and capital funding needs through a combination of private equity offerings, debt financing, revenue and other sources. Total cash and cash equivalents on hand as of December 31, 2021 was $21,626. The Company’s consolidated financial statements have been prepared on a going-concern basis, which contemplates the realization of assets and the satisfaction of liabilities in the normal course of business. The Company has reviewed the relevant conditions and events surrounding its ability to continue as a going concern including among others: historical losses, projected future results, including the effects of COVID-19, cash requirements for the upcoming year, funding capacity, net working capital, total stockholders’ deficit and future access to capital.</w:t>
      </w:r>
    </w:p>
    <w:p>
      <w:pPr>
        <w:spacing w:after="0" w:line="11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On November 15, 2021, the Company entered into a definitive merger agreement with Archimedes Tech SPAC Partners Co. (the “Business Combination” or the “Merger”). The transaction is expected to deliver between $111,000 and $244,000 of gross proceeds with an expected closing date during the second quarter of 2022. Management believes the Company’s sources of liquidity will be sufficient to fund the Company’s planned operations and existing obligations within one year after the date that the consolidated financial statements are issued. In the event that the Company does not achieve profitability and financing objectives in its current operating plan, management has the ability and commitment to reduce operating expenses as necessary. The Company’s long-term success is dependent upon its ability to successfully raise additional capital, market its existing services, increase revenues, and, ultimately, to achieve profitable operations. The consolidated financial statements do not include any adjustments that might be necessary if the Company is unable to continue as a going concern.</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Other Risk and Uncertainties</w:t>
      </w:r>
    </w:p>
    <w:p>
      <w:pPr>
        <w:spacing w:after="0" w:line="15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During the two-year period ended December 31, 2021, and subsequently afterward, the Company continued to experience the results of the worldwide COVID-19 pandemic. The COVID-19 outbreak in the United States has caused business disruption through mandated and voluntary closings of businesses and shelter in place orders. In response, the U.S. Government enacted the CARES Act, which includes significant provisions to provide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4" w:name="page185"/>
    <w:bookmarkEnd w:id="18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1" w:lineRule="auto"/>
        <w:rPr>
          <w:sz w:val="20"/>
          <w:szCs w:val="20"/>
          <w:color w:val="auto"/>
        </w:rPr>
      </w:pPr>
      <w:r>
        <w:rPr>
          <w:rFonts w:ascii="Times New Roman" w:cs="Times New Roman" w:eastAsia="Times New Roman" w:hAnsi="Times New Roman"/>
          <w:sz w:val="17"/>
          <w:szCs w:val="17"/>
          <w:color w:val="auto"/>
        </w:rPr>
        <w:t>relief and assistance to affected organizations. While the disruption is currently expected to be temporary, there is considerable uncertainty around potential future closings, shelter in place orders, containment of the recent COVID-19 variants, and the ultimate impact of the CARES Act and other government initiatives.</w:t>
      </w:r>
    </w:p>
    <w:p>
      <w:pPr>
        <w:spacing w:after="0" w:line="31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COVID-19 pandemic and its resulting economic and other effects could result in significant adverse effects on our customers’ cash flow and their ability to manufacture, distribute, and sell products incorporating our voice-enabling technologies. This in turn may cause customers to be less able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any depression or recession resulting from the COVID-19 pandemic may adversely change consumer behavior and demand, including products sold by customers, which may result in a significant reduction in our revenue, results of operations and financial condition. To date, this matter has not negatively impacted the Company. However, the financial impact and duration cannot be reasonably estimated at this time.</w:t>
      </w:r>
    </w:p>
    <w:p>
      <w:pPr>
        <w:spacing w:after="0" w:line="172" w:lineRule="exact"/>
        <w:rPr>
          <w:sz w:val="20"/>
          <w:szCs w:val="20"/>
          <w:color w:val="auto"/>
        </w:rPr>
      </w:pPr>
    </w:p>
    <w:p>
      <w:pPr>
        <w:ind w:left="1000" w:hanging="394"/>
        <w:spacing w:after="0"/>
        <w:tabs>
          <w:tab w:leader="none" w:pos="100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Basis of Presentation and Significant Accounting Policies</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Principles of Consolidation</w:t>
      </w:r>
    </w:p>
    <w:p>
      <w:pPr>
        <w:spacing w:after="0" w:line="15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Company’s consolidated financial statements include the accounts of the Company and its wholly-owned subsidiaries. All intercompany accounts and transactions have been eliminated in consolidation.</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Reclassification</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Certain prior period balances have been reclassified to conform to the current year presentation. Such changes include the presentation change on the consolidated statements of operations and comprehensive loss from a two-step presentation to a one-step presentation, as well as reclassifications or combinations of certain accounts on the consolidated balance sheets.</w:t>
      </w:r>
    </w:p>
    <w:p>
      <w:pPr>
        <w:spacing w:after="0" w:line="9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These reclassifications had no impact on total assets, total liabilities, net loss or comprehensive loss or accumulated deficit in the previously reported consolidated financial statements for the year ended December 31, 2020.</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Foreign Currency</w:t>
      </w:r>
    </w:p>
    <w:p>
      <w:pPr>
        <w:spacing w:after="0" w:line="157"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functional currency of SoundHound, Inc.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years ended December 31, 2021 and 2020, the Company recognized net losses/(gains) related to foreign currency transactions and remeasurements of $501 and ($18), respectively, in the consolidated statements of operations as other expense, net.</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5" w:name="page186"/>
    <w:bookmarkEnd w:id="18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Use of Estimates</w:t>
      </w:r>
    </w:p>
    <w:p>
      <w:pPr>
        <w:spacing w:after="0" w:line="131"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Cash and Cash Equivalents</w:t>
      </w:r>
    </w:p>
    <w:p>
      <w:pPr>
        <w:spacing w:after="0" w:line="131"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considers all highly liquid investments purchased with an original maturity of 90 days or less from the date of purchase to be cash equivalents. The Company’s cash equivalents consist of mutual funds, commercial paper and certificates of deposit. The deposits exceed federally insured limits.</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Restricted Cash Equivalents</w:t>
      </w:r>
    </w:p>
    <w:p>
      <w:pPr>
        <w:spacing w:after="0" w:line="144"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Company’s restricted cash equivalents were established according to the requirements under the leases for the Company’s corporate headquarters, data center and sales office, and are subject to certain restrictions under the leases. All amounts in restricted cash equivalents as of December 31, 2021 and 2020 represent funds held in certificates of deposit, have original maturities of six months to one year and are recorded at cost plus accrued interest, which approximates fair value as of December 31, 2021 and 2020. Restricted cash equivalents are classified as current or non-current on the consolidated balance sheets based on the remaining term of the restriction.</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Accounts Receivable, Net</w:t>
      </w:r>
    </w:p>
    <w:p>
      <w:pPr>
        <w:spacing w:after="0" w:line="131"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Accounts receivable consist of current trade receivables due from customers recorded at invoiced amounts, net of allowance for doubtful accounts. Accounts receivable do not bear interest and the Company generally does not require collateral or other security in support of accounts receivable.</w:t>
      </w:r>
    </w:p>
    <w:p>
      <w:pPr>
        <w:spacing w:after="0" w:line="71"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The Company has established an allowance for doubtful accounts and evaluates the collectability of its accounts receivable based on known collection risks and historical experience. Uncollectible receivables are written off when all efforts to collect have been exhausted and recoveries are recognized when received. The allowance for doubtful accounts as of December 31, 2021 and December 31, 2020 was $109.</w:t>
      </w:r>
    </w:p>
    <w:p>
      <w:pPr>
        <w:spacing w:after="0" w:line="3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Property and Equipment, Net</w:t>
      </w:r>
    </w:p>
    <w:p>
      <w:pPr>
        <w:spacing w:after="0" w:line="14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and amortization. Depreciation is provided using the straight-line method over the estimated useful lives of the respective assets.</w:t>
      </w:r>
    </w:p>
    <w:p>
      <w:pPr>
        <w:spacing w:after="0" w:line="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estimated useful lives of the Company’s property and equipment are as follows:</w:t>
      </w:r>
    </w:p>
    <w:p>
      <w:pPr>
        <w:spacing w:after="0" w:line="200" w:lineRule="exact"/>
        <w:rPr>
          <w:sz w:val="20"/>
          <w:szCs w:val="20"/>
          <w:color w:val="auto"/>
        </w:rPr>
      </w:pPr>
    </w:p>
    <w:p>
      <w:pPr>
        <w:spacing w:after="0" w:line="273" w:lineRule="exact"/>
        <w:rPr>
          <w:sz w:val="20"/>
          <w:szCs w:val="20"/>
          <w:color w:val="auto"/>
        </w:rPr>
      </w:pPr>
    </w:p>
    <w:tbl>
      <w:tblPr>
        <w:tblLayout w:type="fixed"/>
        <w:tblInd w:w="102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4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 4 years</w:t>
            </w:r>
          </w:p>
        </w:tc>
      </w:tr>
      <w:tr>
        <w:trPr>
          <w:trHeight w:val="234"/>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Software</w:t>
            </w:r>
          </w:p>
        </w:tc>
        <w:tc>
          <w:tcPr>
            <w:tcW w:w="4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years</w:t>
            </w:r>
          </w:p>
        </w:tc>
      </w:tr>
      <w:tr>
        <w:trPr>
          <w:trHeight w:val="39"/>
        </w:trPr>
        <w:tc>
          <w:tcPr>
            <w:tcW w:w="3060" w:type="dxa"/>
            <w:vAlign w:val="bottom"/>
            <w:gridSpan w:val="2"/>
          </w:tcPr>
          <w:p>
            <w:pPr>
              <w:spacing w:after="0"/>
              <w:rPr>
                <w:sz w:val="3"/>
                <w:szCs w:val="3"/>
                <w:color w:val="auto"/>
              </w:rPr>
            </w:pPr>
          </w:p>
        </w:tc>
        <w:tc>
          <w:tcPr>
            <w:tcW w:w="432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4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years</w:t>
            </w: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4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Lesser of useful life or the term of the lease</w:t>
            </w:r>
          </w:p>
        </w:tc>
      </w:tr>
    </w:tbl>
    <w:p>
      <w:pPr>
        <w:spacing w:after="0" w:line="20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Maintenance and repairs that do not extend the life or improve the asset are expensed as incurred.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6" w:name="page187"/>
    <w:bookmarkEnd w:id="18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Impairment of Long-Lived Assets</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evaluates property and equipment for impairment whenever events or changes in circumstances indicate that the carrying amount of the assets may not be recoverable. An impairment loss is recognized when the total of estimated undiscounted future cash flows expected to result from the use of the asset and its eventual disposition is less than its carrying amount. Impairment, if any, would be assessed using discounted cash flows or other appropriate measures of fair value. Through December 31, 2021, there have been no such impairments.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Segment Information</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105"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property and equipment is primarily located in the United States. As of December 31, 2021, the Company’s property and equipment is located in the United States, except for 11.7% of assets located in Canada and 1.7% in other foreign jurisdictions. As of December 31, 2020, all property and equipment were located in the United States.</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Emerging Growth Company Status</w:t>
      </w:r>
    </w:p>
    <w:p>
      <w:pPr>
        <w:spacing w:after="0" w:line="14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Concentrations of Credit Risk and Other Risks and Uncertainties</w:t>
      </w:r>
    </w:p>
    <w:p>
      <w:pPr>
        <w:spacing w:after="0" w:line="15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potential significant concentrations of credit risk consist principally of cash and cash equivalents. The Company regularly monitors its credit risk exposure and takes steps to mitigate the likelihood of these exposures resulting in actual loss.</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As of December 31, 2021, accounts receivable balances due from five customers collectively totaled 86% of the Company’s consolidated accounts receivable balance. As of December 31, 2020, accounts receivable balances due from two customers collectively totaled 87% of the Company’s consolidated accounts receivable balance.</w:t>
      </w:r>
    </w:p>
    <w:p>
      <w:pPr>
        <w:spacing w:after="0" w:line="92"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For the year ended December 31, 2021, the Company had three customers that accounted for 61% of revenue and two customers that accounted for 43% of revenue for the year ended December 31, 2020.</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Equity Issuance Costs</w:t>
      </w:r>
    </w:p>
    <w:p>
      <w:pPr>
        <w:spacing w:after="0" w:line="157" w:lineRule="exact"/>
        <w:rPr>
          <w:sz w:val="20"/>
          <w:szCs w:val="20"/>
          <w:color w:val="auto"/>
        </w:rPr>
      </w:pPr>
    </w:p>
    <w:p>
      <w:pPr>
        <w:jc w:val="both"/>
        <w:ind w:left="1020" w:right="619"/>
        <w:spacing w:after="0" w:line="271" w:lineRule="auto"/>
        <w:rPr>
          <w:sz w:val="20"/>
          <w:szCs w:val="20"/>
          <w:color w:val="auto"/>
        </w:rPr>
      </w:pPr>
      <w:r>
        <w:rPr>
          <w:rFonts w:ascii="Times New Roman" w:cs="Times New Roman" w:eastAsia="Times New Roman" w:hAnsi="Times New Roman"/>
          <w:sz w:val="17"/>
          <w:szCs w:val="17"/>
          <w:color w:val="auto"/>
        </w:rPr>
        <w:t>The Company capitalizes certain legal, professional, accounting and other third-party fees that are directly associated with in-process equity financings, including the Business Combination, as deferred offering costs until such financings are consummated. After consummation of the financing, these costs are recorded as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7" w:name="page188"/>
    <w:bookmarkEnd w:id="18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 reduction of the proceeds received from the equity financing. If a planned equity financing is abandoned, the deferred offering costs are expensed immediately as a charge to operating expenses in the consolidated statements of operations and comprehensive loss.</w:t>
      </w:r>
    </w:p>
    <w:p>
      <w:pPr>
        <w:spacing w:after="0" w:line="9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Additionally, certain transaction costs incurred in connection with the pending merger agreement, which are direct and incremental to the proposed merger, will be deferred and recorded as a component of other non-current assets within the consolidated balance sheets and will offset cash proceeds from the Business Combination if successful. The Company had $1,264 of deferred offering costs recorded as of December 31, 2021. The Company had not incurred deferred offering costs as of December 31, 2020.</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Revenue Recognition</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 xml:space="preserve">The Company recognizes revenue under Accounting Standards Codification Topic 606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when a customer obtains control of promised goods or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07" w:lineRule="exact"/>
        <w:rPr>
          <w:sz w:val="20"/>
          <w:szCs w:val="20"/>
          <w:color w:val="auto"/>
        </w:rPr>
      </w:pPr>
    </w:p>
    <w:p>
      <w:pPr>
        <w:ind w:left="1820" w:hanging="383"/>
        <w:spacing w:after="0"/>
        <w:tabs>
          <w:tab w:leader="none" w:pos="18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contract(s) with a customer;</w:t>
      </w:r>
    </w:p>
    <w:p>
      <w:pPr>
        <w:spacing w:after="0" w:line="155" w:lineRule="exact"/>
        <w:rPr>
          <w:rFonts w:ascii="Times New Roman" w:cs="Times New Roman" w:eastAsia="Times New Roman" w:hAnsi="Times New Roman"/>
          <w:sz w:val="17"/>
          <w:szCs w:val="17"/>
          <w:color w:val="auto"/>
        </w:rPr>
      </w:pPr>
    </w:p>
    <w:p>
      <w:pPr>
        <w:ind w:left="1820" w:hanging="383"/>
        <w:spacing w:after="0"/>
        <w:tabs>
          <w:tab w:leader="none" w:pos="18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42" w:lineRule="exact"/>
        <w:rPr>
          <w:rFonts w:ascii="Times New Roman" w:cs="Times New Roman" w:eastAsia="Times New Roman" w:hAnsi="Times New Roman"/>
          <w:sz w:val="17"/>
          <w:szCs w:val="17"/>
          <w:color w:val="auto"/>
        </w:rPr>
      </w:pPr>
    </w:p>
    <w:p>
      <w:pPr>
        <w:ind w:left="1820" w:hanging="383"/>
        <w:spacing w:after="0"/>
        <w:tabs>
          <w:tab w:leader="none" w:pos="18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 including the constraint on variable consideration;</w:t>
      </w:r>
    </w:p>
    <w:p>
      <w:pPr>
        <w:spacing w:after="0" w:line="155" w:lineRule="exact"/>
        <w:rPr>
          <w:rFonts w:ascii="Times New Roman" w:cs="Times New Roman" w:eastAsia="Times New Roman" w:hAnsi="Times New Roman"/>
          <w:sz w:val="17"/>
          <w:szCs w:val="17"/>
          <w:color w:val="auto"/>
        </w:rPr>
      </w:pPr>
    </w:p>
    <w:p>
      <w:pPr>
        <w:ind w:left="1820" w:hanging="383"/>
        <w:spacing w:after="0"/>
        <w:tabs>
          <w:tab w:leader="none" w:pos="18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55" w:lineRule="exact"/>
        <w:rPr>
          <w:rFonts w:ascii="Times New Roman" w:cs="Times New Roman" w:eastAsia="Times New Roman" w:hAnsi="Times New Roman"/>
          <w:sz w:val="17"/>
          <w:szCs w:val="17"/>
          <w:color w:val="auto"/>
        </w:rPr>
      </w:pPr>
    </w:p>
    <w:p>
      <w:pPr>
        <w:ind w:left="1800" w:hanging="363"/>
        <w:spacing w:after="0"/>
        <w:tabs>
          <w:tab w:leader="none" w:pos="18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performance obligations are satisfied.</w:t>
      </w:r>
    </w:p>
    <w:p>
      <w:pPr>
        <w:spacing w:after="0" w:line="14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consolidated balance sheet.</w:t>
      </w:r>
    </w:p>
    <w:p>
      <w:pPr>
        <w:spacing w:after="0" w:line="105"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Under ASC 606, assuming all other revenue recognition criteria have been met, the Company will recognize revenue for arrangements upon the transfer of control of the Company’s performance obligations to its customers. A performance obligation is a promise in a contract to transfer a distinct good or service to a customer and is the unit of account in ASC 606. Revenues are recognized when control of the promised goods or services are transferred to a customer in an amount that reflects the consideration that the Company expects to receive in exchange for those services. The Company currently generates its revenues through the following performance obligations: (1) hosted services, (2) professional services and (3) monetization.</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Research and Development</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Warrants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8" w:name="page189"/>
    <w:bookmarkEnd w:id="18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 xml:space="preserve">The warrants are considered freestanding instruments that qualify as liabilities under ASC Topic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as the Company is committed to issuing an instrument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ultimately may require a transfer of assets. The warrant liability is accounted for at fair value and remeasured at each reporting date. Accordingly, the Company classifies the warrants as a liability at their fair value and adjusts the instruments to fair value at each balance sheet date until the warrants are exercised or expired. Any change in the fair value of the warrants is recognized as other expense, net in the consolidated statements of operations and comprehensive loss.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Income Taxes</w:t>
      </w:r>
    </w:p>
    <w:p>
      <w:pPr>
        <w:spacing w:after="0" w:line="15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99"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classifies interest and penalties related to uncertain tax positions in income tax expense, if applicable. There were no interest expenses or penalties related to unrecognized tax benefits recorded through the years ended December 31, 2021 and 2020.</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Stock-Based Compensation</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uses the Black-Scholes-Merton (“Black-Scholes”) option-pricing model to determine the fair value of stock options. The Black-Scholes option-pricing model requires the use of highly subjective and complex assumptions 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spacing w:after="0" w:line="113" w:lineRule="exact"/>
        <w:rPr>
          <w:sz w:val="20"/>
          <w:szCs w:val="20"/>
          <w:color w:val="auto"/>
        </w:rPr>
      </w:pPr>
    </w:p>
    <w:p>
      <w:pPr>
        <w:jc w:val="both"/>
        <w:ind w:left="1440" w:right="619"/>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 The Company estimates volatility for option grants by evaluating the average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historical volatility of a peer group of companies for the period immediately preceding the option grant for a term that is approximately equal to the option’s expected term.</w:t>
      </w:r>
    </w:p>
    <w:p>
      <w:pPr>
        <w:spacing w:after="0" w:line="82" w:lineRule="exact"/>
        <w:rPr>
          <w:sz w:val="20"/>
          <w:szCs w:val="20"/>
          <w:color w:val="auto"/>
        </w:rPr>
      </w:pPr>
    </w:p>
    <w:p>
      <w:pPr>
        <w:jc w:val="both"/>
        <w:ind w:left="1440" w:right="6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Expected Term </w:t>
      </w:r>
      <w:r>
        <w:rPr>
          <w:rFonts w:ascii="Times New Roman" w:cs="Times New Roman" w:eastAsia="Times New Roman" w:hAnsi="Times New Roman"/>
          <w:sz w:val="17"/>
          <w:szCs w:val="17"/>
          <w:color w:val="auto"/>
        </w:rPr>
        <w:t>— The expected term of the Company’s options represents the period that the stock-based 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spacing w:after="0" w:line="103" w:lineRule="exact"/>
        <w:rPr>
          <w:sz w:val="20"/>
          <w:szCs w:val="20"/>
          <w:color w:val="auto"/>
        </w:rPr>
      </w:pPr>
    </w:p>
    <w:p>
      <w:pPr>
        <w:jc w:val="both"/>
        <w:ind w:left="1440" w:right="619"/>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Risk-Free Interest Rate </w:t>
      </w:r>
      <w:r>
        <w:rPr>
          <w:rFonts w:ascii="Times New Roman" w:cs="Times New Roman" w:eastAsia="Times New Roman" w:hAnsi="Times New Roman"/>
          <w:sz w:val="17"/>
          <w:szCs w:val="17"/>
          <w:color w:val="auto"/>
        </w:rPr>
        <w:t>— The risk-free interest rate is based on the implied yield currently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available on U.S. Treasury zero-coupon issues with a term that is equal to the options’ expected term at the grant date.</w:t>
      </w:r>
    </w:p>
    <w:p>
      <w:pPr>
        <w:spacing w:after="0" w:line="95" w:lineRule="exact"/>
        <w:rPr>
          <w:sz w:val="20"/>
          <w:szCs w:val="20"/>
          <w:color w:val="auto"/>
        </w:rPr>
      </w:pPr>
    </w:p>
    <w:p>
      <w:pPr>
        <w:jc w:val="both"/>
        <w:ind w:left="1440" w:right="619"/>
        <w:spacing w:after="0" w:line="295" w:lineRule="auto"/>
        <w:rPr>
          <w:sz w:val="20"/>
          <w:szCs w:val="20"/>
          <w:color w:val="auto"/>
        </w:rPr>
      </w:pPr>
      <w:r>
        <w:rPr>
          <w:rFonts w:ascii="Times New Roman" w:cs="Times New Roman" w:eastAsia="Times New Roman" w:hAnsi="Times New Roman"/>
          <w:sz w:val="17"/>
          <w:szCs w:val="17"/>
          <w:i w:val="1"/>
          <w:iCs w:val="1"/>
          <w:color w:val="auto"/>
        </w:rPr>
        <w:t xml:space="preserve">Dividend Yield </w:t>
      </w:r>
      <w:r>
        <w:rPr>
          <w:rFonts w:ascii="Times New Roman" w:cs="Times New Roman" w:eastAsia="Times New Roman" w:hAnsi="Times New Roman"/>
          <w:sz w:val="17"/>
          <w:szCs w:val="17"/>
          <w:color w:val="auto"/>
        </w:rPr>
        <w:t>— The Company has not declared or paid dividends to date and does not anticipate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declaring dividends. As such, the dividend yield has been estimated to be zero.</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9" w:name="page190"/>
    <w:bookmarkEnd w:id="18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Fair Value Measurements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03" w:lineRule="exact"/>
        <w:rPr>
          <w:sz w:val="20"/>
          <w:szCs w:val="20"/>
          <w:color w:val="auto"/>
        </w:rPr>
      </w:pPr>
    </w:p>
    <w:p>
      <w:pPr>
        <w:ind w:left="1860" w:right="619" w:hanging="423"/>
        <w:spacing w:after="0" w:line="295" w:lineRule="auto"/>
        <w:tabs>
          <w:tab w:leader="none" w:pos="1855"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1 — </w:t>
      </w:r>
      <w:r>
        <w:rPr>
          <w:rFonts w:ascii="Times New Roman" w:cs="Times New Roman" w:eastAsia="Times New Roman" w:hAnsi="Times New Roman"/>
          <w:sz w:val="17"/>
          <w:szCs w:val="17"/>
          <w:color w:val="auto"/>
        </w:rPr>
        <w:t>Inputs are unadjusted quoted prices in active markets for identical assets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liabilities at the measurement date.</w:t>
      </w:r>
    </w:p>
    <w:p>
      <w:pPr>
        <w:spacing w:after="0" w:line="78" w:lineRule="exact"/>
        <w:rPr>
          <w:rFonts w:ascii="Times New Roman" w:cs="Times New Roman" w:eastAsia="Times New Roman" w:hAnsi="Times New Roman"/>
          <w:sz w:val="17"/>
          <w:szCs w:val="17"/>
          <w:color w:val="auto"/>
        </w:rPr>
      </w:pPr>
    </w:p>
    <w:p>
      <w:pPr>
        <w:jc w:val="both"/>
        <w:ind w:left="1860" w:right="619" w:hanging="423"/>
        <w:spacing w:after="0" w:line="275" w:lineRule="auto"/>
        <w:tabs>
          <w:tab w:leader="none" w:pos="1855"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2 — </w:t>
      </w:r>
      <w:r>
        <w:rPr>
          <w:rFonts w:ascii="Times New Roman" w:cs="Times New Roman" w:eastAsia="Times New Roman" w:hAnsi="Times New Roman"/>
          <w:sz w:val="17"/>
          <w:szCs w:val="17"/>
          <w:color w:val="auto"/>
        </w:rPr>
        <w:t>Inputs (other than quoted market prices included in Level 1) are either directly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indirectly observable for the asset or liability through correlation with market data at the measurement date and for the duration of the instrument’s anticipated life.</w:t>
      </w:r>
    </w:p>
    <w:p>
      <w:pPr>
        <w:spacing w:after="0" w:line="81" w:lineRule="exact"/>
        <w:rPr>
          <w:rFonts w:ascii="Times New Roman" w:cs="Times New Roman" w:eastAsia="Times New Roman" w:hAnsi="Times New Roman"/>
          <w:sz w:val="17"/>
          <w:szCs w:val="17"/>
          <w:color w:val="auto"/>
        </w:rPr>
      </w:pPr>
    </w:p>
    <w:p>
      <w:pPr>
        <w:jc w:val="both"/>
        <w:ind w:left="1860" w:right="619" w:hanging="423"/>
        <w:spacing w:after="0" w:line="275" w:lineRule="auto"/>
        <w:tabs>
          <w:tab w:leader="none" w:pos="1855"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3 — </w:t>
      </w:r>
      <w:r>
        <w:rPr>
          <w:rFonts w:ascii="Times New Roman" w:cs="Times New Roman" w:eastAsia="Times New Roman" w:hAnsi="Times New Roman"/>
          <w:sz w:val="17"/>
          <w:szCs w:val="17"/>
          <w:color w:val="auto"/>
        </w:rPr>
        <w:t>Inputs reflect management’s best estimate of what market participants would use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pricing the asset or liability at the measurement date. Consideration is given to the risk inherent in the valuation technique and the risk inherent in the inputs to the model.</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consolidated statements of operations and comprehensive loss.</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Redeemable Convertible Preferred Stock</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Company’s shares of redeemable convertible preferred stock (“Preferred Stock”) do not have a mandatory redemption date and are assessed at issuance for classification and redemption features requiring bifurcation.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The Company’s Preferred Stock is redeemable upon a deemed liquidation event which the Company determined is not solely within its control and thus has classified shares of Preferred Stock as temporary equity until such time as the conditions are removed or lapse. Because the occurrence of a deemed liquidation event is not currently probable, the carrying values of the shares of Preferred Stock are not being accreted to their redemption values. Subsequent adjustments to the carrying values of the shares of Preferred Stock would be made only when a deemed liquidation event becomes probable.</w:t>
      </w:r>
    </w:p>
    <w:p>
      <w:pPr>
        <w:spacing w:after="0" w:line="3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Convertible Notes and Derivative Liabilities</w:t>
      </w:r>
    </w:p>
    <w:p>
      <w:pPr>
        <w:spacing w:after="0" w:line="14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expense, net in the consolidated statements of operations and comprehensive loss. The fair value of the conversion features has been estimated using a probability-weighted discount model with and without the conversion feature (see Note 9 for additional information).</w:t>
      </w:r>
    </w:p>
    <w:p>
      <w:pPr>
        <w:spacing w:after="0" w:line="11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holds its convertible notes at amortized cost and amortizes the associated debt discount created from bifurcated derivatives and issuance costs under the effective interest or straight-line method until maturity or early conversion pursuant to the contractual terms of the arrangement.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0" w:name="page191"/>
    <w:bookmarkEnd w:id="19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Net Loss Per Share</w:t>
      </w:r>
    </w:p>
    <w:p>
      <w:pPr>
        <w:spacing w:after="0" w:line="14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9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warrants and convertible notes are considered to be potentially dilutive securities. See Note 15 for further information.</w:t>
      </w:r>
    </w:p>
    <w:p>
      <w:pPr>
        <w:spacing w:after="0" w:line="10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Recent Accounting Pronouncement — Adopted</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55"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 xml:space="preserve">In February 2016, the FASB issued Accounting Standards Update 2016-02,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(“Topic 842”) and subsequent amendments to the initial guidance: ASU 2017-13, ASU 2018-10, ASU 2018-11, ASU 2018-20 and ASU 2019-01 (collectively, “Topic 842”). Topic 842 aims to increase transparency and comparability among organizations by requiring lessees to recognize leases with a term greater than 12 months as a right-of-use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 payments. Topic 842 is effective for the Company for fiscal years beginning after December 15, 2021, including interim periods within those fiscal years. A modified retrospective application is required with an option to not restate comparative periods in the period of adoption. The Company adopted Topic 842 on January 1, 2021 using the modified retrospective approach, and financial information for the comparative period was not updated.</w:t>
      </w:r>
    </w:p>
    <w:p>
      <w:pPr>
        <w:spacing w:after="0" w:line="324"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In addition, the Company elected the transition package of three practical expedients which allow companies not to reassess (i) whether agreements contain leases, (ii) the classification of leases, and</w:t>
      </w:r>
    </w:p>
    <w:p>
      <w:pPr>
        <w:spacing w:after="0" w:line="1" w:lineRule="exact"/>
        <w:rPr>
          <w:sz w:val="20"/>
          <w:szCs w:val="20"/>
          <w:color w:val="auto"/>
        </w:rPr>
      </w:pPr>
    </w:p>
    <w:p>
      <w:pPr>
        <w:jc w:val="both"/>
        <w:ind w:left="1020" w:right="619" w:firstLine="2"/>
        <w:spacing w:after="0" w:line="259" w:lineRule="auto"/>
        <w:tabs>
          <w:tab w:leader="none" w:pos="133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spacing w:after="0" w:line="96"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1" w:name="page192"/>
    <w:bookmarkEnd w:id="19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As a result of the adoption of the new lease accounting guidance, the Company recognized on January 1, 2021:</w:t>
      </w:r>
    </w:p>
    <w:p>
      <w:pPr>
        <w:spacing w:after="0" w:line="81" w:lineRule="exact"/>
        <w:rPr>
          <w:sz w:val="20"/>
          <w:szCs w:val="20"/>
          <w:color w:val="auto"/>
        </w:rPr>
      </w:pPr>
    </w:p>
    <w:p>
      <w:pPr>
        <w:jc w:val="both"/>
        <w:ind w:left="1860" w:right="619" w:hanging="423"/>
        <w:spacing w:after="0" w:line="274" w:lineRule="auto"/>
        <w:tabs>
          <w:tab w:leader="none" w:pos="1855"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liabilities of approximately $11,428, which represent the present value of the remaining lease payments, as of the date of adoption, discounted using the Company’s incremental borrowing rate on a lease-by-lease basis, and</w:t>
      </w:r>
    </w:p>
    <w:p>
      <w:pPr>
        <w:spacing w:after="0" w:line="84"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55"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ROU assets of approximately $9,848 which represent the operating lease liabilities of $11,428, adjusted for (1) deferred rent of approximately $827, (2) lease incentives or tenant improvement allowance of $1,098 and (3) prepaid rent of $345.</w:t>
      </w:r>
    </w:p>
    <w:p>
      <w:pPr>
        <w:spacing w:after="0" w:line="97" w:lineRule="exact"/>
        <w:rPr>
          <w:rFonts w:ascii="Times New Roman" w:cs="Times New Roman" w:eastAsia="Times New Roman" w:hAnsi="Times New Roman"/>
          <w:sz w:val="17"/>
          <w:szCs w:val="17"/>
          <w:color w:val="auto"/>
        </w:rPr>
      </w:pPr>
    </w:p>
    <w:p>
      <w:pPr>
        <w:ind w:left="1860" w:right="619" w:hanging="423"/>
        <w:spacing w:after="0" w:line="293" w:lineRule="auto"/>
        <w:tabs>
          <w:tab w:leader="none" w:pos="1855"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additionally recharacterized its capital leases as finance leases. However, there was no quantitative impact to capital leases upon transitioning to the new standard.</w:t>
      </w:r>
    </w:p>
    <w:p>
      <w:pPr>
        <w:spacing w:after="0" w:line="81"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adoption of the new lease accounting standard did not have any other material impact on the Company’s consolidated balance sheet and did not impact the Company’s operating results and cash flows. See Leases in Note 13 for further information, including further discussion on the impact of adoption and changes in accounting policies relating to leases.</w:t>
      </w:r>
    </w:p>
    <w:p>
      <w:pPr>
        <w:spacing w:after="0" w:line="9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In August 2020, the FASB issued ASU 2020-06, Debt — 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ASU 2020-06 also removes certain settlement conditions that are required for equity-linked contracts to qualify for scope exception, and it simplifies the diluted earnings per share calculation in certain areas. The Company adopted ASU 2020-06 on January 1, 2021. Adoption of ASU 2020-06 did not impact the Company’s financial position, results of operations or cash flows as the Company does not have any instruments with cash or beneficial conversion features. Further, updates from ASU 2020-06 to Contracts in an Entity’s Own Equity does not impact the Company’s debt instruments as of December 31, 2021.</w:t>
      </w:r>
    </w:p>
    <w:p>
      <w:pPr>
        <w:spacing w:after="0" w:line="14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Recent Accounting Pronouncement — Not Yet Adopted</w:t>
      </w:r>
    </w:p>
    <w:p>
      <w:pPr>
        <w:spacing w:after="0" w:line="144"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consolidated financial statements and related disclosures.</w:t>
      </w:r>
    </w:p>
    <w:p>
      <w:pPr>
        <w:spacing w:after="0" w:line="32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2" w:name="page193"/>
    <w:bookmarkEnd w:id="19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an instrument-by-instrument basis. ASU 2019-10 and ASU 2016-13 are effective for years beginning after December 15, 2022, with early adoption permitted. The Company is currently evaluating the impact the standard will have on the Company’s consolidated financial statements.</w:t>
      </w:r>
    </w:p>
    <w:p>
      <w:pPr>
        <w:spacing w:after="0" w:line="9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amendments in ASU 2019-12 are effective for the Company in fiscal years beginning after December 15, 2021. Early adoption of the amendments is permitted. An entity that elects early adoption must adopt all the amendments in the same period. Adoption of ASU 2019-12 is not expected to result in any material changes to the way the tax provision is prepared and is not expected to have a material impact on the Company’s consolidated financial statements.</w:t>
      </w:r>
    </w:p>
    <w:p>
      <w:pPr>
        <w:spacing w:after="0" w:line="175" w:lineRule="exact"/>
        <w:rPr>
          <w:sz w:val="20"/>
          <w:szCs w:val="20"/>
          <w:color w:val="auto"/>
        </w:rPr>
      </w:pPr>
    </w:p>
    <w:p>
      <w:pPr>
        <w:ind w:left="1000" w:hanging="394"/>
        <w:spacing w:after="0"/>
        <w:tabs>
          <w:tab w:leader="none" w:pos="1000"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Revenue Recognition</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318"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derives its revenue primarily from the following performance obligations: (1) hosted services, (2) professional services and (3) monetization. Revenue is reported net of applicable sales and use taxes that are passed through to customers.</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has the following performance obligations in contracts with customers:</w:t>
      </w:r>
    </w:p>
    <w:p>
      <w:pPr>
        <w:spacing w:after="0" w:line="2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Hosted Services</w:t>
      </w:r>
    </w:p>
    <w:p>
      <w:pPr>
        <w:spacing w:after="0" w:line="15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9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97" w:lineRule="exact"/>
        <w:rPr>
          <w:sz w:val="20"/>
          <w:szCs w:val="20"/>
          <w:color w:val="auto"/>
        </w:rPr>
      </w:pPr>
    </w:p>
    <w:p>
      <w:pPr>
        <w:jc w:val="both"/>
        <w:ind w:left="1020" w:right="619"/>
        <w:spacing w:after="0" w:line="285" w:lineRule="auto"/>
        <w:rPr>
          <w:sz w:val="20"/>
          <w:szCs w:val="20"/>
          <w:color w:val="auto"/>
        </w:rPr>
      </w:pPr>
      <w:r>
        <w:rPr>
          <w:rFonts w:ascii="Times New Roman" w:cs="Times New Roman" w:eastAsia="Times New Roman" w:hAnsi="Times New Roman"/>
          <w:sz w:val="17"/>
          <w:szCs w:val="17"/>
          <w:color w:val="auto"/>
        </w:rPr>
        <w:t>Hosted services generally include up-front services to develop and/or customize the Houndify application to each customer’s specification. Judgement is required to determine whether these professional services are</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3" w:name="page194"/>
    <w:bookmarkEnd w:id="19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9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Professional Services</w:t>
      </w:r>
    </w:p>
    <w:p>
      <w:pPr>
        <w:spacing w:after="0" w:line="14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1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year ended December 31, 2021, $2,446 of professional service revenue was recognized over time, with the remaining $4,696 recognized at a point in time when the performance obligation was completed and control of the service was transferred to the customer. During the year ended December 31, 2020, $2,194 of professional service revenue was recognized over time, with the remaining $886 recognized at a point in time when the performance obligation was completed and control of the service was transferred to the customer.</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Monetization</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03"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10" w:lineRule="exact"/>
        <w:rPr>
          <w:sz w:val="20"/>
          <w:szCs w:val="20"/>
          <w:color w:val="auto"/>
        </w:rPr>
      </w:pPr>
    </w:p>
    <w:p>
      <w:pPr>
        <w:ind w:left="1840" w:hanging="403"/>
        <w:spacing w:after="0"/>
        <w:tabs>
          <w:tab w:leader="none" w:pos="18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developing and supplying each performance obligation</w:t>
      </w:r>
    </w:p>
    <w:p>
      <w:pPr>
        <w:spacing w:after="0" w:line="155" w:lineRule="exact"/>
        <w:rPr>
          <w:rFonts w:ascii="Times New Roman" w:cs="Times New Roman" w:eastAsia="Times New Roman" w:hAnsi="Times New Roman"/>
          <w:sz w:val="17"/>
          <w:szCs w:val="17"/>
          <w:color w:val="auto"/>
        </w:rPr>
      </w:pPr>
    </w:p>
    <w:p>
      <w:pPr>
        <w:ind w:left="1840" w:hanging="403"/>
        <w:spacing w:after="0"/>
        <w:tabs>
          <w:tab w:leader="none" w:pos="18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standards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4" w:name="page195"/>
    <w:bookmarkEnd w:id="19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rFonts w:ascii="Times New Roman" w:cs="Times New Roman" w:eastAsia="Times New Roman" w:hAnsi="Times New Roman"/>
          <w:sz w:val="17"/>
          <w:szCs w:val="17"/>
          <w:b w:val="1"/>
          <w:bCs w:val="1"/>
          <w:color w:val="auto"/>
        </w:rPr>
      </w:pPr>
    </w:p>
    <w:p>
      <w:pPr>
        <w:ind w:left="1840" w:hanging="403"/>
        <w:spacing w:after="0"/>
        <w:tabs>
          <w:tab w:leader="none" w:pos="184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product groupings</w:t>
      </w:r>
    </w:p>
    <w:p>
      <w:pPr>
        <w:spacing w:after="0" w:line="155" w:lineRule="exact"/>
        <w:rPr>
          <w:rFonts w:ascii="Times New Roman" w:cs="Times New Roman" w:eastAsia="Times New Roman" w:hAnsi="Times New Roman"/>
          <w:sz w:val="17"/>
          <w:szCs w:val="17"/>
          <w:color w:val="auto"/>
        </w:rPr>
      </w:pPr>
    </w:p>
    <w:p>
      <w:pPr>
        <w:ind w:left="1860" w:right="619" w:hanging="423"/>
        <w:spacing w:after="0" w:line="293" w:lineRule="auto"/>
        <w:tabs>
          <w:tab w:leader="none" w:pos="1855"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margin objectives and pricing practices, such as contractually stated prices, discounts offered, and applicable price lists</w:t>
      </w:r>
    </w:p>
    <w:p>
      <w:pPr>
        <w:spacing w:after="0" w:line="68"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For the years ended December 31, 2021 and 2020, revenues under each performance obligation were:</w:t>
      </w:r>
    </w:p>
    <w:p>
      <w:pPr>
        <w:spacing w:after="0" w:line="223" w:lineRule="exact"/>
        <w:rPr>
          <w:sz w:val="20"/>
          <w:szCs w:val="20"/>
          <w:color w:val="auto"/>
        </w:rPr>
      </w:pPr>
    </w:p>
    <w:tbl>
      <w:tblPr>
        <w:tblLayout w:type="fixed"/>
        <w:tblInd w:w="1020" w:type="dxa"/>
        <w:tblCellMar>
          <w:top w:w="0" w:type="dxa"/>
          <w:left w:w="0" w:type="dxa"/>
          <w:bottom w:w="0" w:type="dxa"/>
          <w:right w:w="0" w:type="dxa"/>
        </w:tblCellMar>
      </w:tblPr>
      <w:tr>
        <w:trPr>
          <w:trHeight w:val="205"/>
        </w:trPr>
        <w:tc>
          <w:tcPr>
            <w:tcW w:w="3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5"/>
        </w:trPr>
        <w:tc>
          <w:tcPr>
            <w:tcW w:w="32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3240" w:type="dxa"/>
            <w:vAlign w:val="bottom"/>
            <w:tcBorders>
              <w:bottom w:val="single" w:sz="8" w:color="CCEEFF"/>
            </w:tcBorders>
          </w:tcPr>
          <w:p>
            <w:pPr>
              <w:spacing w:after="0"/>
              <w:rPr>
                <w:sz w:val="3"/>
                <w:szCs w:val="3"/>
                <w:color w:val="auto"/>
              </w:rPr>
            </w:pPr>
          </w:p>
        </w:tc>
        <w:tc>
          <w:tcPr>
            <w:tcW w:w="17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Hosted services</w:t>
            </w:r>
          </w:p>
        </w:tc>
        <w:tc>
          <w:tcPr>
            <w:tcW w:w="17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12,764</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8,563</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Professional services</w:t>
            </w: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3,080</w:t>
            </w:r>
          </w:p>
        </w:tc>
        <w:tc>
          <w:tcPr>
            <w:tcW w:w="0" w:type="dxa"/>
            <w:vAlign w:val="bottom"/>
          </w:tcPr>
          <w:p>
            <w:pPr>
              <w:spacing w:after="0"/>
              <w:rPr>
                <w:sz w:val="1"/>
                <w:szCs w:val="1"/>
                <w:color w:val="auto"/>
              </w:rPr>
            </w:pPr>
          </w:p>
        </w:tc>
      </w:tr>
      <w:tr>
        <w:trPr>
          <w:trHeight w:val="39"/>
        </w:trPr>
        <w:tc>
          <w:tcPr>
            <w:tcW w:w="32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1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240" w:type="dxa"/>
            <w:vAlign w:val="bottom"/>
            <w:vMerge w:val="continue"/>
          </w:tcPr>
          <w:p>
            <w:pPr>
              <w:spacing w:after="0"/>
              <w:rPr>
                <w:sz w:val="20"/>
                <w:szCs w:val="20"/>
                <w:color w:val="auto"/>
              </w:rPr>
            </w:pPr>
          </w:p>
        </w:tc>
        <w:tc>
          <w:tcPr>
            <w:tcW w:w="202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80" w:type="dxa"/>
            <w:vAlign w:val="bottom"/>
          </w:tcPr>
          <w:p>
            <w:pPr>
              <w:spacing w:after="0"/>
              <w:rPr>
                <w:sz w:val="20"/>
                <w:szCs w:val="20"/>
                <w:color w:val="auto"/>
              </w:rPr>
            </w:pPr>
          </w:p>
        </w:tc>
        <w:tc>
          <w:tcPr>
            <w:tcW w:w="260" w:type="dxa"/>
            <w:vAlign w:val="bottom"/>
            <w:gridSpan w:val="2"/>
          </w:tcPr>
          <w:p>
            <w:pPr>
              <w:jc w:val="right"/>
              <w:ind w:right="12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For the years ended December 31, 2021 and 2020, the disaggregated revenue by geographic location is as follows:</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9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4"/>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5"/>
        </w:trPr>
        <w:tc>
          <w:tcPr>
            <w:tcW w:w="29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1"/>
        </w:trPr>
        <w:tc>
          <w:tcPr>
            <w:tcW w:w="2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2960" w:type="dxa"/>
            <w:vAlign w:val="bottom"/>
            <w:tcBorders>
              <w:bottom w:val="single" w:sz="8" w:color="CCEEFF"/>
            </w:tcBorders>
          </w:tcPr>
          <w:p>
            <w:pPr>
              <w:spacing w:after="0"/>
              <w:rPr>
                <w:sz w:val="3"/>
                <w:szCs w:val="3"/>
                <w:color w:val="auto"/>
              </w:rPr>
            </w:pPr>
          </w:p>
        </w:tc>
        <w:tc>
          <w:tcPr>
            <w:tcW w:w="20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20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3,339</w:t>
            </w: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3,538</w:t>
            </w:r>
          </w:p>
        </w:tc>
      </w:tr>
      <w:tr>
        <w:trPr>
          <w:trHeight w:val="39"/>
        </w:trPr>
        <w:tc>
          <w:tcPr>
            <w:tcW w:w="29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Japan</w:t>
            </w:r>
          </w:p>
        </w:tc>
        <w:tc>
          <w:tcPr>
            <w:tcW w:w="2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3,496</w:t>
            </w: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Korea</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w:t>
            </w:r>
          </w:p>
        </w:tc>
      </w:tr>
      <w:tr>
        <w:trPr>
          <w:trHeight w:val="39"/>
        </w:trPr>
        <w:tc>
          <w:tcPr>
            <w:tcW w:w="29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France</w:t>
            </w:r>
          </w:p>
        </w:tc>
        <w:tc>
          <w:tcPr>
            <w:tcW w:w="2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2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r>
      <w:tr>
        <w:trPr>
          <w:trHeight w:val="26"/>
        </w:trPr>
        <w:tc>
          <w:tcPr>
            <w:tcW w:w="296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28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36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For the years ended December 31, 2021 and 2020, the disaggregated revenue by recognition pattern is as follows:</w:t>
      </w:r>
    </w:p>
    <w:p>
      <w:pPr>
        <w:spacing w:after="0" w:line="162"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3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4"/>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5"/>
        </w:trPr>
        <w:tc>
          <w:tcPr>
            <w:tcW w:w="31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1"/>
        </w:trPr>
        <w:tc>
          <w:tcPr>
            <w:tcW w:w="3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3140" w:type="dxa"/>
            <w:vAlign w:val="bottom"/>
            <w:tcBorders>
              <w:bottom w:val="single" w:sz="8" w:color="CCEEFF"/>
            </w:tcBorders>
          </w:tcPr>
          <w:p>
            <w:pPr>
              <w:spacing w:after="0"/>
              <w:rPr>
                <w:sz w:val="3"/>
                <w:szCs w:val="3"/>
                <w:color w:val="auto"/>
              </w:rPr>
            </w:pPr>
          </w:p>
        </w:tc>
        <w:tc>
          <w:tcPr>
            <w:tcW w:w="18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3"/>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time revenue</w:t>
            </w:r>
          </w:p>
        </w:tc>
        <w:tc>
          <w:tcPr>
            <w:tcW w:w="1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10,757</w:t>
            </w:r>
          </w:p>
        </w:tc>
      </w:tr>
      <w:tr>
        <w:trPr>
          <w:trHeight w:val="247"/>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Point-in-time</w:t>
            </w:r>
          </w:p>
        </w:tc>
        <w:tc>
          <w:tcPr>
            <w:tcW w:w="1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2,260</w:t>
            </w:r>
          </w:p>
        </w:tc>
      </w:tr>
      <w:tr>
        <w:trPr>
          <w:trHeight w:val="26"/>
        </w:trPr>
        <w:tc>
          <w:tcPr>
            <w:tcW w:w="314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10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36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5" w:name="page196"/>
    <w:bookmarkEnd w:id="19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platform to fit customers’ specific needs. Revenue from Monetization is generated from the SoundHound music identification app and is primarily attributable to user ad impression revenue. For the years ended December 31, 2021 and 2020, the disaggregated revenue by service type is as follows:</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3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5"/>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5"/>
        </w:trPr>
        <w:tc>
          <w:tcPr>
            <w:tcW w:w="32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3240" w:type="dxa"/>
            <w:vAlign w:val="bottom"/>
            <w:tcBorders>
              <w:bottom w:val="single" w:sz="8" w:color="CCEEFF"/>
            </w:tcBorders>
          </w:tcPr>
          <w:p>
            <w:pPr>
              <w:spacing w:after="0"/>
              <w:rPr>
                <w:sz w:val="3"/>
                <w:szCs w:val="3"/>
                <w:color w:val="auto"/>
              </w:rPr>
            </w:pPr>
          </w:p>
        </w:tc>
        <w:tc>
          <w:tcPr>
            <w:tcW w:w="17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17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18,356</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10,372</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0" w:type="dxa"/>
            <w:vAlign w:val="bottom"/>
          </w:tcPr>
          <w:p>
            <w:pPr>
              <w:spacing w:after="0"/>
              <w:rPr>
                <w:sz w:val="1"/>
                <w:szCs w:val="1"/>
                <w:color w:val="auto"/>
              </w:rPr>
            </w:pPr>
          </w:p>
        </w:tc>
      </w:tr>
      <w:tr>
        <w:trPr>
          <w:trHeight w:val="39"/>
        </w:trPr>
        <w:tc>
          <w:tcPr>
            <w:tcW w:w="32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1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240" w:type="dxa"/>
            <w:vAlign w:val="bottom"/>
            <w:vMerge w:val="continue"/>
          </w:tcPr>
          <w:p>
            <w:pPr>
              <w:spacing w:after="0"/>
              <w:rPr>
                <w:sz w:val="20"/>
                <w:szCs w:val="20"/>
                <w:color w:val="auto"/>
              </w:rPr>
            </w:pPr>
          </w:p>
        </w:tc>
        <w:tc>
          <w:tcPr>
            <w:tcW w:w="200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80" w:type="dxa"/>
            <w:vAlign w:val="bottom"/>
          </w:tcPr>
          <w:p>
            <w:pPr>
              <w:spacing w:after="0"/>
              <w:rPr>
                <w:sz w:val="20"/>
                <w:szCs w:val="20"/>
                <w:color w:val="auto"/>
              </w:rPr>
            </w:pPr>
          </w:p>
        </w:tc>
        <w:tc>
          <w:tcPr>
            <w:tcW w:w="280" w:type="dxa"/>
            <w:vAlign w:val="bottom"/>
            <w:gridSpan w:val="2"/>
          </w:tcPr>
          <w:p>
            <w:pPr>
              <w:jc w:val="right"/>
              <w:ind w:right="14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Contract Balances</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w:t>
      </w:r>
    </w:p>
    <w:p>
      <w:pPr>
        <w:spacing w:after="0" w:line="105"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As of December 31, 2021 and 2020, the Company had contract assets included in prepaid expenses and other current assets of $54 and $43, respectively, in the consolidated balance sheets. The Company did not record any asset impairment charges related to contract assets during the year ended December 31, 2021.</w:t>
      </w:r>
    </w:p>
    <w:p>
      <w:pPr>
        <w:spacing w:after="0" w:line="84"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Revenue recognized for the years ended December 31, 2021 and 2020 that was included in the deferred revenues balances at the beginning of the reporting period was $14,945 and $7,503, respectively. The significant decrease in deferred revenue as of December 31, 2021 compared to the beginning of the reporting period is primarily due to recognition of $4,346 revenue related to a one-time contract modification to reduce the scope of the Company’s performance obligation, in addition to satisfying its servicing performance obligations for other contracts. As of December 31, 2021, the aggregate amount of the transaction price allocated to the remaining performance obligations related to customer contracts that were unsatisfied or partially unsatisfied was $31,323. Given the applicable contract terms, $8,034 is expected to be recognized as revenue within one year and $14,858 is expected to be recognized between two to five years, with the remainder of $8,431 recognized after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19"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105"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6" w:name="page197"/>
    <w:bookmarkEnd w:id="19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tbl>
      <w:tblPr>
        <w:tblLayout w:type="fixed"/>
        <w:tblInd w:w="600" w:type="dxa"/>
        <w:tblCellMar>
          <w:top w:w="0" w:type="dxa"/>
          <w:left w:w="0" w:type="dxa"/>
          <w:bottom w:w="0" w:type="dxa"/>
          <w:right w:w="0" w:type="dxa"/>
        </w:tblCellMar>
      </w:tblPr>
      <w:tr>
        <w:trPr>
          <w:trHeight w:val="228"/>
        </w:trPr>
        <w:tc>
          <w:tcPr>
            <w:tcW w:w="26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w w:val="93"/>
              </w:rPr>
              <w:t>4.</w:t>
            </w:r>
          </w:p>
        </w:tc>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 consisted of the following:</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60" w:type="dxa"/>
            <w:vAlign w:val="bottom"/>
          </w:tcPr>
          <w:p>
            <w:pPr>
              <w:spacing w:after="0"/>
              <w:rPr>
                <w:sz w:val="3"/>
                <w:szCs w:val="3"/>
                <w:color w:val="auto"/>
              </w:rPr>
            </w:pPr>
          </w:p>
        </w:tc>
        <w:tc>
          <w:tcPr>
            <w:tcW w:w="458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20,571</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19,867</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Software and voice recordings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60" w:type="dxa"/>
            <w:vAlign w:val="bottom"/>
          </w:tcPr>
          <w:p>
            <w:pPr>
              <w:spacing w:after="0"/>
              <w:rPr>
                <w:sz w:val="3"/>
                <w:szCs w:val="3"/>
                <w:color w:val="auto"/>
              </w:rPr>
            </w:pPr>
          </w:p>
        </w:tc>
        <w:tc>
          <w:tcPr>
            <w:tcW w:w="458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Furniture and fixtures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60" w:type="dxa"/>
            <w:vAlign w:val="bottom"/>
          </w:tcPr>
          <w:p>
            <w:pPr>
              <w:spacing w:after="0"/>
              <w:rPr>
                <w:sz w:val="3"/>
                <w:szCs w:val="3"/>
                <w:color w:val="auto"/>
              </w:rPr>
            </w:pPr>
          </w:p>
        </w:tc>
        <w:tc>
          <w:tcPr>
            <w:tcW w:w="458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5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260" w:type="dxa"/>
            <w:vAlign w:val="bottom"/>
          </w:tcPr>
          <w:p>
            <w:pPr>
              <w:spacing w:after="0"/>
              <w:rPr>
                <w:sz w:val="19"/>
                <w:szCs w:val="19"/>
                <w:color w:val="auto"/>
              </w:rPr>
            </w:pPr>
          </w:p>
        </w:tc>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Total, at cost</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32,488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45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(27,399)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(22,053)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60" w:type="dxa"/>
            <w:vAlign w:val="bottom"/>
          </w:tcPr>
          <w:p>
            <w:pPr>
              <w:spacing w:after="0"/>
              <w:rPr>
                <w:sz w:val="20"/>
                <w:szCs w:val="20"/>
                <w:color w:val="auto"/>
              </w:rPr>
            </w:pPr>
          </w:p>
        </w:tc>
        <w:tc>
          <w:tcPr>
            <w:tcW w:w="4580" w:type="dxa"/>
            <w:vAlign w:val="bottom"/>
            <w:gridSpan w:val="2"/>
            <w:vMerge w:val="continue"/>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10,435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property and equipment account includes assets under finance lease obligations (see Note 13 for additional information) with an aggregate cost of approximately $16,622 and $16,278 and accumulated depreciation of approximately $13,938 and $11,673 as of December 31, 2021 and 2020, respectively. Depreciation and amortization expense totaled approximately $5,502 and $6,037 for the years ended December 31, 2021 and 2020, respectively.</w:t>
      </w:r>
    </w:p>
    <w:p>
      <w:pPr>
        <w:spacing w:after="0" w:line="170" w:lineRule="exact"/>
        <w:rPr>
          <w:sz w:val="20"/>
          <w:szCs w:val="20"/>
          <w:color w:val="auto"/>
        </w:rPr>
      </w:pPr>
    </w:p>
    <w:p>
      <w:pPr>
        <w:ind w:left="1000" w:hanging="394"/>
        <w:spacing w:after="0"/>
        <w:tabs>
          <w:tab w:leader="none" w:pos="1000"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ACCRUED LIABILITIES</w:t>
      </w:r>
    </w:p>
    <w:p>
      <w:pPr>
        <w:spacing w:after="0" w:line="157"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Accrued liabilities on the consolidated balance sheets are comprised of the following as of December 31, 2021 and 2020, respectively:</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3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05"/>
        </w:trPr>
        <w:tc>
          <w:tcPr>
            <w:tcW w:w="3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3640" w:type="dxa"/>
            <w:vAlign w:val="bottom"/>
            <w:tcBorders>
              <w:bottom w:val="single" w:sz="8" w:color="CCEEFF"/>
            </w:tcBorders>
          </w:tcPr>
          <w:p>
            <w:pPr>
              <w:spacing w:after="0"/>
              <w:rPr>
                <w:sz w:val="3"/>
                <w:szCs w:val="3"/>
                <w:color w:val="auto"/>
              </w:rPr>
            </w:pPr>
          </w:p>
        </w:tc>
        <w:tc>
          <w:tcPr>
            <w:tcW w:w="13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3"/>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compensation expenses</w:t>
            </w: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2,692</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36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vendor payables</w:t>
            </w: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Accrued professional services</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39"/>
        </w:trPr>
        <w:tc>
          <w:tcPr>
            <w:tcW w:w="36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0"/>
        </w:trPr>
        <w:tc>
          <w:tcPr>
            <w:tcW w:w="3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33"/>
        </w:trPr>
        <w:tc>
          <w:tcPr>
            <w:tcW w:w="364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7,298</w:t>
            </w:r>
          </w:p>
        </w:tc>
        <w:tc>
          <w:tcPr>
            <w:tcW w:w="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3,411</w:t>
            </w:r>
          </w:p>
        </w:tc>
      </w:tr>
      <w:tr>
        <w:trPr>
          <w:trHeight w:val="20"/>
        </w:trPr>
        <w:tc>
          <w:tcPr>
            <w:tcW w:w="3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recorded accrued interest of $395 as of December 31, 2020 under other liabilities, non-current on the Company’s consolidated balance sheet related to the promissory note issued in June 2020 (“SNAP June 2020 Note”). See Note 8 for further information.</w:t>
      </w:r>
    </w:p>
    <w:p>
      <w:pPr>
        <w:spacing w:after="0" w:line="160" w:lineRule="exact"/>
        <w:rPr>
          <w:sz w:val="20"/>
          <w:szCs w:val="20"/>
          <w:color w:val="auto"/>
        </w:rPr>
      </w:pPr>
    </w:p>
    <w:p>
      <w:pPr>
        <w:ind w:left="1000" w:hanging="394"/>
        <w:spacing w:after="0"/>
        <w:tabs>
          <w:tab w:leader="none" w:pos="1000" w:val="left"/>
        </w:tabs>
        <w:numPr>
          <w:ilvl w:val="0"/>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Contracts</w:t>
      </w:r>
    </w:p>
    <w:p>
      <w:pPr>
        <w:spacing w:after="0" w:line="157" w:lineRule="exact"/>
        <w:rPr>
          <w:sz w:val="20"/>
          <w:szCs w:val="20"/>
          <w:color w:val="auto"/>
        </w:rPr>
      </w:pPr>
    </w:p>
    <w:p>
      <w:pPr>
        <w:jc w:val="both"/>
        <w:ind w:left="1020" w:right="619"/>
        <w:spacing w:after="0" w:line="271" w:lineRule="auto"/>
        <w:rPr>
          <w:sz w:val="20"/>
          <w:szCs w:val="20"/>
          <w:color w:val="auto"/>
        </w:rPr>
      </w:pPr>
      <w:r>
        <w:rPr>
          <w:rFonts w:ascii="Times New Roman" w:cs="Times New Roman" w:eastAsia="Times New Roman" w:hAnsi="Times New Roman"/>
          <w:sz w:val="17"/>
          <w:szCs w:val="17"/>
          <w:color w:val="auto"/>
        </w:rPr>
        <w:t>In August 2021, the Company entered into an exclusive agreement with a cloud service provider to host its voice artificial intelligence platform pursuant to which the Company committed to pay $100,000 in cloud costs over a seven-year period contingent upon the successful completion of the Business Combination.</w:t>
      </w:r>
    </w:p>
    <w:p>
      <w:pPr>
        <w:spacing w:after="0" w:line="3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Letters of Credit</w:t>
      </w:r>
    </w:p>
    <w:p>
      <w:pPr>
        <w:spacing w:after="0" w:line="15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conjunction with entering an 89-month lease in 2017 for the Santa Clara, California, facility, the Company agreed to issue a letter of credit for $1,656 to the landlord as a lease guarantee. The Company has cash equivalents deposited with a commercial bank as collateral against the letter of credit. The letter of credit was initially issued for a term of twelve months and is automatically renewed every twelve months for the entire term of the lease.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7" w:name="page198"/>
    <w:bookmarkEnd w:id="19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54" w:lineRule="auto"/>
        <w:rPr>
          <w:sz w:val="20"/>
          <w:szCs w:val="20"/>
          <w:color w:val="auto"/>
        </w:rPr>
      </w:pPr>
      <w:r>
        <w:rPr>
          <w:rFonts w:ascii="Times New Roman" w:cs="Times New Roman" w:eastAsia="Times New Roman" w:hAnsi="Times New Roman"/>
          <w:sz w:val="17"/>
          <w:szCs w:val="17"/>
          <w:color w:val="auto"/>
        </w:rPr>
        <w:t>If an event of default occurs, the landlord may draw upon the letter of credit. The letter of credit is reduced by $230 at the beginning of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month of the lease, and annually thereafter, upon request of the Company. However, if during the period of the lease the Company’s tangible net worth is equal to or greater than $100,000, or the Company completes an initial public offering for the sale of its stock on a U.S. stock exchange for a total market capitalization of $300,000 or more, then the letter of credit will be reduced to $230. As of December 31, 2021, the Company’s letter of credit requirement was $1,196 with $460 recorded as current restricted cash equivalents as the Company did not request a $230 reduction during the year ended. As of December 31, 2020, the Company’s letter of credit requirement was $1,196 with $230 recorded as current restricted cash equivalents.</w:t>
      </w:r>
    </w:p>
    <w:p>
      <w:pPr>
        <w:spacing w:after="0" w:line="116"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Additionally, in conjunction with entering a five-year lease in 2015 for the San Francisco, California, facility, the Company agreed to issue a letter of credit for $94 as security for the Company’s performance of the provisions of the lease agreement. As of December 31, 2021, the restriction on cash expired.</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Legal Proceedings</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Other Matters</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 xml:space="preserve">The Company has not historically collected U.S. state or local sales and use tax, or other similar taxes, in any jurisdiction. On June 21, 2018, the U.S. Supreme Court decided, in </w:t>
      </w:r>
      <w:r>
        <w:rPr>
          <w:rFonts w:ascii="Times New Roman" w:cs="Times New Roman" w:eastAsia="Times New Roman" w:hAnsi="Times New Roman"/>
          <w:sz w:val="17"/>
          <w:szCs w:val="17"/>
          <w:i w:val="1"/>
          <w:iCs w:val="1"/>
          <w:color w:val="auto"/>
        </w:rPr>
        <w:t>South Dakota v. Wayfair, Inc.</w:t>
      </w:r>
      <w:r>
        <w:rPr>
          <w:rFonts w:ascii="Times New Roman" w:cs="Times New Roman" w:eastAsia="Times New Roman" w:hAnsi="Times New Roman"/>
          <w:sz w:val="17"/>
          <w:szCs w:val="17"/>
          <w:color w:val="auto"/>
        </w:rPr>
        <w:t xml:space="preserve">,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and estimated and recorded a liability as of December 31, 2021 and 2020, in accordance with ASC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of $1,105 and $829, respectively.</w:t>
      </w:r>
    </w:p>
    <w:p>
      <w:pPr>
        <w:spacing w:after="0" w:line="178" w:lineRule="exact"/>
        <w:rPr>
          <w:sz w:val="20"/>
          <w:szCs w:val="20"/>
          <w:color w:val="auto"/>
        </w:rPr>
      </w:pPr>
    </w:p>
    <w:p>
      <w:pPr>
        <w:ind w:left="1000" w:hanging="394"/>
        <w:spacing w:after="0"/>
        <w:tabs>
          <w:tab w:leader="none" w:pos="1000" w:val="left"/>
        </w:tabs>
        <w:numPr>
          <w:ilvl w:val="0"/>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WARRANTS</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In connection with the issuance of promissory notes in September 2010 and March 2011, the Company issued detachable warrants to purchase 76,180 and 25,394 shares of Series B Preferred Stock (“Series B Warrants”), respectively, at $1.97 per share to the lenders, which were immediately exercisable. The warrants have a ten-year expiration date from the applicable closing date of September 2020 and March 2021. The remaining warrants were exercised during the year ended December 31, 2020 and, therefore, were no longer outstanding as of December 31, 2020.</w:t>
      </w:r>
    </w:p>
    <w:p>
      <w:pPr>
        <w:spacing w:after="0" w:line="9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connection with the issuance of the April 2013 Note and November 2013 Note, the Company issued detachable warrants to purchase 44,708 and 89,418 shares of Series C Preferred Stock (“Series C Warrants”), respectively, at $6.71 per share to the lenders, which were immediately exercisable. In December 2021, all outstanding 134,126 shares of warrants related to April 2013 Note and November 2013 were net exercised, leading to a net issuance of 116,150 shares of Series C Preferred Stock. This resulted into $3,812 recorded as other expense, net within the consolidated statements of operations and comprehensive loss for the change in the fair value of the warrant liability immediately before exercise. As of December 31, 2021 and 2020, the fair value of the warrant liability was $0 and $2,004, respectively.</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8" w:name="page199"/>
    <w:bookmarkEnd w:id="19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connection with the issuance of the Company’s 2021 note payable (“SVB March 2021 Note”) and 2021 Convertible Note (“SCI June 2021 Note”), the Company issued detachable warrants to purchase 127,570 and 63,785 shares of common stock, respectively, with an exercise price of $20.37 per share to the lenders, which were immediately exercisable. The Company recorded the warrants initially at fair value (see Note 9 for additional information) as paid-in-capital on the consolidated balance sheets based on the allocation of its relative fair value of the debt proceeds. See Note 9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$2,316 and $1,527, respectively. The warrants have a ten-year expiration date from the applicable closing date of March 2031 and June 2031, respectively.</w:t>
      </w:r>
    </w:p>
    <w:p>
      <w:pPr>
        <w:spacing w:after="0" w:line="387" w:lineRule="exact"/>
        <w:rPr>
          <w:sz w:val="20"/>
          <w:szCs w:val="20"/>
          <w:color w:val="auto"/>
        </w:rPr>
      </w:pPr>
    </w:p>
    <w:p>
      <w:pPr>
        <w:ind w:left="1000" w:hanging="394"/>
        <w:spacing w:after="0"/>
        <w:tabs>
          <w:tab w:leader="none" w:pos="1000" w:val="left"/>
        </w:tabs>
        <w:numPr>
          <w:ilvl w:val="0"/>
          <w:numId w:val="1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CONVERTIBLE NOTES AND NOTE PAYABLE</w:t>
      </w:r>
    </w:p>
    <w:p>
      <w:pPr>
        <w:spacing w:after="0" w:line="2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2020 Convertible Notes</w:t>
      </w:r>
    </w:p>
    <w:p>
      <w:pPr>
        <w:spacing w:after="0" w:line="159"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In May 2020, the Company issued a convertible promissory note (“May Note”) to a Lender in exchange for $25,000 in cash proceeds. The May Note had an annual interest rate of 5% and a maturity date of May 15, 2022. All unpaid interest and principal are due and payable upon request of the Lender on or after the May Note’s maturity date.</w:t>
      </w:r>
    </w:p>
    <w:p>
      <w:pPr>
        <w:spacing w:after="0" w:line="9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June 2020, the Company issued a promissory note, the SNAP June 2020 Note, to a Lender in exchange for $15,000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spacing w:after="0" w:line="10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outstanding principal balance and unpaid accrued interest of the May Note and SNAP June 2020 Note are convertible pursuant to the following terms (“May Note Conversion Feature,” “SNAP June 2020 Note Conversion Feature,” collectively, “Conversion Features”): automatic conversion into equity shares in the next equity financing round (“May Note Qualified Financing,” “SNAP June 2020 Note Qualified Financing,” collectively, “Qualified Financing”) at a conversion price equal to either (a) the lowest cash price per share paid by investors in such qualified financing (which will reflect at least a 20% discount to the price per share paid by other investors purchasing securities in additional closings), or (b) if there are no additional closings, 0.80 times the price per share paid by investors purchasing equity securities in the Qualified Financing. The May Note Qualified Financing shall be at least $40,000, which includes the conversion of the May Note but excludes any other indebtedness. The SNAP June 2020 Note Qualified Financing shall be at least $30,000, which excludes the conversion of the SNAP June 2020 Note and any other indebtedness.</w:t>
      </w:r>
    </w:p>
    <w:p>
      <w:pPr>
        <w:spacing w:after="0" w:line="116"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Furthermore, upon a change of control event, the Company shall settle both the May Note and SNAP June 2020 Note in cash, pursuant to the following terms (“Redemption Features”):</w:t>
      </w:r>
    </w:p>
    <w:p>
      <w:pPr>
        <w:spacing w:after="0" w:line="68" w:lineRule="exact"/>
        <w:rPr>
          <w:sz w:val="20"/>
          <w:szCs w:val="20"/>
          <w:color w:val="auto"/>
        </w:rPr>
      </w:pPr>
    </w:p>
    <w:p>
      <w:pPr>
        <w:ind w:left="1440" w:right="619" w:hanging="416"/>
        <w:spacing w:after="0" w:line="293" w:lineRule="auto"/>
        <w:rPr>
          <w:sz w:val="20"/>
          <w:szCs w:val="20"/>
          <w:color w:val="auto"/>
        </w:rPr>
      </w:pPr>
      <w:r>
        <w:rPr>
          <w:rFonts w:ascii="Times New Roman" w:cs="Times New Roman" w:eastAsia="Times New Roman" w:hAnsi="Times New Roman"/>
          <w:sz w:val="17"/>
          <w:szCs w:val="17"/>
          <w:color w:val="auto"/>
        </w:rPr>
        <w:t>— 200% of the then outstanding principal amount of the respective note plus any unpaid accrued interest on the original principal of such note; and</w:t>
      </w:r>
    </w:p>
    <w:p>
      <w:pPr>
        <w:spacing w:after="0" w:line="81" w:lineRule="exact"/>
        <w:rPr>
          <w:sz w:val="20"/>
          <w:szCs w:val="20"/>
          <w:color w:val="auto"/>
        </w:rPr>
      </w:pPr>
    </w:p>
    <w:p>
      <w:pPr>
        <w:ind w:left="1440" w:right="619" w:hanging="416"/>
        <w:spacing w:after="0" w:line="274" w:lineRule="auto"/>
        <w:rPr>
          <w:sz w:val="20"/>
          <w:szCs w:val="20"/>
          <w:color w:val="auto"/>
        </w:rPr>
      </w:pPr>
      <w:r>
        <w:rPr>
          <w:rFonts w:ascii="Times New Roman" w:cs="Times New Roman" w:eastAsia="Times New Roman" w:hAnsi="Times New Roman"/>
          <w:sz w:val="17"/>
          <w:szCs w:val="17"/>
          <w:color w:val="auto"/>
        </w:rPr>
        <w:t>— 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spacing w:after="0" w:line="71"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evaluated whether the Convertible Notes contain embedded features that meet the definition of derivatives under ASC 815, Derivatives and Hedging. The Conversion Features qualify as derivatives as they continuously reset as the underlying stock price increases or decreases so as to provide a variable number of shares for a fixed value of equity to the holders at any conversion date. As such, the Conversion Features were bifurcated and</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9" w:name="page200"/>
    <w:bookmarkEnd w:id="19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NOTES AND NOTE PAYABLE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accounted for as a derivative liability to be remeasured at the end of each reporting period. The Company recorded the bifurcated Conversion Features initially at fair value with the residual value being allocated to the Convertible Notes as a debt discount. The fair value of the Conversion Features upon issuance in May 2020 and June 2020, were $4,060 and $2,460, respectively, and were recorded as a derivative liability on the Company’s Consolidated Balance Sheet. The Redemption Features of the Convertible Notes do not meet the definition of derivatives. Therefore, the Redemption Features are not bifurcated.</w:t>
      </w:r>
    </w:p>
    <w:p>
      <w:pPr>
        <w:spacing w:after="0" w:line="84"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Company evaluated whether the Convertible Notes contain embedded features that meet the definition of derivatives under ASC 815, Derivatives and Hedging. The Company determined that certain conversion features met criteria to be bifurcated as derivative liabilities to be remeasured at the end of each reporting period. The Company recorded the bifurcated conversion features initially at fair value with the residual value being allocated to the convertible notes as a debt discount. The redemption features of the May Note and SNAP June 2020 Note do not meet the definition of derivatives. Therefore, the redemption features are not bifurcated.</w:t>
      </w:r>
    </w:p>
    <w:p>
      <w:pPr>
        <w:spacing w:after="0" w:line="9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total amount of debt discount at issuance for the May Note and SNAP June 2020 Note was $4,175 and $2,529, respectively. The Company amortized the aggregate debt discount using the effective interest method. The Company recognized total interest expense of $2,015 associated with the SNAP June 2020 Note for the year ended December 31, 2021, out of which $1,265 relates to the amortization of the debt discount. The Company recognized total interest expense of $1,724 associated with the May Note and SNAP June 2020 Note for the year ended December 31, 2020, out of which $1,050 relates to the amortization of the debt discount. The debt discount related to the SNAP June 2020 Note is amortized over the life of the instrument, beginning at note issuance and ending on June 26, 2022, the date of maturity.</w:t>
      </w:r>
    </w:p>
    <w:p>
      <w:pPr>
        <w:spacing w:after="0" w:line="294"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May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$40,000, including the face value of the May Note before the May Note’s maturity date (“May Note Qualified Financing”). The SNAP June 2020 Note contains a similar conversion feature, differing where total proceeds must exceed $30,000, excluding the face value of the SNAP June 2020 Note (“SNAP June 2020 Note Qualified Financing”).</w:t>
      </w:r>
    </w:p>
    <w:p>
      <w:pPr>
        <w:spacing w:after="0" w:line="8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In August 2020, the Company issued Series D-3A Preferred Stock (“Series D-3A”) for proceeds in aggregate of approximately $40,300. The Series D-3A financing meets the definition of the May Note Qualified Financing. As a result, the May Note, with then outstanding principal balance of $25,000 and accrued unpaid interest of $288, were automatically converted into 766,293 shares of Series D-3A resulting in an extinguishment of the outstanding principal balance and accrued net of unamortized discount of $21,268, extinguishing the derivative liability at fair value of $5,360 at the acquisition price of Series D-3A of $30,652. In connection with the extinguishment, the Company recognized a loss of $3,775 on the consolidated statements of operations and comprehensive loss. The Series D-3A financing did not meet the definition of the SNAP June 2020 Note Qualified Financing and, as such, the SNAP June 2020 Note remained outstanding as of December 31, 2021, and December 31, 2020.</w:t>
      </w:r>
    </w:p>
    <w:p>
      <w:pPr>
        <w:spacing w:after="0" w:line="11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following table summarizes the unamortized debt discount, fair value of conversion feature, and accrued interest as of December 31, 2021 and 2020, and fair value remeasurement for the years ended December 31, 2021 and 2020:</w:t>
      </w:r>
    </w:p>
    <w:p>
      <w:pPr>
        <w:spacing w:after="0" w:line="126"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05"/>
        </w:trPr>
        <w:tc>
          <w:tcPr>
            <w:tcW w:w="3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3"/>
              </w:rPr>
              <w:t>2020</w:t>
            </w:r>
          </w:p>
        </w:tc>
      </w:tr>
      <w:tr>
        <w:trPr>
          <w:trHeight w:val="45"/>
        </w:trPr>
        <w:tc>
          <w:tcPr>
            <w:tcW w:w="472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3"/>
        </w:trPr>
        <w:tc>
          <w:tcPr>
            <w:tcW w:w="380" w:type="dxa"/>
            <w:vAlign w:val="bottom"/>
          </w:tcPr>
          <w:p>
            <w:pPr>
              <w:spacing w:after="0"/>
              <w:rPr>
                <w:sz w:val="20"/>
                <w:szCs w:val="20"/>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Unamortized debt discount</w:t>
            </w: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1,942</w:t>
            </w:r>
          </w:p>
        </w:tc>
      </w:tr>
      <w:tr>
        <w:trPr>
          <w:trHeight w:val="234"/>
        </w:trPr>
        <w:tc>
          <w:tcPr>
            <w:tcW w:w="47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Fair value of conversion feature</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2,380</w:t>
            </w:r>
          </w:p>
        </w:tc>
      </w:tr>
      <w:tr>
        <w:trPr>
          <w:trHeight w:val="39"/>
        </w:trPr>
        <w:tc>
          <w:tcPr>
            <w:tcW w:w="472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w:t>
            </w:r>
          </w:p>
        </w:tc>
        <w:tc>
          <w:tcPr>
            <w:tcW w:w="2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r>
      <w:tr>
        <w:trPr>
          <w:trHeight w:val="361"/>
        </w:trPr>
        <w:tc>
          <w:tcPr>
            <w:tcW w:w="3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3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5"/>
        </w:trPr>
        <w:tc>
          <w:tcPr>
            <w:tcW w:w="4720" w:type="dxa"/>
            <w:vAlign w:val="bottom"/>
            <w:gridSpan w:val="2"/>
          </w:tcPr>
          <w:p>
            <w:pPr>
              <w:spacing w:after="0"/>
              <w:rPr>
                <w:sz w:val="3"/>
                <w:szCs w:val="3"/>
                <w:color w:val="auto"/>
              </w:rPr>
            </w:pPr>
          </w:p>
        </w:tc>
        <w:tc>
          <w:tcPr>
            <w:tcW w:w="6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3"/>
        </w:trPr>
        <w:tc>
          <w:tcPr>
            <w:tcW w:w="380" w:type="dxa"/>
            <w:vAlign w:val="bottom"/>
          </w:tcPr>
          <w:p>
            <w:pPr>
              <w:spacing w:after="0"/>
              <w:rPr>
                <w:sz w:val="20"/>
                <w:szCs w:val="20"/>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Remeasurement of conversion feature – gain/(loss)</w:t>
            </w:r>
          </w:p>
        </w:tc>
        <w:tc>
          <w:tcPr>
            <w:tcW w:w="6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377"/>
        </w:trPr>
        <w:tc>
          <w:tcPr>
            <w:tcW w:w="3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ind w:left="3340"/>
              <w:spacing w:after="0"/>
              <w:rPr>
                <w:sz w:val="20"/>
                <w:szCs w:val="20"/>
                <w:color w:val="auto"/>
              </w:rPr>
            </w:pPr>
            <w:r>
              <w:rPr>
                <w:rFonts w:ascii="Times New Roman" w:cs="Times New Roman" w:eastAsia="Times New Roman" w:hAnsi="Times New Roman"/>
                <w:sz w:val="17"/>
                <w:szCs w:val="17"/>
                <w:color w:val="auto"/>
              </w:rPr>
              <w:t>F-69</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00" w:name="page201"/>
    <w:bookmarkEnd w:id="20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NOTES AND NOTE PAYABLE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Accrued interest is included in accrued liabilities as of December 31, 2021, and other non-current liabilities as of December 31, 2020, on the consolidated balance sheets to reflect the classification of the SNAP June 2020 Note as short-term in nature on December 31, 2021 and long-term in nature as of December 31, 2020. The Company recorded the remeasurement of derivative liabilities in other expense, net on the consolidated statements of operations and comprehensive loss.</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SVB March 2021 Note</w:t>
      </w:r>
    </w:p>
    <w:p>
      <w:pPr>
        <w:spacing w:after="0" w:line="159"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March 2021, the Company entered into a loan and security agreement with a commercial bank to borrow $30,000 along with the issuance of warrants to purchase 127,570 shares of the Company’s common stock. The warrant’s allocated fair value was $2,316 at issuance. The SVB March 2021 Note also contains a final payment provision of $1,050.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is amortizing the discounts on an effective interest basis over the period from issuance through the Early Maturity Date (as defined below).</w:t>
      </w:r>
    </w:p>
    <w:p>
      <w:pPr>
        <w:spacing w:after="0" w:line="99"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loan bears interest at an annual rate equal to the greater of 9% or 5.75% above the Prime Rate. As of December 31, 2021, the interest rate was 9%. Payments are interest-only for the first twelve months and are fully amortizable thereafter. The Company recorded interest expense in the consolidated statements of operations and comprehensive loss for the year ended December 31, 2021 of $4,508, of which $233 remained unpaid as accrued interest.</w:t>
      </w:r>
    </w:p>
    <w:p>
      <w:pPr>
        <w:spacing w:after="0" w:line="10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term loan amortization date is April 1, 2022, with an opportunity for a six-month extension if certain performance milestones are met. The total amount of debt discount at issuance was $3,532. As of December 31, 2021, the unamortized debt discount totaled $1,086. The maturity date of the loan is April 26, 2022 (“Early Maturity Date”), with an opportunity for extension to September 2024 or March 2025 if certain performance milestones are met, including the conversion of the SNAP June 2020 Note. Accordingly, the Company has classified the entire note payable balance as short-term as of December 31, 2021.</w:t>
      </w:r>
    </w:p>
    <w:p>
      <w:pPr>
        <w:spacing w:after="0" w:line="3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SCI June 2021 Note</w:t>
      </w:r>
    </w:p>
    <w:p>
      <w:pPr>
        <w:spacing w:after="0" w:line="159"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June 2021, the Company entered into a loan and security agreement with a lender to obtain credit extensions to the Company. Extensions may be requested in $5,000 increments up to a total commitment amount of $15,000. The Company drew an initial $5,000 on June 14, 2021 and the remaining $10,000 on December 1, 2021. The SCI June 2021 Note also contains a final payment provision of 3.5% on each draw or $525 in total. Additionally, warrants were issued alongside the convertible note to purchase 63,785 shares of SoundHound’s common stock. The warrant’s allocated fair value was $1,527 at issuance. The Company recorded the final payment as an increase to the principal balance and debt discount for the entire payment amount upon each draw.</w:t>
      </w:r>
    </w:p>
    <w:p>
      <w:pPr>
        <w:spacing w:after="0" w:line="99"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As the warrants and discounts of $2,150 are directly attributable to the total commitment of $15,000, the Company has presented its unamortized debt issuance cost associated with this convertible note as a current asset, recorded as debt issuance cost on the consolidated balance sheets. The Company is amortizing the cost on a straight-line basis from the issuance date through the early maturity date of June 26, 2022. The Company recorded $1,018 in interest expense related to the debt discounts during the year ended December 31, 2021. As of December 31, 2021, the unamortized debt discount totaled $1,132.</w:t>
      </w:r>
    </w:p>
    <w:p>
      <w:pPr>
        <w:spacing w:after="0" w:line="110"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loan bears interest at an annual rate equal to the greater of 9% or 5.75% above the Prime Rate. As of December 31, 2021, the interest rate is 9%. Payments are interest-only for the first twelve months and are fully amortizing thereafter. The Company incurred and paid $329 in stated interest in the consolidated statements of operations and comprehensive loss for the year ended December 31, 2021.</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1" w:name="page202"/>
    <w:bookmarkEnd w:id="20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NOTES AND NOTE PAYABLE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loan amortization date is June 1, 2022, with an opportunity for a six-month extension if certain performance milestones are met. The maturity date of the loan is the earlier of May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 As of December 31, 2021, the Company has classified the SCI June 2021 Note as a current liability on its consolidated balance sheet.</w:t>
      </w:r>
    </w:p>
    <w:p>
      <w:pPr>
        <w:spacing w:after="0" w:line="3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below table summarizes the Company’s debt balances as of December 31, 2021 and 2020:</w:t>
      </w:r>
    </w:p>
    <w:p>
      <w:pPr>
        <w:spacing w:after="0" w:line="184"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60"/>
              <w:spacing w:after="0" w:line="172" w:lineRule="exact"/>
              <w:rPr>
                <w:sz w:val="20"/>
                <w:szCs w:val="20"/>
                <w:color w:val="auto"/>
              </w:rPr>
            </w:pPr>
            <w:r>
              <w:rPr>
                <w:rFonts w:ascii="Times New Roman" w:cs="Times New Roman" w:eastAsia="Times New Roman" w:hAnsi="Times New Roman"/>
                <w:sz w:val="16"/>
                <w:szCs w:val="16"/>
                <w:b w:val="1"/>
                <w:bCs w:val="1"/>
                <w:color w:val="auto"/>
                <w:w w:val="96"/>
              </w:rPr>
              <w:t>SVB</w:t>
            </w:r>
          </w:p>
        </w:tc>
        <w:tc>
          <w:tcPr>
            <w:tcW w:w="0" w:type="dxa"/>
            <w:vAlign w:val="bottom"/>
          </w:tcPr>
          <w:p>
            <w:pPr>
              <w:spacing w:after="0"/>
              <w:rPr>
                <w:sz w:val="1"/>
                <w:szCs w:val="1"/>
                <w:color w:val="auto"/>
              </w:rPr>
            </w:pPr>
          </w:p>
        </w:tc>
      </w:tr>
      <w:tr>
        <w:trPr>
          <w:trHeight w:val="195"/>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March 2021</w:t>
            </w:r>
          </w:p>
        </w:tc>
        <w:tc>
          <w:tcPr>
            <w:tcW w:w="0" w:type="dxa"/>
            <w:vAlign w:val="bottom"/>
          </w:tcPr>
          <w:p>
            <w:pPr>
              <w:spacing w:after="0"/>
              <w:rPr>
                <w:sz w:val="1"/>
                <w:szCs w:val="1"/>
                <w:color w:val="auto"/>
              </w:rPr>
            </w:pPr>
          </w:p>
        </w:tc>
      </w:tr>
      <w:tr>
        <w:trPr>
          <w:trHeight w:val="205"/>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Note</w:t>
            </w:r>
          </w:p>
        </w:tc>
        <w:tc>
          <w:tcPr>
            <w:tcW w:w="0" w:type="dxa"/>
            <w:vAlign w:val="bottom"/>
          </w:tcPr>
          <w:p>
            <w:pPr>
              <w:spacing w:after="0"/>
              <w:rPr>
                <w:sz w:val="1"/>
                <w:szCs w:val="1"/>
                <w:color w:val="auto"/>
              </w:rPr>
            </w:pPr>
          </w:p>
        </w:tc>
      </w:tr>
      <w:tr>
        <w:trPr>
          <w:trHeight w:val="45"/>
        </w:trPr>
        <w:tc>
          <w:tcPr>
            <w:tcW w:w="37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 payable, current portion</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31,050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(1,086)</w:t>
            </w:r>
          </w:p>
        </w:tc>
        <w:tc>
          <w:tcPr>
            <w:tcW w:w="0" w:type="dxa"/>
            <w:vAlign w:val="bottom"/>
          </w:tcPr>
          <w:p>
            <w:pPr>
              <w:spacing w:after="0"/>
              <w:rPr>
                <w:sz w:val="1"/>
                <w:szCs w:val="1"/>
                <w:color w:val="auto"/>
              </w:rPr>
            </w:pPr>
          </w:p>
        </w:tc>
      </w:tr>
      <w:tr>
        <w:trPr>
          <w:trHeight w:val="26"/>
        </w:trPr>
        <w:tc>
          <w:tcPr>
            <w:tcW w:w="3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Carrying value</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29,964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 2021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60"/>
              <w:spacing w:after="0" w:line="172" w:lineRule="exact"/>
              <w:rPr>
                <w:sz w:val="20"/>
                <w:szCs w:val="20"/>
                <w:color w:val="auto"/>
              </w:rPr>
            </w:pPr>
            <w:r>
              <w:rPr>
                <w:rFonts w:ascii="Times New Roman" w:cs="Times New Roman" w:eastAsia="Times New Roman" w:hAnsi="Times New Roman"/>
                <w:sz w:val="16"/>
                <w:szCs w:val="16"/>
                <w:b w:val="1"/>
                <w:bCs w:val="1"/>
                <w:color w:val="auto"/>
                <w:w w:val="95"/>
              </w:rPr>
              <w:t>SNAP</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97"/>
              <w:spacing w:after="0" w:line="172" w:lineRule="exact"/>
              <w:rPr>
                <w:sz w:val="20"/>
                <w:szCs w:val="20"/>
                <w:color w:val="auto"/>
              </w:rPr>
            </w:pPr>
            <w:r>
              <w:rPr>
                <w:rFonts w:ascii="Times New Roman" w:cs="Times New Roman" w:eastAsia="Times New Roman" w:hAnsi="Times New Roman"/>
                <w:sz w:val="16"/>
                <w:szCs w:val="16"/>
                <w:b w:val="1"/>
                <w:bCs w:val="1"/>
                <w:color w:val="auto"/>
                <w:w w:val="97"/>
              </w:rPr>
              <w:t>SCI</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June 2020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8"/>
              </w:rPr>
              <w:t>June 2021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3"/>
              </w:rPr>
              <w:t>Note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45"/>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notes, current portion</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30,525</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(657)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(657)</w:t>
            </w:r>
          </w:p>
        </w:tc>
        <w:tc>
          <w:tcPr>
            <w:tcW w:w="0" w:type="dxa"/>
            <w:vAlign w:val="bottom"/>
          </w:tcPr>
          <w:p>
            <w:pPr>
              <w:spacing w:after="0"/>
              <w:rPr>
                <w:sz w:val="1"/>
                <w:szCs w:val="1"/>
                <w:color w:val="auto"/>
              </w:rPr>
            </w:pPr>
          </w:p>
        </w:tc>
      </w:tr>
      <w:tr>
        <w:trPr>
          <w:trHeight w:val="26"/>
        </w:trPr>
        <w:tc>
          <w:tcPr>
            <w:tcW w:w="3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14,343</w:t>
            </w:r>
          </w:p>
        </w:tc>
        <w:tc>
          <w:tcPr>
            <w:tcW w:w="1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29,868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Unamortized debt issuance cost recorded as an asset</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60"/>
              <w:spacing w:after="0" w:line="172" w:lineRule="exact"/>
              <w:rPr>
                <w:sz w:val="20"/>
                <w:szCs w:val="20"/>
                <w:color w:val="auto"/>
              </w:rPr>
            </w:pPr>
            <w:r>
              <w:rPr>
                <w:rFonts w:ascii="Times New Roman" w:cs="Times New Roman" w:eastAsia="Times New Roman" w:hAnsi="Times New Roman"/>
                <w:sz w:val="16"/>
                <w:szCs w:val="16"/>
                <w:b w:val="1"/>
                <w:bCs w:val="1"/>
                <w:color w:val="auto"/>
              </w:rPr>
              <w:t>SNAP</w:t>
            </w:r>
          </w:p>
        </w:tc>
        <w:tc>
          <w:tcPr>
            <w:tcW w:w="0" w:type="dxa"/>
            <w:vAlign w:val="bottom"/>
          </w:tcPr>
          <w:p>
            <w:pPr>
              <w:spacing w:after="0"/>
              <w:rPr>
                <w:sz w:val="1"/>
                <w:szCs w:val="1"/>
                <w:color w:val="auto"/>
              </w:rPr>
            </w:pPr>
          </w:p>
        </w:tc>
      </w:tr>
      <w:tr>
        <w:trPr>
          <w:trHeight w:val="195"/>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June 2020</w:t>
            </w:r>
          </w:p>
        </w:tc>
        <w:tc>
          <w:tcPr>
            <w:tcW w:w="0" w:type="dxa"/>
            <w:vAlign w:val="bottom"/>
          </w:tcPr>
          <w:p>
            <w:pPr>
              <w:spacing w:after="0"/>
              <w:rPr>
                <w:sz w:val="1"/>
                <w:szCs w:val="1"/>
                <w:color w:val="auto"/>
              </w:rPr>
            </w:pPr>
          </w:p>
        </w:tc>
      </w:tr>
      <w:tr>
        <w:trPr>
          <w:trHeight w:val="205"/>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Note</w:t>
            </w:r>
          </w:p>
        </w:tc>
        <w:tc>
          <w:tcPr>
            <w:tcW w:w="0" w:type="dxa"/>
            <w:vAlign w:val="bottom"/>
          </w:tcPr>
          <w:p>
            <w:pPr>
              <w:spacing w:after="0"/>
              <w:rPr>
                <w:sz w:val="1"/>
                <w:szCs w:val="1"/>
                <w:color w:val="auto"/>
              </w:rPr>
            </w:pPr>
          </w:p>
        </w:tc>
      </w:tr>
      <w:tr>
        <w:trPr>
          <w:trHeight w:val="45"/>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notes, net of current portion</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(1,942)</w:t>
            </w:r>
          </w:p>
        </w:tc>
        <w:tc>
          <w:tcPr>
            <w:tcW w:w="0" w:type="dxa"/>
            <w:vAlign w:val="bottom"/>
          </w:tcPr>
          <w:p>
            <w:pPr>
              <w:spacing w:after="0"/>
              <w:rPr>
                <w:sz w:val="1"/>
                <w:szCs w:val="1"/>
                <w:color w:val="auto"/>
              </w:rPr>
            </w:pPr>
          </w:p>
        </w:tc>
      </w:tr>
      <w:tr>
        <w:trPr>
          <w:trHeight w:val="26"/>
        </w:trPr>
        <w:tc>
          <w:tcPr>
            <w:tcW w:w="3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Carrying value</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Additionally, interest expense on the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2" w:name="page203"/>
    <w:bookmarkEnd w:id="20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14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tables present the fair value of the Company’s financial instruments that are measured or disclosed at fair value on a recurring basis:</w:t>
      </w:r>
    </w:p>
    <w:p>
      <w:pPr>
        <w:spacing w:after="0" w:line="123"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p>
      <w:pPr>
        <w:spacing w:after="0" w:line="2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35560</wp:posOffset>
            </wp:positionV>
            <wp:extent cx="22853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285365" cy="8255"/>
                    </a:xfrm>
                    <a:prstGeom prst="rect">
                      <a:avLst/>
                    </a:prstGeom>
                    <a:noFill/>
                  </pic:spPr>
                </pic:pic>
              </a:graphicData>
            </a:graphic>
          </wp:anchor>
        </w:drawing>
      </w:r>
    </w:p>
    <w:p>
      <w:pPr>
        <w:spacing w:after="0" w:line="72"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8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45"/>
        </w:trPr>
        <w:tc>
          <w:tcPr>
            <w:tcW w:w="264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equivalents</w:t>
            </w:r>
          </w:p>
        </w:tc>
        <w:tc>
          <w:tcPr>
            <w:tcW w:w="136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4,863</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Derivative liability</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Warrant liability</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3"/>
        </w:trPr>
        <w:tc>
          <w:tcPr>
            <w:tcW w:w="264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4,863</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p>
      <w:pPr>
        <w:spacing w:after="0" w:line="21"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6"/>
          <w:szCs w:val="16"/>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35560</wp:posOffset>
            </wp:positionV>
            <wp:extent cx="230187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301875" cy="8255"/>
                    </a:xfrm>
                    <a:prstGeom prst="rect">
                      <a:avLst/>
                    </a:prstGeom>
                    <a:noFill/>
                  </pic:spPr>
                </pic:pic>
              </a:graphicData>
            </a:graphic>
          </wp:anchor>
        </w:drawing>
      </w:r>
    </w:p>
    <w:p>
      <w:pPr>
        <w:spacing w:after="0" w:line="72"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45"/>
        </w:trPr>
        <w:tc>
          <w:tcPr>
            <w:tcW w:w="262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equivalents</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35,856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Derivative liability</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(2,380)</w:t>
            </w:r>
          </w:p>
        </w:tc>
        <w:tc>
          <w:tcPr>
            <w:tcW w:w="0" w:type="dxa"/>
            <w:vAlign w:val="bottom"/>
          </w:tcPr>
          <w:p>
            <w:pPr>
              <w:spacing w:after="0"/>
              <w:rPr>
                <w:sz w:val="1"/>
                <w:szCs w:val="1"/>
                <w:color w:val="auto"/>
              </w:rPr>
            </w:pPr>
          </w:p>
        </w:tc>
      </w:tr>
      <w:tr>
        <w:trPr>
          <w:trHeight w:val="39"/>
        </w:trPr>
        <w:tc>
          <w:tcPr>
            <w:tcW w:w="2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Warrant liability</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3"/>
        </w:trPr>
        <w:tc>
          <w:tcPr>
            <w:tcW w:w="2620" w:type="dxa"/>
            <w:vAlign w:val="bottom"/>
            <w:vMerge w:val="continue"/>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35,856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(4,384</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fair values of the warrants were determined based on significant inputs not observable in the market, which represent Level 3 measurements within the fair value hierarchy.</w:t>
      </w:r>
    </w:p>
    <w:p>
      <w:pPr>
        <w:spacing w:after="0" w:line="81"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order to determine the fair value of the warrants, the Company utilized a Black-Scholes option-pricing model. Estimates and assumptions impacting the fair value measurement include the fair value of the underlying shares, the remaining contractual or expected term of the warrants, risk-free interest rate, expected dividend yield and expected volatility of the price of the underlying stock on an as-converted basis.</w:t>
      </w:r>
    </w:p>
    <w:p>
      <w:pPr>
        <w:spacing w:after="0" w:line="10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considered the probability of a deemed liquidation event in determining the remaining expected term of the warrants, which was used as an input to the model. The Company lacks Company-specific historical and implied volatility information of its stock since there is currently no market. Therefore, it estimated its expected stock volatility based on the historical volatility of publicly traded guideline companies for a term equal to the remaining contractual or expected term of the warrants. The risk-free interest rate was determined by reference to the U.S. Treasury yield curve for time periods approximately equal to the remaining contractual or expected term of the warrants. The Company estimated no expected dividend yield based on the fact that the Company has never paid or declared dividends and does not intend to do so in the foreseeable future.</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Series B Warrants (September 2010 and March 2011)</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revalued its Series B Warrants as of its exercise date in November 2020, resulting in an increase in fair value of approximately $269, which was recorded as a component of other expense, net, in the accompanying consolidated statements of operations and comprehensive loss, with a corresponding increase to the warrant liability on the consolidated balance sheets.</w:t>
      </w:r>
    </w:p>
    <w:p>
      <w:pPr>
        <w:spacing w:after="0" w:line="105"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determined the fair value per share of the underlying Series B Preferred Stock by taking into consideration the most recent sales of its Preferred Stock, results obtained from third party valuations and additional factors that are deemed relevant. As a private company, specific historical and implied volatility information of its stock is not available. Therefore, the Company estimates its expected stock price volatility based on the historical volatility of publicly traded peer companies for a term equal to the expected term of</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3" w:name="page204"/>
    <w:bookmarkEnd w:id="20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Series B Warrants. This risk-free interest rate is determined by reference to the U.S. Treasury yield curve for time periods approximately equal to the expected term of the Series B Warrants. The Company estimated a 0% expected dividend yield based on the fact that the Company has never paid or declared dividends and does not intend to do so in the foreseeable future. In November 2020, the Series B Warrants were exercised in full resulting in the issuance of 101,574 Series B Preferred Stock at $1.97 per share in exchange for $200 and a decrease in the corresponding warrant liability of $1,931 representing its intrinsic value on the date of exercise. Therefore, the warrants were not subsequently revalued as of December 31, 2021 or 2020.</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Series C Warrants (April 2013 and November 2013)</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revalued its Series C Warrants as of December 31, 2020 resulting in an increase in fair value of approximately $318, which was recorded as a component of other expense, net, in the accompanying consolidated statements of operations and comprehensive loss, with a corresponding increase to the warrant liability on the consolidated balance sheet.</w:t>
      </w:r>
    </w:p>
    <w:p>
      <w:pPr>
        <w:spacing w:after="0" w:line="9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December 2021, Series C Warrants were fully exercised. Immediately prior to their exercise, the Company revalued the warrants to their intrinsic value, resulting in a change in fair value of $3,812. This change in fair value was recorded as a component of other expense, net, in the accompanying consolidated statements of operations and comprehensive loss. The warrants were recorded as Series C Preferred Stock at their fair value of $5,816 upon net share settlement.</w:t>
      </w:r>
    </w:p>
    <w:p>
      <w:pPr>
        <w:spacing w:after="0" w:line="107" w:lineRule="exact"/>
        <w:rPr>
          <w:sz w:val="20"/>
          <w:szCs w:val="20"/>
          <w:color w:val="auto"/>
        </w:rPr>
      </w:pPr>
    </w:p>
    <w:p>
      <w:pPr>
        <w:jc w:val="both"/>
        <w:ind w:left="1020" w:right="639"/>
        <w:spacing w:after="0" w:line="293" w:lineRule="auto"/>
        <w:rPr>
          <w:sz w:val="20"/>
          <w:szCs w:val="20"/>
          <w:color w:val="auto"/>
        </w:rPr>
      </w:pPr>
      <w:r>
        <w:rPr>
          <w:rFonts w:ascii="Times New Roman" w:cs="Times New Roman" w:eastAsia="Times New Roman" w:hAnsi="Times New Roman"/>
          <w:sz w:val="17"/>
          <w:szCs w:val="17"/>
          <w:color w:val="auto"/>
        </w:rPr>
        <w:t>The aggregate fair value of the Series C Warrants as of December 31, 2021 and 2020 was approximately $0 and $2,004, respectively.</w:t>
      </w:r>
    </w:p>
    <w:p>
      <w:pPr>
        <w:spacing w:after="0" w:line="81"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 determined the fair value of the April 2013 Series C Warrants using the Black-Scholes option-pricing model using the following assumptions:</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220" w:type="dxa"/>
            <w:vAlign w:val="bottom"/>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5"/>
        </w:trPr>
        <w:tc>
          <w:tcPr>
            <w:tcW w:w="6180" w:type="dxa"/>
            <w:vAlign w:val="bottom"/>
          </w:tcPr>
          <w:p>
            <w:pPr>
              <w:spacing w:after="0"/>
              <w:rPr>
                <w:sz w:val="17"/>
                <w:szCs w:val="17"/>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61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r>
      <w:tr>
        <w:trPr>
          <w:trHeight w:val="39"/>
        </w:trPr>
        <w:tc>
          <w:tcPr>
            <w:tcW w:w="61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2.16</w:t>
            </w:r>
          </w:p>
        </w:tc>
      </w:tr>
    </w:tbl>
    <w:p>
      <w:pPr>
        <w:spacing w:after="0" w:line="189"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 determined the fair value of the November 2013 Series C Warrants using the Black-Scholes option-pricing model and the following assumptions:</w:t>
      </w:r>
    </w:p>
    <w:p>
      <w:pPr>
        <w:spacing w:after="0" w:line="123"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220" w:type="dxa"/>
            <w:vAlign w:val="bottom"/>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5"/>
        </w:trPr>
        <w:tc>
          <w:tcPr>
            <w:tcW w:w="6180" w:type="dxa"/>
            <w:vAlign w:val="bottom"/>
          </w:tcPr>
          <w:p>
            <w:pPr>
              <w:spacing w:after="0"/>
              <w:rPr>
                <w:sz w:val="17"/>
                <w:szCs w:val="17"/>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61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0.16%</w:t>
            </w:r>
          </w:p>
        </w:tc>
      </w:tr>
      <w:tr>
        <w:trPr>
          <w:trHeight w:val="39"/>
        </w:trPr>
        <w:tc>
          <w:tcPr>
            <w:tcW w:w="61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2.87</w:t>
            </w:r>
          </w:p>
        </w:tc>
      </w:tr>
    </w:tbl>
    <w:p>
      <w:pPr>
        <w:spacing w:after="0" w:line="2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Common Stock Warrants (SVB March 2021 Note and SCI June 2021 Note)</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issued common stock warrants in connection with the SVB March 2021 Note and SCI June 2021 Note (See Note 8 for additional information). The SVB March 2021 Note and SCI June 2021 Note warrants were recorded based on the allocation of its relative fair of the debt proceeds of $2,316 and $1,527, respectively. The warrants were classified as equity instruments at inception with a corresponding discount recorded at issuance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4" w:name="page205"/>
    <w:bookmarkEnd w:id="20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As of December 31, 2021, none of these warrants have been exercised. The SVB March 2021 Note warrants expire in March 2031 and the SCI June 2021 Note warrants expire in June 2031.</w:t>
      </w:r>
    </w:p>
    <w:p>
      <w:pPr>
        <w:spacing w:after="0" w:line="110"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determined the fair value of the SVB March 2021 Note and SCI June 2021 Note common stock warrants at issuance using the Black-Scholes option-pricing model using the following assumptions, respectively:</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SVB March 2021 Note Common Stock Warrants</w:t>
            </w: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5"/>
        </w:trPr>
        <w:tc>
          <w:tcPr>
            <w:tcW w:w="60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r>
      <w:tr>
        <w:trPr>
          <w:trHeight w:val="233"/>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39"/>
        </w:trPr>
        <w:tc>
          <w:tcPr>
            <w:tcW w:w="6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3"/>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32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10.00</w:t>
            </w:r>
          </w:p>
        </w:tc>
      </w:tr>
      <w:tr>
        <w:trPr>
          <w:trHeight w:val="436"/>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SCI June 2021 Note Common Stock Warrants</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
        </w:trPr>
        <w:tc>
          <w:tcPr>
            <w:tcW w:w="6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r>
      <w:tr>
        <w:trPr>
          <w:trHeight w:val="233"/>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39"/>
        </w:trPr>
        <w:tc>
          <w:tcPr>
            <w:tcW w:w="6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3"/>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32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10.00</w:t>
            </w:r>
          </w:p>
        </w:tc>
      </w:tr>
    </w:tbl>
    <w:p>
      <w:pPr>
        <w:spacing w:after="0" w:line="2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Derivative Liability (SNAP June 2020 Note)</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Derivatives was determined as the differential value from the perspective of the With and Without Method. The Company utilized the following assumptions at the valuation date:</w:t>
      </w:r>
    </w:p>
    <w:p>
      <w:pPr>
        <w:spacing w:after="0" w:line="138"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20" w:type="dxa"/>
            <w:vAlign w:val="bottom"/>
            <w:gridSpan w:val="2"/>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96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9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Next Equity Financing</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Probability of SPAC/PIPE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49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vMerge w:val="continue"/>
          </w:tcPr>
          <w:p>
            <w:pPr>
              <w:spacing w:after="0"/>
              <w:rPr>
                <w:sz w:val="23"/>
                <w:szCs w:val="23"/>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IPO</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8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1"/>
                <w:szCs w:val="21"/>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term (years)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5" w:name="page206"/>
    <w:bookmarkEnd w:id="20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 sets forth a summary of changes in fair value of the Company’s derivative liability and warrant liability for which fair value was determined by Level 3 inputs:</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3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05"/>
        </w:trPr>
        <w:tc>
          <w:tcPr>
            <w:tcW w:w="3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5"/>
        </w:trPr>
        <w:tc>
          <w:tcPr>
            <w:tcW w:w="382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33"/>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January 1, 2020</w:t>
            </w: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3,348</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Initial fair value of derivative liability</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3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3"/>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Extinguishment of derivative liability</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(5,360)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Exercise of warrants</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(1,931)</w:t>
            </w:r>
          </w:p>
        </w:tc>
      </w:tr>
      <w:tr>
        <w:trPr>
          <w:trHeight w:val="39"/>
        </w:trPr>
        <w:tc>
          <w:tcPr>
            <w:tcW w:w="3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3"/>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1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19"/>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Balance as of December 31, 2020</w:t>
            </w:r>
          </w:p>
        </w:tc>
        <w:tc>
          <w:tcPr>
            <w:tcW w:w="1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120" w:type="dxa"/>
            <w:vAlign w:val="bottom"/>
          </w:tcPr>
          <w:p>
            <w:pPr>
              <w:spacing w:after="0"/>
              <w:rPr>
                <w:sz w:val="19"/>
                <w:szCs w:val="19"/>
                <w:color w:val="auto"/>
              </w:rPr>
            </w:pPr>
          </w:p>
        </w:tc>
      </w:tr>
      <w:tr>
        <w:trPr>
          <w:trHeight w:val="34"/>
        </w:trPr>
        <w:tc>
          <w:tcPr>
            <w:tcW w:w="3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3"/>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3,812</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7"/>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Exercise of warrants</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(5,816)</w:t>
            </w:r>
          </w:p>
        </w:tc>
      </w:tr>
      <w:tr>
        <w:trPr>
          <w:trHeight w:val="26"/>
        </w:trPr>
        <w:tc>
          <w:tcPr>
            <w:tcW w:w="38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There were no transfers of financial instruments between the three levels of the fair value hierarchy for the years ended December 31, 2021 and 2020. The Company had no other financial assets or liabilities that were required to be measured at fair value on a recurring basis.</w:t>
      </w:r>
    </w:p>
    <w:p>
      <w:pPr>
        <w:spacing w:after="0" w:line="16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PREFERRED STOCK</w:t>
      </w:r>
    </w:p>
    <w:p>
      <w:pPr>
        <w:spacing w:after="0" w:line="14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A summary of the Preferred Stock authorized, issued and outstanding as of December 31, 2021 is as follows</w:t>
      </w:r>
      <w:r>
        <w:rPr>
          <w:rFonts w:ascii="Times New Roman" w:cs="Times New Roman" w:eastAsia="Times New Roman" w:hAnsi="Times New Roman"/>
          <w:sz w:val="17"/>
          <w:szCs w:val="17"/>
          <w:i w:val="1"/>
          <w:iCs w:val="1"/>
          <w:color w:val="auto"/>
        </w:rPr>
        <w:t>:</w:t>
      </w:r>
    </w:p>
    <w:p>
      <w:pPr>
        <w:spacing w:after="0" w:line="123"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12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8"/>
              </w:rPr>
              <w:t>Liquidation</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05"/>
        </w:trPr>
        <w:tc>
          <w:tcPr>
            <w:tcW w:w="262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Authorized</w:t>
            </w:r>
          </w:p>
        </w:tc>
        <w:tc>
          <w:tcPr>
            <w:tcW w:w="112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45"/>
        </w:trPr>
        <w:tc>
          <w:tcPr>
            <w:tcW w:w="26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3,438,670</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3,438,670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4,967</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Series B</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6,065,646</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6,065,646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11,038</w:t>
            </w:r>
          </w:p>
        </w:tc>
      </w:tr>
      <w:tr>
        <w:trPr>
          <w:trHeight w:val="39"/>
        </w:trPr>
        <w:tc>
          <w:tcPr>
            <w:tcW w:w="2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1,041,607</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1,023,631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11,837</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Series C-1</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798,399</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798,399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16,072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16,061</w:t>
            </w:r>
          </w:p>
        </w:tc>
      </w:tr>
      <w:tr>
        <w:trPr>
          <w:trHeight w:val="39"/>
        </w:trPr>
        <w:tc>
          <w:tcPr>
            <w:tcW w:w="2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3,646,050</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3,646,050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85,648</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Series D-1</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1,515,152</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1,515,152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49,957</w:t>
            </w:r>
          </w:p>
        </w:tc>
      </w:tr>
      <w:tr>
        <w:trPr>
          <w:trHeight w:val="39"/>
        </w:trPr>
        <w:tc>
          <w:tcPr>
            <w:tcW w:w="2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D-2</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1,515,151</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1,515,151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49,949</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Series D-3</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3,750,000</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1,245,838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49,834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50,046</w:t>
            </w:r>
          </w:p>
        </w:tc>
      </w:tr>
      <w:tr>
        <w:trPr>
          <w:trHeight w:val="39"/>
        </w:trPr>
        <w:tc>
          <w:tcPr>
            <w:tcW w:w="2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D-3A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4,545,454</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2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33"/>
        </w:trPr>
        <w:tc>
          <w:tcPr>
            <w:tcW w:w="26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26,316,129</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19,248,537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284,826</w:t>
            </w:r>
          </w:p>
        </w:tc>
        <w:tc>
          <w:tcPr>
            <w:tcW w:w="100" w:type="dxa"/>
            <w:vAlign w:val="bottom"/>
          </w:tcPr>
          <w:p>
            <w:pPr>
              <w:spacing w:after="0"/>
              <w:rPr>
                <w:sz w:val="20"/>
                <w:szCs w:val="20"/>
                <w:color w:val="auto"/>
              </w:rPr>
            </w:pPr>
          </w:p>
        </w:tc>
        <w:tc>
          <w:tcPr>
            <w:tcW w:w="180" w:type="dxa"/>
            <w:vAlign w:val="bottom"/>
            <w:gridSpan w:val="2"/>
          </w:tcPr>
          <w:p>
            <w:pPr>
              <w:jc w:val="right"/>
              <w:ind w:right="4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279,503</w:t>
            </w:r>
          </w:p>
        </w:tc>
      </w:tr>
      <w:tr>
        <w:trPr>
          <w:trHeight w:val="20"/>
        </w:trPr>
        <w:tc>
          <w:tcPr>
            <w:tcW w:w="26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August 2020, the Company issued 454,545 shares of Series D-3A Preferred Stock at $33.00 per share for net cash proceeds of $15,000. Collectively, with the conversion of the May Note, the Company received total proceeds of approximately $40,300. This issuance met the condition of the May Note Qualified Financing. As a result, the May Note converted into 766,293 shares of Series D-3A Preferred Stock (Note 8).</w:t>
      </w:r>
    </w:p>
    <w:p>
      <w:pPr>
        <w:spacing w:after="0" w:line="10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In September 2020, the Company entered into a stock exchange agreement (“Exchange Agreement”) with the holders of Series D-3A Preferred Stock (the “D-3A Investors”) pursuant to which the D-3A investors exchanged all 1,220,838 shares of Series D-3A Preferred Stock for an equivalent number of shares of Series D-3 Preferred Stock. In connection with the Exchange Agreement, due to the difference in the fair value of Series D-3A and Series D-3 Preferred Stock, the Company recognized a deemed dividend of $3,182 during the year ended December 31, 2020.</w:t>
      </w:r>
    </w:p>
    <w:p>
      <w:pPr>
        <w:spacing w:after="0" w:line="9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In November 2020, the Company issued 25,000 shares of Series D-3 Preferred Stock for net cash proceeds of approximately $1,000.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6" w:name="page207"/>
    <w:bookmarkEnd w:id="20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PREFERRED STOCK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In November 2020, the Series B Warrants were exercised in full resulting in the issuance of 101,574 shares of Series B Preferred Stock at $1.97 per share for net cash proceeds of approximately $200.</w:t>
      </w:r>
    </w:p>
    <w:p>
      <w:pPr>
        <w:spacing w:after="0" w:line="81"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In December 2021, all outstanding 134,126 shares of Series C Warrants issued with April 2013 Note and November 2013 Note were net share settled, resulting in the issuance of 116,150 Series C Preferred Stock. Refer to Note 7 — Warrants for additional detail. As a result of the exercise, $5,816 was recorded in Preferred Stock.</w:t>
      </w:r>
    </w:p>
    <w:p>
      <w:pPr>
        <w:spacing w:after="0" w:line="9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holders of the Company’s Series A, Series B, Series C, Series C-1, Series D, Series D-1, Series D-2, Series D-3 and Series D-3A Preferred Stock (collectively, “Preferred Stock”) have the following rights, preferences and privileges:</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Dividends</w:t>
      </w:r>
    </w:p>
    <w:p>
      <w:pPr>
        <w:spacing w:after="0" w:line="155"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holders of shares of Series A, Series B, Series C, Series C-1, Series D, Series D-1, Series D-3 and Series D-3A Preferred Stock are entitled to receive dividends (“Senior Preferred Dividends”), on a pari passu basis, prior and in preference to any declaration or payment of any dividend on the common stock of the Company, at the rate of $0.11824, $0.15752, $0.5368, $1.6104, $2.08504, $2.64, $3.20 and $2.64 per share, respectively, per annum, on each outstanding share, adjusted for certain events, such as stock splits, stock dividends, reclassification and the like, payable quarterly when, as and if declared by the Board of Directors (“Board”) of the Company.</w:t>
      </w:r>
    </w:p>
    <w:p>
      <w:pPr>
        <w:spacing w:after="0" w:line="110"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After the payment or setting aside of payment of the Senior Preferred Dividends, the holders of shares of Series D-2 Preferred Stock are entitled to receive dividends (“Junior Preferred Dividends”), prior and in preference to any declaration or payment of any dividend (other than dividends on common stock payable in common stock) on the common stock of the Company, at the rate of $2.64 per share, per annum, on each outstanding share, adjusted for certain events, such as stock splits, stock dividends, reclassification and the like, payable quarterly when, as and if declared by the Board. Such dividends shall not be cumulative.</w:t>
      </w:r>
    </w:p>
    <w:p>
      <w:pPr>
        <w:spacing w:after="0" w:line="305"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After the payment or setting aside for payment of the Senior Preferred Dividends and the Junior Preferred Dividends, any additional dividends declared or paid in any fiscal year shall be distributed among the holders of Preferred Stock and common stock then outstanding pro rata based on the number of shares of common stock then held by each holder (assuming conversion of all such Preferred Stock into common stock at the then-effective conversion price as defined in the amended and restated certificate of incorporation). No dividends have been declared during the years ended December 31, 2021, and December 31, 2020.</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Conversion</w:t>
      </w:r>
    </w:p>
    <w:p>
      <w:pPr>
        <w:spacing w:after="0" w:line="155"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Each share of outstanding Preferred Stock is convertible, at the option of the holder thereof, at any time after the date of issuance of such share, into such number of fully-paid, non-assessable shares of common stock at a 1:1 ratio, subject to adjustment for certain dilutive issuance, splits and combinations as defined in the amended and restated certificate of incorporation.</w:t>
      </w:r>
    </w:p>
    <w:p>
      <w:pPr>
        <w:spacing w:after="0" w:line="10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Each share of outstanding Preferred Stock will automatically be converted into fully-paid, non-assessable shares of common stock upon the earlier of: (i) the Company’s sale of its common stock in a firm commitment underwritten public offering pursuant to a registration statement under the Securities Act of 1933, as amended, with a price per share of at least $40.00 (as adjusted for stock splits, stock dividends, reclassification and the like), which results in aggregate cash proceeds of at least $50,000, or</w:t>
      </w:r>
    </w:p>
    <w:p>
      <w:pPr>
        <w:spacing w:after="0" w:line="3" w:lineRule="exact"/>
        <w:rPr>
          <w:sz w:val="20"/>
          <w:szCs w:val="20"/>
          <w:color w:val="auto"/>
        </w:rPr>
      </w:pPr>
    </w:p>
    <w:p>
      <w:pPr>
        <w:ind w:left="1020" w:right="619" w:firstLine="2"/>
        <w:spacing w:after="0" w:line="270" w:lineRule="auto"/>
        <w:tabs>
          <w:tab w:leader="none" w:pos="1278"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specified by written consent or agreement of the holders of a majority of the then outstanding shares of Preferred Stock, voting together as a single class on an as-converted to common stock basis.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7" w:name="page208"/>
    <w:bookmarkEnd w:id="20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PREFERRED STOCK </w:t>
      </w:r>
      <w:r>
        <w:rPr>
          <w:rFonts w:ascii="Times New Roman" w:cs="Times New Roman" w:eastAsia="Times New Roman" w:hAnsi="Times New Roman"/>
          <w:sz w:val="17"/>
          <w:szCs w:val="17"/>
          <w:color w:val="auto"/>
        </w:rPr>
        <w:t>(cont.)</w:t>
      </w:r>
    </w:p>
    <w:p>
      <w:pPr>
        <w:spacing w:after="0" w:line="2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Liquidation Preference</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 up of the Company:</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D, D-1, D-3 and D-3A Preference</w:t>
      </w:r>
    </w:p>
    <w:p>
      <w:pPr>
        <w:spacing w:after="0" w:line="155"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holders of the Series D, Series D-1, Series D-3 and Series D-3A Preferred Stock will be entitled, on a pari passu basis, to receive, prior and in preference to any distribution of any of the assets of the Company to the holders of Series D-2, Series C-1, Series C, Series B, Series A Preferred Stock or common stock by reason of their ownership thereof, an amount per share equal to the greater of (i) $26.063, $33.00, $40.00 and $33.00 per share, respectively, adjustable for certain events, such as stock splits, stock dividends, reclassification and the like, for each share Preferred Stock then held by them, plus all declared but unpaid dividends, or (ii) such amount per share as would have been payable had all shares of Series D, Series D-1, Series D-3 and Series D-3A Preferred Stock, as applicable, been converted into common stock immediately prior to such liquidation, dissolution or winding up. If, in the event the assets and funds thus distributed among the holders of the Series D, Series D-1, Series D-3 and Series D-3A Preferred Stock are insufficient to permit the payment to such holders of the full aforesaid preferential amounts, the entire assets and funds of the Company legally available for distribution will be distributed ratably among the holders of the Series D, Series D-1, Series D-3 and Series D-3A Preferred Stock in proportion to the preferential amount each such holder is otherwise entitled to receive.</w:t>
      </w:r>
    </w:p>
    <w:p>
      <w:pPr>
        <w:spacing w:after="0" w:line="1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D-2 Preference</w:t>
      </w:r>
    </w:p>
    <w:p>
      <w:pPr>
        <w:spacing w:after="0" w:line="155"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holders of the Series D-2 Preferred Stock will be entitled to receive, prior and in preference to any distribution of any of the assets of the Company to the holders of Series C-1, Series C, Series B, Series A Preferred Stock or common stock by reason of their ownership thereof, an amount per share equal to the greater of (i) $33.00 per share, adjustable for certain events, such as stock splits, stock dividends, reclassification and the like, for each share of Series D-2 Preferred Stock then held by them, plus all declared but unpaid dividends, or (ii) such amount per share as would have been payable had all shares of Series D-2 Preferred Stock been converted into common stock immediately prior to such liquidation, dissolution or winding up. If, in the event the assets and funds thus distributed among the holders of the Series D-2 Preferred Stock are insufficient to permit the payment to such holders of the full aforesaid preferential amounts, the entire assets and funds of the Company legally available for distribution shall be distributed ratably among the holders of the Series D-2 Preferred Stock in proportion to the preferential amount each such holder is otherwise entitled to receive.</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C-1 Preference</w:t>
      </w:r>
    </w:p>
    <w:p>
      <w:pPr>
        <w:spacing w:after="0" w:line="142"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holders of the Series C-1 Preferred Stock are entitled to receive, prior and in preference to any distribution of any of the assets of the Company to the holders of Series C, Series B, Series A Preferred Stock or common stock by reason of their ownership thereof, an amount per share equal to the greater of</w:t>
      </w:r>
    </w:p>
    <w:p>
      <w:pPr>
        <w:spacing w:after="0" w:line="2" w:lineRule="exact"/>
        <w:rPr>
          <w:sz w:val="20"/>
          <w:szCs w:val="20"/>
          <w:color w:val="auto"/>
        </w:rPr>
      </w:pPr>
    </w:p>
    <w:p>
      <w:pPr>
        <w:jc w:val="both"/>
        <w:ind w:left="1020" w:right="619" w:firstLine="2"/>
        <w:spacing w:after="0" w:line="257" w:lineRule="auto"/>
        <w:tabs>
          <w:tab w:leader="none" w:pos="1246"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$20.13 per share, adjustable for certain events, such as stock splits, stock dividends, reclassification and the like, for each share of Series C-1 Preferred Stock then held by them, plus all declared but unpaid dividends, or (ii) such amount per share as would have been payable had all shares of Series C-1 Preferred Stock been converted into common stock immediately prior to such liquidation, dissolution or winding up. If, in the event the assets and funds thus distributed among the holders of the Series C-1 Preferred Stock are insufficient to permit the payment to such holders of the full aforesaid preferential amounts, the entire assets and funds of the Company legally available for distribution shall be distributed ratably among the holders of the Series C-1 Preferred Stock in proportion to the preferential amount each such holder is otherwise entitled to receive.</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8" w:name="page209"/>
    <w:bookmarkEnd w:id="20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PREFERRED STOCK </w:t>
      </w:r>
      <w:r>
        <w:rPr>
          <w:rFonts w:ascii="Times New Roman" w:cs="Times New Roman" w:eastAsia="Times New Roman" w:hAnsi="Times New Roman"/>
          <w:sz w:val="17"/>
          <w:szCs w:val="17"/>
          <w:color w:val="auto"/>
        </w:rPr>
        <w:t>(cont.)</w:t>
      </w:r>
    </w:p>
    <w:p>
      <w:pPr>
        <w:spacing w:after="0" w:line="2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C Preference</w:t>
      </w:r>
    </w:p>
    <w:p>
      <w:pPr>
        <w:spacing w:after="0" w:line="14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holders of the Series C Preferred Stock are entitled to receive, prior and in preference to any distribution of any of the assets of the Company to the holders of Series B, Series A Preferred Stock or common stock by reason of their ownership thereof, an amount per share equal to the greater of (i) $6.71 per share, adjustable for certain events, such as stock splits, stock dividends, reclassification and the like, for each share of Series C Preferred Stock then held by them, plus all declared but unpaid dividends, or</w:t>
      </w:r>
    </w:p>
    <w:p>
      <w:pPr>
        <w:spacing w:after="0" w:line="3" w:lineRule="exact"/>
        <w:rPr>
          <w:sz w:val="20"/>
          <w:szCs w:val="20"/>
          <w:color w:val="auto"/>
        </w:rPr>
      </w:pPr>
    </w:p>
    <w:p>
      <w:pPr>
        <w:jc w:val="both"/>
        <w:ind w:left="1020" w:right="619" w:firstLine="2"/>
        <w:spacing w:after="0" w:line="257" w:lineRule="auto"/>
        <w:tabs>
          <w:tab w:leader="none" w:pos="1291"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amount per share as would have been payable had all shares of Series C Preferred Stock been converted into common stock immediately prior to such liquidation, dissolution or winding up. If, in the event the assets and funds thus distributed among the holders of the Series C Preferred Stock are insufficient to permit the payment to such holders of the full aforesaid preferential amounts, the entire assets and funds of the Company legally available for distribution shall be distributed ratably among the holders of the Series C Preferred Stock in proportion to the preferential amount each such holder is otherwise entitled to receive.</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B Preference</w:t>
      </w:r>
    </w:p>
    <w:p>
      <w:pPr>
        <w:spacing w:after="0" w:line="15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holders of the Series B Preferred Stock are entitled to receive, prior and in preference to any distribution of any of the assets of the Company to the holders of Series A Preferred Stock or common stock by reason of their ownership thereof, an amount per share equal to the greater of (i) $1.969 per share, adjustable for certain events, such as stock splits, stock dividends, reclassification and the like, for each share of Series B Preferred Stock then held by them, plus all declared but unpaid dividends, or</w:t>
      </w:r>
    </w:p>
    <w:p>
      <w:pPr>
        <w:spacing w:after="0" w:line="3" w:lineRule="exact"/>
        <w:rPr>
          <w:sz w:val="20"/>
          <w:szCs w:val="20"/>
          <w:color w:val="auto"/>
        </w:rPr>
      </w:pPr>
    </w:p>
    <w:p>
      <w:pPr>
        <w:jc w:val="both"/>
        <w:ind w:left="1020" w:right="619" w:firstLine="2"/>
        <w:spacing w:after="0" w:line="257" w:lineRule="auto"/>
        <w:tabs>
          <w:tab w:leader="none" w:pos="1291"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amount per share as would have been payable had all shares of Series B Preferred Stock been converted into common stock immediately prior to such liquidation, dissolution or winding up. If, in the event the assets and funds thus distributed among the holders of the Series B Preferred Stock are insufficient to permit the payment to such holders of the full aforesaid preferential amounts, the entire assets and funds of the Company legally available for distribution shall be distributed ratably among the holders of the Series B Preferred Stock in proportion to the preferential amount each such holder is otherwise entitled to receive.</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A Preference</w:t>
      </w:r>
    </w:p>
    <w:p>
      <w:pPr>
        <w:spacing w:after="0" w:line="15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holders of the Series A Preferred Stock are entitled to receive, prior and in preference to any distribution of any of the assets of the Company to the holders of common stock by reason of their ownership thereof, an amount per share equal to the greater of (i) $1.478 per share, adjustable for certain events, such as stock splits, stock dividends, reclassification and the like, for each share of Series A Preferred Stock then held by them, plus all declared but unpaid dividends, or (ii) such amount per share as would have been payable had all shares of Series A Preferred Stock been converted into common stock immediately prior to such liquidation, dissolution or winding up. If, in the event the assets and funds thus distributed among the holders of the Series A Preferred Stock are insufficient to permit the payment to such holders of the full aforesaid preferential amounts, the entire assets and funds of the Company legally available for distribution shall be distributed ratably among the holders of the Series A Preferred Stock in proportion to the preferential amount each such holder is otherwise entitled to receive.</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Remaining Assets for Distribution</w:t>
      </w:r>
    </w:p>
    <w:p>
      <w:pPr>
        <w:spacing w:after="0" w:line="142"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Upon the completion of the liquidation preferences above, the remaining assets of the Company available for distribution to stockholders will be distributed among the holders of the Preferred Stock and the common stock pro rata based on the number of shares of common stock held by each (assuming conversion of all such Preferred Stock into common stock) until the holders of Series D-3, Series D-1, Series D-2, Series D-3A, Series D, Series C-1, Series C, Series B and Series A Preferred Stock have received an aggregate of $40.00, $33.00, $33.00, $33.00, $26.063, $20.13, $6.71, $4.922 and $3.695 per share, respectively, adjustable for certain events, such as stock splits, stock dividends, reclassification and the like, for each share of respective Series of Preferred</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9" w:name="page210"/>
    <w:bookmarkEnd w:id="20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PREFERRED STOCK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Stock then held by them (including amounts paid pursuant to the liquidation preferences above). Thereafter, the holders of the common stock will receive all of the remaining assets of the Company pro rata based on the number of shares of common stock held by each.</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Redemption</w:t>
      </w:r>
    </w:p>
    <w:p>
      <w:pPr>
        <w:spacing w:after="0" w:line="15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Preferred Stock is not mandatorily redeemable. In the event that the Company agrees to redeem or repurchase any portion or all of the shares of Series A, Series B, Series C, Series C-1 and Series D Preferred Stock, or any shares of common stock issued on conversion of shares of such Preferred Stocks, (collectively, “Triggering Securities”) from any holder (“Triggering Redemption”), then, the Company will offer to redeem, on a pro-rata basis based on the number of shares of Series D-1, Series D-3 and Series D-3A Preferred Stock held by each holder, up to the same number of shares of such Series (or shares of common stock issued on conversion thereof) as the aggregate number of Triggering Securities that are subject to such Trigger Redemption, at a price per share of $33.00, $40.00 and $33.00, respectively, adjustable for certain events, such as stock splits, stock dividends and reclassifications.</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Voting Rights</w:t>
      </w:r>
    </w:p>
    <w:p>
      <w:pPr>
        <w:spacing w:after="0" w:line="142" w:lineRule="exact"/>
        <w:rPr>
          <w:sz w:val="20"/>
          <w:szCs w:val="20"/>
          <w:color w:val="auto"/>
        </w:rPr>
      </w:pPr>
    </w:p>
    <w:p>
      <w:pPr>
        <w:jc w:val="both"/>
        <w:ind w:left="1020" w:right="619"/>
        <w:spacing w:after="0" w:line="271" w:lineRule="auto"/>
        <w:rPr>
          <w:sz w:val="20"/>
          <w:szCs w:val="20"/>
          <w:color w:val="auto"/>
        </w:rPr>
      </w:pPr>
      <w:r>
        <w:rPr>
          <w:rFonts w:ascii="Times New Roman" w:cs="Times New Roman" w:eastAsia="Times New Roman" w:hAnsi="Times New Roman"/>
          <w:sz w:val="17"/>
          <w:szCs w:val="17"/>
          <w:color w:val="auto"/>
        </w:rPr>
        <w:t>The holders of Preferred Stock have the same voting rights equivalent to the number of shares of common stock into which their shares of Preferred Stock convert. Holders of Preferred Stock shall vote together with holders of common stock as a single class and on an as-converted to common stock basis, on all matters.</w:t>
      </w:r>
    </w:p>
    <w:p>
      <w:pPr>
        <w:spacing w:after="0" w:line="31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holders of Series A Preferred Stock, as a separate class, are entitled to elect one director of the Company. The holders of Series B Preferred Stock, as a separate class, are entitled to elect two directors of the Company. The holders of common stock, as separate class, are entitled to elect three directors of the Company. The holders of Preferred Stock and common stock, as a single class on an as-converted basis, are entitled to elect one director of the Company.</w:t>
      </w:r>
    </w:p>
    <w:p>
      <w:pPr>
        <w:spacing w:after="0" w:line="170" w:lineRule="exact"/>
        <w:rPr>
          <w:sz w:val="20"/>
          <w:szCs w:val="20"/>
          <w:color w:val="auto"/>
        </w:rPr>
      </w:pPr>
    </w:p>
    <w:p>
      <w:pPr>
        <w:ind w:left="60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11.</w:t>
        <w:tab/>
        <w:t>COMMON STOCK</w:t>
      </w:r>
    </w:p>
    <w:p>
      <w:pPr>
        <w:spacing w:after="0" w:line="157"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As of December 31, 2021, the Company has authorized the issuance of 45,000,000 shares of common stock.</w:t>
      </w:r>
    </w:p>
    <w:p>
      <w:pPr>
        <w:spacing w:after="0" w:line="329"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has reserved shares of common stock for future issuance on an as-if converted basis related to the following outstanding Preferred Stock, warrants, stock options and future grants as of December 31, 2021:</w:t>
      </w: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226"/>
        </w:trPr>
        <w:tc>
          <w:tcPr>
            <w:tcW w:w="66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Series A Preferred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3,438,670</w:t>
            </w:r>
          </w:p>
        </w:tc>
        <w:tc>
          <w:tcPr>
            <w:tcW w:w="0" w:type="dxa"/>
            <w:vAlign w:val="bottom"/>
          </w:tcPr>
          <w:p>
            <w:pPr>
              <w:spacing w:after="0"/>
              <w:rPr>
                <w:sz w:val="1"/>
                <w:szCs w:val="1"/>
                <w:color w:val="auto"/>
              </w:rPr>
            </w:pPr>
          </w:p>
        </w:tc>
      </w:tr>
      <w:tr>
        <w:trPr>
          <w:trHeight w:val="39"/>
        </w:trPr>
        <w:tc>
          <w:tcPr>
            <w:tcW w:w="660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0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B Preferred Stock</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6,065,646</w:t>
            </w:r>
          </w:p>
        </w:tc>
        <w:tc>
          <w:tcPr>
            <w:tcW w:w="0" w:type="dxa"/>
            <w:vAlign w:val="bottom"/>
          </w:tcPr>
          <w:p>
            <w:pPr>
              <w:spacing w:after="0"/>
              <w:rPr>
                <w:sz w:val="1"/>
                <w:szCs w:val="1"/>
                <w:color w:val="auto"/>
              </w:rPr>
            </w:pPr>
          </w:p>
        </w:tc>
      </w:tr>
      <w:tr>
        <w:trPr>
          <w:trHeight w:val="234"/>
        </w:trPr>
        <w:tc>
          <w:tcPr>
            <w:tcW w:w="66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Series C Preferred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1,023,631</w:t>
            </w:r>
          </w:p>
        </w:tc>
        <w:tc>
          <w:tcPr>
            <w:tcW w:w="0" w:type="dxa"/>
            <w:vAlign w:val="bottom"/>
          </w:tcPr>
          <w:p>
            <w:pPr>
              <w:spacing w:after="0"/>
              <w:rPr>
                <w:sz w:val="1"/>
                <w:szCs w:val="1"/>
                <w:color w:val="auto"/>
              </w:rPr>
            </w:pPr>
          </w:p>
        </w:tc>
      </w:tr>
      <w:tr>
        <w:trPr>
          <w:trHeight w:val="39"/>
        </w:trPr>
        <w:tc>
          <w:tcPr>
            <w:tcW w:w="660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0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C-1 Preferred Stock</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798,399</w:t>
            </w:r>
          </w:p>
        </w:tc>
        <w:tc>
          <w:tcPr>
            <w:tcW w:w="0" w:type="dxa"/>
            <w:vAlign w:val="bottom"/>
          </w:tcPr>
          <w:p>
            <w:pPr>
              <w:spacing w:after="0"/>
              <w:rPr>
                <w:sz w:val="1"/>
                <w:szCs w:val="1"/>
                <w:color w:val="auto"/>
              </w:rPr>
            </w:pPr>
          </w:p>
        </w:tc>
      </w:tr>
      <w:tr>
        <w:trPr>
          <w:trHeight w:val="234"/>
        </w:trPr>
        <w:tc>
          <w:tcPr>
            <w:tcW w:w="66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Series D Preferred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3,646,050</w:t>
            </w:r>
          </w:p>
        </w:tc>
        <w:tc>
          <w:tcPr>
            <w:tcW w:w="0" w:type="dxa"/>
            <w:vAlign w:val="bottom"/>
          </w:tcPr>
          <w:p>
            <w:pPr>
              <w:spacing w:after="0"/>
              <w:rPr>
                <w:sz w:val="1"/>
                <w:szCs w:val="1"/>
                <w:color w:val="auto"/>
              </w:rPr>
            </w:pPr>
          </w:p>
        </w:tc>
      </w:tr>
      <w:tr>
        <w:trPr>
          <w:trHeight w:val="39"/>
        </w:trPr>
        <w:tc>
          <w:tcPr>
            <w:tcW w:w="660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0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D-1 Preferred Stock</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1,515,152</w:t>
            </w:r>
          </w:p>
        </w:tc>
        <w:tc>
          <w:tcPr>
            <w:tcW w:w="0" w:type="dxa"/>
            <w:vAlign w:val="bottom"/>
          </w:tcPr>
          <w:p>
            <w:pPr>
              <w:spacing w:after="0"/>
              <w:rPr>
                <w:sz w:val="1"/>
                <w:szCs w:val="1"/>
                <w:color w:val="auto"/>
              </w:rPr>
            </w:pPr>
          </w:p>
        </w:tc>
      </w:tr>
      <w:tr>
        <w:trPr>
          <w:trHeight w:val="234"/>
        </w:trPr>
        <w:tc>
          <w:tcPr>
            <w:tcW w:w="66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Series D-2 Preferred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1,515,151</w:t>
            </w:r>
          </w:p>
        </w:tc>
        <w:tc>
          <w:tcPr>
            <w:tcW w:w="0" w:type="dxa"/>
            <w:vAlign w:val="bottom"/>
          </w:tcPr>
          <w:p>
            <w:pPr>
              <w:spacing w:after="0"/>
              <w:rPr>
                <w:sz w:val="1"/>
                <w:szCs w:val="1"/>
                <w:color w:val="auto"/>
              </w:rPr>
            </w:pPr>
          </w:p>
        </w:tc>
      </w:tr>
      <w:tr>
        <w:trPr>
          <w:trHeight w:val="39"/>
        </w:trPr>
        <w:tc>
          <w:tcPr>
            <w:tcW w:w="660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0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D-3 Preferred Stock</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1,245,838</w:t>
            </w:r>
          </w:p>
        </w:tc>
        <w:tc>
          <w:tcPr>
            <w:tcW w:w="0" w:type="dxa"/>
            <w:vAlign w:val="bottom"/>
          </w:tcPr>
          <w:p>
            <w:pPr>
              <w:spacing w:after="0"/>
              <w:rPr>
                <w:sz w:val="1"/>
                <w:szCs w:val="1"/>
                <w:color w:val="auto"/>
              </w:rPr>
            </w:pPr>
          </w:p>
        </w:tc>
      </w:tr>
      <w:tr>
        <w:trPr>
          <w:trHeight w:val="234"/>
        </w:trPr>
        <w:tc>
          <w:tcPr>
            <w:tcW w:w="66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Common stock warrants</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191,355</w:t>
            </w:r>
          </w:p>
        </w:tc>
        <w:tc>
          <w:tcPr>
            <w:tcW w:w="0" w:type="dxa"/>
            <w:vAlign w:val="bottom"/>
          </w:tcPr>
          <w:p>
            <w:pPr>
              <w:spacing w:after="0"/>
              <w:rPr>
                <w:sz w:val="1"/>
                <w:szCs w:val="1"/>
                <w:color w:val="auto"/>
              </w:rPr>
            </w:pPr>
          </w:p>
        </w:tc>
      </w:tr>
      <w:tr>
        <w:trPr>
          <w:trHeight w:val="39"/>
        </w:trPr>
        <w:tc>
          <w:tcPr>
            <w:tcW w:w="660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0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 outstanding</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5,475,283</w:t>
            </w:r>
          </w:p>
        </w:tc>
        <w:tc>
          <w:tcPr>
            <w:tcW w:w="0" w:type="dxa"/>
            <w:vAlign w:val="bottom"/>
          </w:tcPr>
          <w:p>
            <w:pPr>
              <w:spacing w:after="0"/>
              <w:rPr>
                <w:sz w:val="1"/>
                <w:szCs w:val="1"/>
                <w:color w:val="auto"/>
              </w:rPr>
            </w:pPr>
          </w:p>
        </w:tc>
      </w:tr>
      <w:tr>
        <w:trPr>
          <w:trHeight w:val="247"/>
        </w:trPr>
        <w:tc>
          <w:tcPr>
            <w:tcW w:w="66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Stock incentive plan shares reserved for future issuance</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499,328</w:t>
            </w:r>
          </w:p>
        </w:tc>
        <w:tc>
          <w:tcPr>
            <w:tcW w:w="0" w:type="dxa"/>
            <w:vAlign w:val="bottom"/>
          </w:tcPr>
          <w:p>
            <w:pPr>
              <w:spacing w:after="0"/>
              <w:rPr>
                <w:sz w:val="1"/>
                <w:szCs w:val="1"/>
                <w:color w:val="auto"/>
              </w:rPr>
            </w:pPr>
          </w:p>
        </w:tc>
      </w:tr>
      <w:tr>
        <w:trPr>
          <w:trHeight w:val="26"/>
        </w:trPr>
        <w:tc>
          <w:tcPr>
            <w:tcW w:w="400" w:type="dxa"/>
            <w:vAlign w:val="bottom"/>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6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25,414,503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200" w:type="dxa"/>
            <w:vAlign w:val="bottom"/>
            <w:vMerge w:val="restart"/>
          </w:tcPr>
          <w:p>
            <w:pPr>
              <w:ind w:left="3320"/>
              <w:spacing w:after="0"/>
              <w:rPr>
                <w:sz w:val="20"/>
                <w:szCs w:val="20"/>
                <w:color w:val="auto"/>
              </w:rPr>
            </w:pPr>
            <w:r>
              <w:rPr>
                <w:rFonts w:ascii="Times New Roman" w:cs="Times New Roman" w:eastAsia="Times New Roman" w:hAnsi="Times New Roman"/>
                <w:sz w:val="17"/>
                <w:szCs w:val="17"/>
                <w:color w:val="auto"/>
              </w:rPr>
              <w:t>F-79</w:t>
            </w: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0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210" w:name="page211"/>
    <w:bookmarkEnd w:id="21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12.</w:t>
        <w:tab/>
        <w:t>STOCK INCENTIVE PLAN</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Board of Directors has authorized and in April 2016 adopted the 2016 Equity Incentive Plan (the “2016 Plan”) as a successor and continuation of the 2006 Plan (collectively, the “Plans”). Under the Plans, the Board of Directors may grant awards of options and restricted stock, as well as stock appreciation rights and other stock awards. During the year ended December 31, 2021, the Company amended the 2016 Plan to increase the number of shares of common stock reserved for issuance under the Plans by 1,200,000 to an aggregate of 8,701,460.</w:t>
      </w:r>
    </w:p>
    <w:p>
      <w:pPr>
        <w:spacing w:after="0" w:line="110"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Option Activity</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Stock option activity under the Plans is as follows for the years ended December 31, 2021 and 2020:</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Available</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Price Per</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05"/>
        </w:trPr>
        <w:tc>
          <w:tcPr>
            <w:tcW w:w="2480" w:type="dxa"/>
            <w:vAlign w:val="bottom"/>
          </w:tcPr>
          <w:p>
            <w:pPr>
              <w:spacing w:after="0"/>
              <w:rPr>
                <w:sz w:val="17"/>
                <w:szCs w:val="17"/>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for Grant</w:t>
            </w: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5"/>
              </w:rPr>
              <w:t>Options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Share</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 (Years)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45"/>
        </w:trPr>
        <w:tc>
          <w:tcPr>
            <w:tcW w:w="24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January 1, 2020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378,010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4,276,480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33,785</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Authorized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granted</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8"/>
              </w:rPr>
              <w:t>(1,446,350)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1,446,350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Options exercised</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(68,679)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Awards forfeited or cancelled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475,875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(475,875)</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w:t>
            </w:r>
          </w:p>
        </w:tc>
        <w:tc>
          <w:tcPr>
            <w:tcW w:w="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Outstanding, December 31, 2020</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5,178,276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13.23</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36,987</w:t>
            </w:r>
          </w:p>
        </w:tc>
        <w:tc>
          <w:tcPr>
            <w:tcW w:w="0" w:type="dxa"/>
            <w:vAlign w:val="bottom"/>
          </w:tcPr>
          <w:p>
            <w:pPr>
              <w:spacing w:after="0"/>
              <w:rPr>
                <w:sz w:val="1"/>
                <w:szCs w:val="1"/>
                <w:color w:val="auto"/>
              </w:rPr>
            </w:pPr>
          </w:p>
        </w:tc>
      </w:tr>
      <w:tr>
        <w:trPr>
          <w:trHeight w:val="34"/>
        </w:trPr>
        <w:tc>
          <w:tcPr>
            <w:tcW w:w="2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Authorized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Options granted</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8"/>
              </w:rPr>
              <w:t>(1,134,542)</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1,134,542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40.10</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exercised</w:t>
            </w: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(461,290)</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9,667</w:t>
            </w:r>
          </w:p>
        </w:tc>
        <w:tc>
          <w:tcPr>
            <w:tcW w:w="0" w:type="dxa"/>
            <w:vAlign w:val="bottom"/>
          </w:tcPr>
          <w:p>
            <w:pPr>
              <w:spacing w:after="0"/>
              <w:rPr>
                <w:sz w:val="1"/>
                <w:szCs w:val="1"/>
                <w:color w:val="auto"/>
              </w:rPr>
            </w:pPr>
          </w:p>
        </w:tc>
      </w:tr>
      <w:tr>
        <w:trPr>
          <w:trHeight w:val="247"/>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Awards forfeited or cancelled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376,245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(376,245)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4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December 31, 2021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499,238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5,475,283</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19.19</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168,923</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auto"/>
              </w:rPr>
              <w:t>Options exercisable as of</w:t>
            </w: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4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December 31, 2021</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3,322,160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125,517</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1020" w:right="619"/>
        <w:spacing w:after="0" w:line="271" w:lineRule="auto"/>
        <w:rPr>
          <w:sz w:val="20"/>
          <w:szCs w:val="20"/>
          <w:color w:val="auto"/>
        </w:rPr>
      </w:pPr>
      <w:r>
        <w:rPr>
          <w:rFonts w:ascii="Times New Roman" w:cs="Times New Roman" w:eastAsia="Times New Roman" w:hAnsi="Times New Roman"/>
          <w:sz w:val="17"/>
          <w:szCs w:val="17"/>
          <w:color w:val="auto"/>
        </w:rPr>
        <w:t>Options exercised early are subject to the vesting provisions mentioned above, and any unvested shares are subject to repurchase at the original price upon termination of employment, death, or disability. There were no option exercises during the year ended December 31, 2021 and 2020 that were subject to repurchase.</w:t>
      </w:r>
    </w:p>
    <w:p>
      <w:pPr>
        <w:spacing w:after="0" w:line="312"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total fair value of options vested was approximately $5,358 and $5,400, during the years ended December 31, 2021 and 2020, respectively.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1" w:name="page212"/>
    <w:bookmarkEnd w:id="21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12.</w:t>
        <w:tab/>
        <w:t xml:space="preserve">STOCK INCENTIVE PLAN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39"/>
        <w:spacing w:after="0" w:line="293" w:lineRule="auto"/>
        <w:rPr>
          <w:sz w:val="20"/>
          <w:szCs w:val="20"/>
          <w:color w:val="auto"/>
        </w:rPr>
      </w:pPr>
      <w:r>
        <w:rPr>
          <w:rFonts w:ascii="Times New Roman" w:cs="Times New Roman" w:eastAsia="Times New Roman" w:hAnsi="Times New Roman"/>
          <w:sz w:val="17"/>
          <w:szCs w:val="17"/>
          <w:color w:val="auto"/>
        </w:rPr>
        <w:t>The following table summarizes information with respect to stock options outstanding and exercisable as of December 31, 2021:</w:t>
      </w:r>
    </w:p>
    <w:p>
      <w:pPr>
        <w:spacing w:after="0" w:line="149" w:lineRule="exact"/>
        <w:rPr>
          <w:sz w:val="20"/>
          <w:szCs w:val="20"/>
          <w:color w:val="auto"/>
        </w:rPr>
      </w:pPr>
    </w:p>
    <w:tbl>
      <w:tblPr>
        <w:tblLayout w:type="fixed"/>
        <w:tblInd w:w="1020" w:type="dxa"/>
        <w:tblCellMar>
          <w:top w:w="0" w:type="dxa"/>
          <w:left w:w="0" w:type="dxa"/>
          <w:bottom w:w="0" w:type="dxa"/>
          <w:right w:w="0" w:type="dxa"/>
        </w:tblCellMar>
      </w:tblPr>
      <w:tr>
        <w:trPr>
          <w:trHeight w:val="205"/>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2180" w:type="dxa"/>
            <w:vAlign w:val="bottom"/>
            <w:gridSpan w:val="3"/>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Options Exercisable</w:t>
            </w:r>
          </w:p>
        </w:tc>
        <w:tc>
          <w:tcPr>
            <w:tcW w:w="0" w:type="dxa"/>
            <w:vAlign w:val="bottom"/>
          </w:tcPr>
          <w:p>
            <w:pPr>
              <w:spacing w:after="0"/>
              <w:rPr>
                <w:sz w:val="1"/>
                <w:szCs w:val="1"/>
                <w:color w:val="auto"/>
              </w:rPr>
            </w:pPr>
          </w:p>
        </w:tc>
      </w:tr>
      <w:tr>
        <w:trPr>
          <w:trHeight w:val="45"/>
        </w:trPr>
        <w:tc>
          <w:tcPr>
            <w:tcW w:w="2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100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0" w:type="dxa"/>
            <w:vAlign w:val="bottom"/>
          </w:tcPr>
          <w:p>
            <w:pPr>
              <w:spacing w:after="0"/>
              <w:rPr>
                <w:sz w:val="1"/>
                <w:szCs w:val="1"/>
                <w:color w:val="auto"/>
              </w:rPr>
            </w:pPr>
          </w:p>
        </w:tc>
      </w:tr>
      <w:tr>
        <w:trPr>
          <w:trHeight w:val="205"/>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Range of Exercise Prices Per Share</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Life (Years)</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Life (Years)</w:t>
            </w:r>
          </w:p>
        </w:tc>
        <w:tc>
          <w:tcPr>
            <w:tcW w:w="0" w:type="dxa"/>
            <w:vAlign w:val="bottom"/>
          </w:tcPr>
          <w:p>
            <w:pPr>
              <w:spacing w:after="0"/>
              <w:rPr>
                <w:sz w:val="1"/>
                <w:szCs w:val="1"/>
                <w:color w:val="auto"/>
              </w:rPr>
            </w:pPr>
          </w:p>
        </w:tc>
      </w:tr>
      <w:tr>
        <w:trPr>
          <w:trHeight w:val="45"/>
        </w:trPr>
        <w:tc>
          <w:tcPr>
            <w:tcW w:w="2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$2.43 – $12.06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1,223,100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1,223,100</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0" w:type="dxa"/>
            <w:vAlign w:val="bottom"/>
          </w:tcPr>
          <w:p>
            <w:pPr>
              <w:spacing w:after="0"/>
              <w:rPr>
                <w:sz w:val="1"/>
                <w:szCs w:val="1"/>
                <w:color w:val="auto"/>
              </w:rPr>
            </w:pP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$12.07 – $15.34</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1,223,673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1,154,889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0" w:type="dxa"/>
            <w:vAlign w:val="bottom"/>
          </w:tcPr>
          <w:p>
            <w:pPr>
              <w:spacing w:after="0"/>
              <w:rPr>
                <w:sz w:val="1"/>
                <w:szCs w:val="1"/>
                <w:color w:val="auto"/>
              </w:rPr>
            </w:pPr>
          </w:p>
        </w:tc>
      </w:tr>
      <w:tr>
        <w:trPr>
          <w:trHeight w:val="39"/>
        </w:trPr>
        <w:tc>
          <w:tcPr>
            <w:tcW w:w="2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$15.35 – $19.31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876,147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531,085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0" w:type="dxa"/>
            <w:vAlign w:val="bottom"/>
          </w:tcPr>
          <w:p>
            <w:pPr>
              <w:spacing w:after="0"/>
              <w:rPr>
                <w:sz w:val="1"/>
                <w:szCs w:val="1"/>
                <w:color w:val="auto"/>
              </w:rPr>
            </w:pP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$19.32 – $24.17</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1,156,561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404,605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8.78</w:t>
            </w:r>
          </w:p>
        </w:tc>
        <w:tc>
          <w:tcPr>
            <w:tcW w:w="0" w:type="dxa"/>
            <w:vAlign w:val="bottom"/>
          </w:tcPr>
          <w:p>
            <w:pPr>
              <w:spacing w:after="0"/>
              <w:rPr>
                <w:sz w:val="1"/>
                <w:szCs w:val="1"/>
                <w:color w:val="auto"/>
              </w:rPr>
            </w:pPr>
          </w:p>
        </w:tc>
      </w:tr>
      <w:tr>
        <w:trPr>
          <w:trHeight w:val="39"/>
        </w:trPr>
        <w:tc>
          <w:tcPr>
            <w:tcW w:w="2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3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$24.18 – $50.07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995,802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w:t>
            </w:r>
          </w:p>
        </w:tc>
        <w:tc>
          <w:tcPr>
            <w:tcW w:w="0" w:type="dxa"/>
            <w:vAlign w:val="bottom"/>
          </w:tcPr>
          <w:p>
            <w:pPr>
              <w:spacing w:after="0"/>
              <w:rPr>
                <w:sz w:val="1"/>
                <w:szCs w:val="1"/>
                <w:color w:val="auto"/>
              </w:rPr>
            </w:pPr>
          </w:p>
        </w:tc>
      </w:tr>
      <w:tr>
        <w:trPr>
          <w:trHeight w:val="233"/>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5,475,283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3,322,160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During the years ended December 31, 2021 and 2020, the Company’s stock compensation expense was $6,322 and $5,897, respectively. As of December 31, 2021, the unamortized expense related to outstanding awards was $25,572. The weighted average remaining amortization period over which the balance as of December 31, 2021 is to be amortized is 3.12 years. No income tax benefit was recognized for this compensation expense in the Consolidated Statement of Operations and Comprehensive Loss, as the Company does not anticipate realizing any such benefit in the future.</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Employee Stock-Based Compensation</w:t>
      </w:r>
    </w:p>
    <w:p>
      <w:pPr>
        <w:spacing w:after="0" w:line="14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For the purpose of determining the estimated fair value of share-based payment awards issued in the form of stock options, the Company uses the Black-Scholes option-pricing model as permitted under the provisions for share-based payment awards.</w:t>
      </w:r>
    </w:p>
    <w:p>
      <w:pPr>
        <w:spacing w:after="0" w:line="9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assumptions under the Black-Scholes option-pricing model and the weighted average calculated fair value of the options granted to employees as of December 31, 2021 and 2020 are as follows:</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4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49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common stock</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40.83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20.37</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9"/>
        </w:trPr>
        <w:tc>
          <w:tcPr>
            <w:tcW w:w="4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80" w:type="dxa"/>
            <w:vAlign w:val="bottom"/>
          </w:tcPr>
          <w:p>
            <w:pPr>
              <w:spacing w:after="0"/>
              <w:rPr>
                <w:sz w:val="20"/>
                <w:szCs w:val="20"/>
                <w:color w:val="auto"/>
              </w:rPr>
            </w:pP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6.01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5.92</w:t>
            </w:r>
          </w:p>
        </w:tc>
      </w:tr>
      <w:tr>
        <w:trPr>
          <w:trHeight w:val="39"/>
        </w:trPr>
        <w:tc>
          <w:tcPr>
            <w:tcW w:w="4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 free interest rate</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0.64%</w:t>
            </w:r>
          </w:p>
        </w:tc>
      </w:tr>
      <w:tr>
        <w:trPr>
          <w:trHeight w:val="39"/>
        </w:trPr>
        <w:tc>
          <w:tcPr>
            <w:tcW w:w="4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164"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Stock-based compensation is classified in the following operating expense accounts on the consolidated statements of operations and comprehensive loss for the years ended December 31, 2021 and 2020:</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4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4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3000" w:type="dxa"/>
            <w:vAlign w:val="bottom"/>
            <w:gridSpan w:val="2"/>
          </w:tcPr>
          <w:p>
            <w:pPr>
              <w:spacing w:after="0"/>
              <w:rPr>
                <w:sz w:val="3"/>
                <w:szCs w:val="3"/>
                <w:color w:val="auto"/>
              </w:rPr>
            </w:pPr>
          </w:p>
        </w:tc>
        <w:tc>
          <w:tcPr>
            <w:tcW w:w="2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3,605</w:t>
            </w:r>
          </w:p>
        </w:tc>
        <w:tc>
          <w:tcPr>
            <w:tcW w:w="0" w:type="dxa"/>
            <w:vAlign w:val="bottom"/>
          </w:tcPr>
          <w:p>
            <w:pPr>
              <w:spacing w:after="0"/>
              <w:rPr>
                <w:sz w:val="1"/>
                <w:szCs w:val="1"/>
                <w:color w:val="auto"/>
              </w:rPr>
            </w:pPr>
          </w:p>
        </w:tc>
      </w:tr>
      <w:tr>
        <w:trPr>
          <w:trHeight w:val="234"/>
        </w:trPr>
        <w:tc>
          <w:tcPr>
            <w:tcW w:w="30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Sales and marketing</w:t>
            </w: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0" w:type="dxa"/>
            <w:vAlign w:val="bottom"/>
          </w:tcPr>
          <w:p>
            <w:pPr>
              <w:spacing w:after="0"/>
              <w:rPr>
                <w:sz w:val="1"/>
                <w:szCs w:val="1"/>
                <w:color w:val="auto"/>
              </w:rPr>
            </w:pPr>
          </w:p>
        </w:tc>
      </w:tr>
      <w:tr>
        <w:trPr>
          <w:trHeight w:val="39"/>
        </w:trPr>
        <w:tc>
          <w:tcPr>
            <w:tcW w:w="3000" w:type="dxa"/>
            <w:vAlign w:val="bottom"/>
            <w:gridSpan w:val="2"/>
          </w:tcPr>
          <w:p>
            <w:pPr>
              <w:spacing w:after="0"/>
              <w:rPr>
                <w:sz w:val="3"/>
                <w:szCs w:val="3"/>
                <w:color w:val="auto"/>
              </w:rPr>
            </w:pPr>
          </w:p>
        </w:tc>
        <w:tc>
          <w:tcPr>
            <w:tcW w:w="2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0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0" w:type="dxa"/>
            <w:vAlign w:val="bottom"/>
          </w:tcPr>
          <w:p>
            <w:pPr>
              <w:spacing w:after="0"/>
              <w:rPr>
                <w:sz w:val="20"/>
                <w:szCs w:val="20"/>
                <w:color w:val="auto"/>
              </w:rPr>
            </w:pPr>
          </w:p>
        </w:tc>
        <w:tc>
          <w:tcPr>
            <w:tcW w:w="2600" w:type="dxa"/>
            <w:vAlign w:val="bottom"/>
            <w:vMerge w:val="continue"/>
          </w:tcPr>
          <w:p>
            <w:pPr>
              <w:spacing w:after="0"/>
              <w:rPr>
                <w:sz w:val="20"/>
                <w:szCs w:val="20"/>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1373"/>
              <w:spacing w:after="0"/>
              <w:rPr>
                <w:sz w:val="20"/>
                <w:szCs w:val="20"/>
                <w:color w:val="auto"/>
              </w:rPr>
            </w:pPr>
            <w:r>
              <w:rPr>
                <w:rFonts w:ascii="Times New Roman" w:cs="Times New Roman" w:eastAsia="Times New Roman" w:hAnsi="Times New Roman"/>
                <w:sz w:val="17"/>
                <w:szCs w:val="17"/>
                <w:color w:val="auto"/>
              </w:rPr>
              <w:t>F-81</w:t>
            </w: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212" w:name="page213"/>
    <w:bookmarkEnd w:id="21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12.</w:t>
        <w:tab/>
        <w:t xml:space="preserve">STOCK INCENTIVE PLAN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Executive Options</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historically issued option awards to key personnel with contractual expirations of 5 to 10 years. Certain individuals had not exercised their options prior to expiration. As a result of the expiration of unexercised but fully vested options awards, the Company issued new options for the same quantity previously granted, but with an exercise price set to the then fair value of common stock determined in accordance with a board approved 409A.</w:t>
      </w:r>
    </w:p>
    <w:p>
      <w:pPr>
        <w:spacing w:after="0" w:line="10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Furthermore, in an effort to make the holders whole, the Company entered into a change in control bonus Letter Agreement with each individual. Pursuant to the agreement, each individual is entitled to an additional lump sum payment capped at the difference between the original aggregate exercise price and the new aggregate exercise price upon a change in control transaction as defined in the Company’s 2016 Equity Incentive Plan, provided that such a transaction also constitutes a “Liquidation Transaction” as defined in the Company’s Certificate of Incorporation.</w:t>
      </w:r>
    </w:p>
    <w:p>
      <w:pPr>
        <w:spacing w:after="0" w:line="110"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maximum change in control bonus for executive award holders is $5,837 and remains unamortized as of December 31, 2021.</w:t>
      </w:r>
    </w:p>
    <w:p>
      <w:pPr>
        <w:spacing w:after="0" w:line="144"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LEASES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leases certain facilities under non-cancelable operating leases that expire at various dates through 2025.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105"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Aggregate noncancelable future minimum lease payments under operating and finance leases are as follows:</w:t>
      </w:r>
    </w:p>
    <w:p>
      <w:pPr>
        <w:spacing w:after="0" w:line="370"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3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Operating</w:t>
            </w:r>
          </w:p>
        </w:tc>
        <w:tc>
          <w:tcPr>
            <w:tcW w:w="18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0" w:type="dxa"/>
            <w:vAlign w:val="bottom"/>
          </w:tcPr>
          <w:p>
            <w:pPr>
              <w:spacing w:after="0"/>
              <w:rPr>
                <w:sz w:val="1"/>
                <w:szCs w:val="1"/>
                <w:color w:val="auto"/>
              </w:rPr>
            </w:pPr>
          </w:p>
        </w:tc>
      </w:tr>
      <w:tr>
        <w:trPr>
          <w:trHeight w:val="205"/>
        </w:trPr>
        <w:tc>
          <w:tcPr>
            <w:tcW w:w="3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8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0" w:type="dxa"/>
            <w:vAlign w:val="bottom"/>
          </w:tcPr>
          <w:p>
            <w:pPr>
              <w:spacing w:after="0"/>
              <w:rPr>
                <w:sz w:val="1"/>
                <w:szCs w:val="1"/>
                <w:color w:val="auto"/>
              </w:rPr>
            </w:pPr>
          </w:p>
        </w:tc>
      </w:tr>
      <w:tr>
        <w:trPr>
          <w:trHeight w:val="45"/>
        </w:trPr>
        <w:tc>
          <w:tcPr>
            <w:tcW w:w="392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 Ending December 31:</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2022</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2023</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2024</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2025</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2026</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Thereafter</w:t>
            </w:r>
          </w:p>
        </w:tc>
        <w:tc>
          <w:tcPr>
            <w:tcW w:w="10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1,785</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10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(1,735)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19"/>
        </w:trPr>
        <w:tc>
          <w:tcPr>
            <w:tcW w:w="3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(3,281)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(1,301)</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Lease liabilities, net of current portion</w:t>
            </w: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920" w:type="dxa"/>
            <w:vAlign w:val="bottom"/>
            <w:vMerge w:val="continue"/>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Additional information related to the Company’s lease balances during the year ended and as of</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December 31, 2021 includes</w:t>
      </w:r>
      <w:r>
        <w:rPr>
          <w:rFonts w:ascii="Times New Roman" w:cs="Times New Roman" w:eastAsia="Times New Roman" w:hAnsi="Times New Roman"/>
          <w:sz w:val="17"/>
          <w:szCs w:val="17"/>
          <w:i w:val="1"/>
          <w:iCs w:val="1"/>
          <w:color w:val="auto"/>
        </w:rPr>
        <w:t>:</w:t>
      </w:r>
    </w:p>
    <w:p>
      <w:pPr>
        <w:spacing w:after="0" w:line="165"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4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4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3360" w:type="dxa"/>
            <w:vAlign w:val="bottom"/>
            <w:gridSpan w:val="2"/>
          </w:tcPr>
          <w:p>
            <w:pPr>
              <w:spacing w:after="0"/>
              <w:rPr>
                <w:sz w:val="3"/>
                <w:szCs w:val="3"/>
                <w:color w:val="auto"/>
              </w:rPr>
            </w:pPr>
          </w:p>
        </w:tc>
        <w:tc>
          <w:tcPr>
            <w:tcW w:w="3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3"/>
        </w:trPr>
        <w:tc>
          <w:tcPr>
            <w:tcW w:w="400" w:type="dxa"/>
            <w:vAlign w:val="bottom"/>
          </w:tcPr>
          <w:p>
            <w:pPr>
              <w:spacing w:after="0"/>
              <w:rPr>
                <w:sz w:val="20"/>
                <w:szCs w:val="20"/>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3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3,654</w:t>
            </w:r>
          </w:p>
        </w:tc>
      </w:tr>
      <w:tr>
        <w:trPr>
          <w:trHeight w:val="234"/>
        </w:trPr>
        <w:tc>
          <w:tcPr>
            <w:tcW w:w="33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Short-term lease cost</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r>
      <w:tr>
        <w:trPr>
          <w:trHeight w:val="39"/>
        </w:trPr>
        <w:tc>
          <w:tcPr>
            <w:tcW w:w="3360" w:type="dxa"/>
            <w:vAlign w:val="bottom"/>
            <w:gridSpan w:val="2"/>
          </w:tcPr>
          <w:p>
            <w:pPr>
              <w:spacing w:after="0"/>
              <w:rPr>
                <w:sz w:val="3"/>
                <w:szCs w:val="3"/>
                <w:color w:val="auto"/>
              </w:rPr>
            </w:pPr>
          </w:p>
        </w:tc>
        <w:tc>
          <w:tcPr>
            <w:tcW w:w="3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73"/>
        </w:trPr>
        <w:tc>
          <w:tcPr>
            <w:tcW w:w="400" w:type="dxa"/>
            <w:vAlign w:val="bottom"/>
          </w:tcPr>
          <w:p>
            <w:pPr>
              <w:spacing w:after="0"/>
              <w:rPr>
                <w:sz w:val="23"/>
                <w:szCs w:val="23"/>
                <w:color w:val="auto"/>
              </w:rPr>
            </w:pPr>
          </w:p>
        </w:tc>
        <w:tc>
          <w:tcPr>
            <w:tcW w:w="2960" w:type="dxa"/>
            <w:vAlign w:val="bottom"/>
            <w:shd w:val="clear" w:color="auto" w:fill="CCEEFF"/>
          </w:tcPr>
          <w:p>
            <w:pPr>
              <w:spacing w:after="0"/>
              <w:rPr>
                <w:sz w:val="23"/>
                <w:szCs w:val="23"/>
                <w:color w:val="auto"/>
              </w:rPr>
            </w:pPr>
          </w:p>
        </w:tc>
        <w:tc>
          <w:tcPr>
            <w:tcW w:w="3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4"/>
        </w:trPr>
        <w:tc>
          <w:tcPr>
            <w:tcW w:w="3360" w:type="dxa"/>
            <w:vAlign w:val="bottom"/>
            <w:gridSpan w:val="2"/>
          </w:tcPr>
          <w:p>
            <w:pPr>
              <w:ind w:left="400"/>
              <w:spacing w:after="0"/>
              <w:rPr>
                <w:sz w:val="20"/>
                <w:szCs w:val="20"/>
                <w:color w:val="auto"/>
              </w:rPr>
            </w:pPr>
            <w:r>
              <w:rPr>
                <w:rFonts w:ascii="Times New Roman" w:cs="Times New Roman" w:eastAsia="Times New Roman" w:hAnsi="Times New Roman"/>
                <w:sz w:val="17"/>
                <w:szCs w:val="17"/>
                <w:b w:val="1"/>
                <w:bCs w:val="1"/>
                <w:color w:val="auto"/>
              </w:rPr>
              <w:t>Financing lease cost:</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9"/>
        </w:trPr>
        <w:tc>
          <w:tcPr>
            <w:tcW w:w="3360" w:type="dxa"/>
            <w:vAlign w:val="bottom"/>
            <w:gridSpan w:val="2"/>
          </w:tcPr>
          <w:p>
            <w:pPr>
              <w:spacing w:after="0"/>
              <w:rPr>
                <w:sz w:val="3"/>
                <w:szCs w:val="3"/>
                <w:color w:val="auto"/>
              </w:rPr>
            </w:pPr>
          </w:p>
        </w:tc>
        <w:tc>
          <w:tcPr>
            <w:tcW w:w="3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3"/>
        </w:trPr>
        <w:tc>
          <w:tcPr>
            <w:tcW w:w="40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of finance leased assets</w:t>
            </w:r>
          </w:p>
        </w:tc>
        <w:tc>
          <w:tcPr>
            <w:tcW w:w="3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2,575</w:t>
            </w:r>
          </w:p>
        </w:tc>
      </w:tr>
      <w:tr>
        <w:trPr>
          <w:trHeight w:val="234"/>
        </w:trPr>
        <w:tc>
          <w:tcPr>
            <w:tcW w:w="33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Interest of lease liabilities</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r>
      <w:tr>
        <w:trPr>
          <w:trHeight w:val="416"/>
        </w:trPr>
        <w:tc>
          <w:tcPr>
            <w:tcW w:w="4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2"/>
          </w:tcPr>
          <w:p>
            <w:pPr>
              <w:jc w:val="right"/>
              <w:ind w:right="2573"/>
              <w:spacing w:after="0"/>
              <w:rPr>
                <w:sz w:val="20"/>
                <w:szCs w:val="20"/>
                <w:color w:val="auto"/>
              </w:rPr>
            </w:pPr>
            <w:r>
              <w:rPr>
                <w:rFonts w:ascii="Times New Roman" w:cs="Times New Roman" w:eastAsia="Times New Roman" w:hAnsi="Times New Roman"/>
                <w:sz w:val="17"/>
                <w:szCs w:val="17"/>
                <w:color w:val="auto"/>
              </w:rPr>
              <w:t>F-82</w:t>
            </w: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13" w:name="page214"/>
    <w:bookmarkEnd w:id="21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 xml:space="preserve">LEASES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22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Financing</w:t>
            </w:r>
          </w:p>
        </w:tc>
      </w:tr>
      <w:tr>
        <w:trPr>
          <w:trHeight w:val="205"/>
        </w:trPr>
        <w:tc>
          <w:tcPr>
            <w:tcW w:w="49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22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45"/>
        </w:trPr>
        <w:tc>
          <w:tcPr>
            <w:tcW w:w="49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11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4.51</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1.22</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1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5.94%</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13.21%</w:t>
            </w:r>
          </w:p>
        </w:tc>
      </w:tr>
    </w:tbl>
    <w:p>
      <w:pPr>
        <w:spacing w:after="0" w:line="189"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Company’s rent expense totaled approximately $4,178 and $3,514 during the years ended December 31, 2021 and 2020, respectively.</w:t>
      </w:r>
    </w:p>
    <w:p>
      <w:pPr>
        <w:spacing w:after="0" w:line="144"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14.</w:t>
        <w:tab/>
        <w:t>OTHER EXPENSE, NET</w:t>
      </w:r>
    </w:p>
    <w:p>
      <w:pPr>
        <w:spacing w:after="0" w:line="15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Other expense, net on the consolidated statements of operations and comprehensive loss is comprised of the following for the years ended December 31, 2021 and 2020, respectively:</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6"/>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5"/>
        </w:trPr>
        <w:tc>
          <w:tcPr>
            <w:tcW w:w="4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448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income</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Change in fair value of derivative and warrant liability</w:t>
            </w: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(1,806)</w:t>
            </w:r>
          </w:p>
        </w:tc>
        <w:tc>
          <w:tcPr>
            <w:tcW w:w="0" w:type="dxa"/>
            <w:vAlign w:val="bottom"/>
          </w:tcPr>
          <w:p>
            <w:pPr>
              <w:spacing w:after="0"/>
              <w:rPr>
                <w:sz w:val="1"/>
                <w:szCs w:val="1"/>
                <w:color w:val="auto"/>
              </w:rPr>
            </w:pPr>
          </w:p>
        </w:tc>
      </w:tr>
      <w:tr>
        <w:trPr>
          <w:trHeight w:val="234"/>
        </w:trPr>
        <w:tc>
          <w:tcPr>
            <w:tcW w:w="4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Loss on extinguishment of convertible note</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(3,775)</w:t>
            </w:r>
          </w:p>
        </w:tc>
        <w:tc>
          <w:tcPr>
            <w:tcW w:w="0" w:type="dxa"/>
            <w:vAlign w:val="bottom"/>
          </w:tcPr>
          <w:p>
            <w:pPr>
              <w:spacing w:after="0"/>
              <w:rPr>
                <w:sz w:val="1"/>
                <w:szCs w:val="1"/>
                <w:color w:val="auto"/>
              </w:rPr>
            </w:pPr>
          </w:p>
        </w:tc>
      </w:tr>
      <w:tr>
        <w:trPr>
          <w:trHeight w:val="39"/>
        </w:trPr>
        <w:tc>
          <w:tcPr>
            <w:tcW w:w="4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expense, net</w:t>
            </w: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 other expense, net</w:t>
            </w: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3"/>
        </w:trPr>
        <w:tc>
          <w:tcPr>
            <w:tcW w:w="4480" w:type="dxa"/>
            <w:vAlign w:val="bottom"/>
            <w:vMerge w:val="continue"/>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(5,415</w:t>
            </w:r>
          </w:p>
        </w:tc>
        <w:tc>
          <w:tcPr>
            <w:tcW w:w="1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(5,396</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15.</w:t>
        <w:tab/>
        <w:t>NET LOSS PER SHARE</w:t>
      </w:r>
    </w:p>
    <w:p>
      <w:pPr>
        <w:spacing w:after="0" w:line="15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 presents the calculation of basic and diluted net loss per share attributable to common stockholders for the years ended December 31, 2021 and 2020:</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6"/>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478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Numerator:</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28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(74,407)</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Less: deemed dividend related to the exchange of Preferred Stock</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Series D-3A for Preferred Stock Series D-3</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(3,182)</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3"/>
        </w:trPr>
        <w:tc>
          <w:tcPr>
            <w:tcW w:w="4780" w:type="dxa"/>
            <w:vAlign w:val="bottom"/>
            <w:gridSpan w:val="2"/>
            <w:vMerge w:val="continue"/>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120" w:type="dxa"/>
            <w:vAlign w:val="bottom"/>
            <w:vMerge w:val="continue"/>
          </w:tcPr>
          <w:p>
            <w:pPr>
              <w:spacing w:after="0"/>
              <w:rPr>
                <w:sz w:val="23"/>
                <w:szCs w:val="23"/>
                <w:color w:val="auto"/>
              </w:rPr>
            </w:pPr>
          </w:p>
        </w:tc>
        <w:tc>
          <w:tcPr>
            <w:tcW w:w="28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(77,589</w:t>
            </w:r>
          </w:p>
        </w:tc>
        <w:tc>
          <w:tcPr>
            <w:tcW w:w="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Denominator:</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 average shares outstanding – Basic and Dilutive</w:t>
            </w: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12,104,523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11,780,078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Basic and Diluted Net Loss Per Share</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For the years ended December 31, 2021 and 2020, the diluted earnings per share is equal to the basic earnings per share as the effect of potentially dilutive securities would have been antidilutive.</w:t>
      </w:r>
    </w:p>
    <w:p>
      <w:pPr>
        <w:spacing w:after="0" w:line="68"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following table summarizes the outstanding shares of potentially dilutive securities that were excluded from the calculation of diluted earnings per share because their inclusion would have been anti-dilutive for the years ended December 31, 2021 and 2020:</w:t>
      </w:r>
    </w:p>
    <w:p>
      <w:pPr>
        <w:spacing w:after="0" w:line="178"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4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360" w:type="dxa"/>
            <w:vAlign w:val="bottom"/>
            <w:gridSpan w:val="3"/>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5"/>
        </w:trPr>
        <w:tc>
          <w:tcPr>
            <w:tcW w:w="4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1"/>
        </w:trPr>
        <w:tc>
          <w:tcPr>
            <w:tcW w:w="4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600" w:type="dxa"/>
            <w:vAlign w:val="bottom"/>
            <w:gridSpan w:val="2"/>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18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2900" w:type="dxa"/>
            <w:vAlign w:val="bottom"/>
            <w:gridSpan w:val="2"/>
          </w:tcPr>
          <w:p>
            <w:pPr>
              <w:spacing w:after="0"/>
              <w:rPr>
                <w:sz w:val="3"/>
                <w:szCs w:val="3"/>
                <w:color w:val="auto"/>
              </w:rPr>
            </w:pPr>
          </w:p>
        </w:tc>
        <w:tc>
          <w:tcPr>
            <w:tcW w:w="2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3"/>
        </w:trPr>
        <w:tc>
          <w:tcPr>
            <w:tcW w:w="400" w:type="dxa"/>
            <w:vAlign w:val="bottom"/>
          </w:tcPr>
          <w:p>
            <w:pPr>
              <w:spacing w:after="0"/>
              <w:rPr>
                <w:sz w:val="20"/>
                <w:szCs w:val="20"/>
                <w:color w:val="auto"/>
              </w:rPr>
            </w:pPr>
          </w:p>
        </w:tc>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25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5,475,283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5,178,276</w:t>
            </w:r>
          </w:p>
        </w:tc>
      </w:tr>
      <w:tr>
        <w:trPr>
          <w:trHeight w:val="234"/>
        </w:trPr>
        <w:tc>
          <w:tcPr>
            <w:tcW w:w="29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Series C Warrants</w:t>
            </w:r>
          </w:p>
        </w:tc>
        <w:tc>
          <w:tcPr>
            <w:tcW w:w="25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134,126</w:t>
            </w:r>
          </w:p>
        </w:tc>
      </w:tr>
      <w:tr>
        <w:trPr>
          <w:trHeight w:val="39"/>
        </w:trPr>
        <w:tc>
          <w:tcPr>
            <w:tcW w:w="2900" w:type="dxa"/>
            <w:vAlign w:val="bottom"/>
            <w:gridSpan w:val="2"/>
          </w:tcPr>
          <w:p>
            <w:pPr>
              <w:spacing w:after="0"/>
              <w:rPr>
                <w:sz w:val="3"/>
                <w:szCs w:val="3"/>
                <w:color w:val="auto"/>
              </w:rPr>
            </w:pPr>
          </w:p>
        </w:tc>
        <w:tc>
          <w:tcPr>
            <w:tcW w:w="2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3"/>
        </w:trPr>
        <w:tc>
          <w:tcPr>
            <w:tcW w:w="40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warrants</w:t>
            </w:r>
          </w:p>
        </w:tc>
        <w:tc>
          <w:tcPr>
            <w:tcW w:w="3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191,355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7"/>
        </w:trPr>
        <w:tc>
          <w:tcPr>
            <w:tcW w:w="29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Preferred Stock</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19,248,537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19,132,387</w:t>
            </w:r>
          </w:p>
        </w:tc>
      </w:tr>
      <w:tr>
        <w:trPr>
          <w:trHeight w:val="26"/>
        </w:trPr>
        <w:tc>
          <w:tcPr>
            <w:tcW w:w="400" w:type="dxa"/>
            <w:vAlign w:val="bottom"/>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3"/>
        </w:trPr>
        <w:tc>
          <w:tcPr>
            <w:tcW w:w="400" w:type="dxa"/>
            <w:vAlign w:val="bottom"/>
          </w:tcPr>
          <w:p>
            <w:pPr>
              <w:spacing w:after="0"/>
              <w:rPr>
                <w:sz w:val="20"/>
                <w:szCs w:val="20"/>
                <w:color w:val="auto"/>
              </w:rPr>
            </w:pPr>
          </w:p>
        </w:tc>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24,915,175</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24,444,789</w:t>
            </w:r>
          </w:p>
        </w:tc>
      </w:tr>
      <w:tr>
        <w:trPr>
          <w:trHeight w:val="20"/>
        </w:trPr>
        <w:tc>
          <w:tcPr>
            <w:tcW w:w="40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62"/>
        </w:trPr>
        <w:tc>
          <w:tcPr>
            <w:tcW w:w="4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7"/>
                <w:szCs w:val="17"/>
                <w:color w:val="auto"/>
              </w:rPr>
              <w:t>F-83</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14" w:name="page215"/>
    <w:bookmarkEnd w:id="21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16.</w:t>
        <w:tab/>
        <w:t>INCOME TAXES</w:t>
      </w:r>
    </w:p>
    <w:p>
      <w:pPr>
        <w:spacing w:after="0" w:line="15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Company’s income (loss) before provision for income taxes for the years ended December 31, 2021 and 2020 consist of the following:</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r>
      <w:tr>
        <w:trPr>
          <w:trHeight w:val="45"/>
        </w:trPr>
        <w:tc>
          <w:tcPr>
            <w:tcW w:w="2960" w:type="dxa"/>
            <w:vAlign w:val="bottom"/>
            <w:tcBorders>
              <w:bottom w:val="single" w:sz="8" w:color="CCEEFF"/>
            </w:tcBorders>
          </w:tcPr>
          <w:p>
            <w:pPr>
              <w:spacing w:after="0"/>
              <w:rPr>
                <w:sz w:val="3"/>
                <w:szCs w:val="3"/>
                <w:color w:val="auto"/>
              </w:rPr>
            </w:pPr>
          </w:p>
        </w:tc>
        <w:tc>
          <w:tcPr>
            <w:tcW w:w="20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(73,056)</w:t>
            </w: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International</w:t>
            </w:r>
          </w:p>
        </w:tc>
        <w:tc>
          <w:tcPr>
            <w:tcW w:w="2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(613)</w:t>
            </w:r>
          </w:p>
        </w:tc>
      </w:tr>
      <w:tr>
        <w:trPr>
          <w:trHeight w:val="26"/>
        </w:trPr>
        <w:tc>
          <w:tcPr>
            <w:tcW w:w="29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296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components of the provision for income taxes for the years ended December 31, 2021 and 2020 consist of the following:</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100" w:type="dxa"/>
            <w:vAlign w:val="bottom"/>
            <w:tcBorders>
              <w:bottom w:val="single" w:sz="8" w:color="CCEEFF"/>
            </w:tcBorders>
          </w:tcPr>
          <w:p>
            <w:pPr>
              <w:spacing w:after="0"/>
              <w:rPr>
                <w:sz w:val="3"/>
                <w:szCs w:val="3"/>
                <w:color w:val="auto"/>
              </w:rPr>
            </w:pPr>
          </w:p>
        </w:tc>
        <w:tc>
          <w:tcPr>
            <w:tcW w:w="19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Federal</w:t>
            </w:r>
          </w:p>
        </w:tc>
        <w:tc>
          <w:tcPr>
            <w:tcW w:w="2680" w:type="dxa"/>
            <w:vAlign w:val="bottom"/>
            <w:gridSpan w:val="3"/>
          </w:tcPr>
          <w:p>
            <w:pPr>
              <w:jc w:val="right"/>
              <w:ind w:right="613"/>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5"/>
          </w:tcPr>
          <w:p>
            <w:pPr>
              <w:jc w:val="right"/>
              <w:ind w:right="113"/>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State</w:t>
            </w: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International</w:t>
            </w: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2680" w:type="dxa"/>
            <w:vAlign w:val="bottom"/>
            <w:gridSpan w:val="3"/>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4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100" w:type="dxa"/>
            <w:vAlign w:val="bottom"/>
            <w:tcBorders>
              <w:bottom w:val="single" w:sz="8" w:color="CCEEFF"/>
            </w:tcBorders>
          </w:tcPr>
          <w:p>
            <w:pPr>
              <w:spacing w:after="0"/>
              <w:rPr>
                <w:sz w:val="3"/>
                <w:szCs w:val="3"/>
                <w:color w:val="auto"/>
              </w:rPr>
            </w:pPr>
          </w:p>
        </w:tc>
        <w:tc>
          <w:tcPr>
            <w:tcW w:w="19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w:t>
            </w: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Federal</w:t>
            </w:r>
          </w:p>
        </w:tc>
        <w:tc>
          <w:tcPr>
            <w:tcW w:w="2680" w:type="dxa"/>
            <w:vAlign w:val="bottom"/>
            <w:gridSpan w:val="3"/>
          </w:tcPr>
          <w:p>
            <w:pPr>
              <w:jc w:val="right"/>
              <w:ind w:right="593"/>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5"/>
          </w:tcPr>
          <w:p>
            <w:pPr>
              <w:jc w:val="right"/>
              <w:ind w:right="93"/>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State</w:t>
            </w: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International</w:t>
            </w: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2680" w:type="dxa"/>
            <w:vAlign w:val="bottom"/>
            <w:gridSpan w:val="3"/>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112</w:t>
            </w:r>
          </w:p>
        </w:tc>
        <w:tc>
          <w:tcPr>
            <w:tcW w:w="34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7"/>
                <w:szCs w:val="17"/>
                <w:color w:val="auto"/>
              </w:rPr>
              <w:t>Total provision</w:t>
            </w:r>
          </w:p>
        </w:tc>
        <w:tc>
          <w:tcPr>
            <w:tcW w:w="192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vMerge w:val="continue"/>
          </w:tcPr>
          <w:p>
            <w:pPr>
              <w:spacing w:after="0"/>
              <w:rPr>
                <w:sz w:val="18"/>
                <w:szCs w:val="18"/>
                <w:color w:val="auto"/>
              </w:rPr>
            </w:pPr>
          </w:p>
        </w:tc>
        <w:tc>
          <w:tcPr>
            <w:tcW w:w="1920" w:type="dxa"/>
            <w:vAlign w:val="bottom"/>
            <w:gridSpan w:val="2"/>
          </w:tcPr>
          <w:p>
            <w:pPr>
              <w:spacing w:after="0"/>
              <w:rPr>
                <w:sz w:val="18"/>
                <w:szCs w:val="18"/>
                <w:color w:val="auto"/>
              </w:rPr>
            </w:pPr>
          </w:p>
        </w:tc>
        <w:tc>
          <w:tcPr>
            <w:tcW w:w="760" w:type="dxa"/>
            <w:vAlign w:val="bottom"/>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456</w:t>
            </w:r>
          </w:p>
        </w:tc>
        <w:tc>
          <w:tcPr>
            <w:tcW w:w="80" w:type="dxa"/>
            <w:vAlign w:val="bottom"/>
            <w:gridSpan w:val="2"/>
          </w:tcPr>
          <w:p>
            <w:pPr>
              <w:spacing w:after="0"/>
              <w:rPr>
                <w:sz w:val="18"/>
                <w:szCs w:val="18"/>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has incurred net pre-tax losses in the United States only for all periods presented. The Company recorded an income tax expense of $456 and $738 for the years ended December 31, 2021 and 2020, which reflects withholding tax paid on the U.S. books for sales in Korea and estimated 2021 income tax related to foreign subsidiaries.</w:t>
      </w:r>
    </w:p>
    <w:p>
      <w:pPr>
        <w:spacing w:after="0" w:line="92"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benefit from income taxes differs from the amount expected by applying the federal statutory rate to the loss before taxes as follows:</w:t>
      </w: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3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660" w:type="dxa"/>
            <w:vAlign w:val="bottom"/>
            <w:gridSpan w:val="2"/>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7"/>
                <w:szCs w:val="17"/>
                <w:color w:val="auto"/>
              </w:rPr>
            </w:pPr>
          </w:p>
        </w:tc>
      </w:tr>
      <w:tr>
        <w:trPr>
          <w:trHeight w:val="45"/>
        </w:trPr>
        <w:tc>
          <w:tcPr>
            <w:tcW w:w="354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3"/>
        </w:trPr>
        <w:tc>
          <w:tcPr>
            <w:tcW w:w="360" w:type="dxa"/>
            <w:vAlign w:val="bottom"/>
          </w:tcPr>
          <w:p>
            <w:pPr>
              <w:spacing w:after="0"/>
              <w:rPr>
                <w:sz w:val="20"/>
                <w:szCs w:val="20"/>
                <w:color w:val="auto"/>
              </w:rPr>
            </w:pPr>
          </w:p>
        </w:tc>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 statutory income tax rate</w:t>
            </w:r>
          </w:p>
        </w:tc>
        <w:tc>
          <w:tcPr>
            <w:tcW w:w="17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w:t>
            </w:r>
          </w:p>
        </w:tc>
      </w:tr>
      <w:tr>
        <w:trPr>
          <w:trHeight w:val="234"/>
        </w:trPr>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State income tax rate, net of federal benefit</w:t>
            </w:r>
          </w:p>
        </w:tc>
        <w:tc>
          <w:tcPr>
            <w:tcW w:w="2880" w:type="dxa"/>
            <w:vAlign w:val="bottom"/>
            <w:gridSpan w:val="3"/>
          </w:tcPr>
          <w:p>
            <w:pPr>
              <w:jc w:val="right"/>
              <w:ind w:right="13"/>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39"/>
        </w:trPr>
        <w:tc>
          <w:tcPr>
            <w:tcW w:w="354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3"/>
        </w:trPr>
        <w:tc>
          <w:tcPr>
            <w:tcW w:w="360" w:type="dxa"/>
            <w:vAlign w:val="bottom"/>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withholding and income tax</w:t>
            </w:r>
          </w:p>
        </w:tc>
        <w:tc>
          <w:tcPr>
            <w:tcW w:w="2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(0.99)%</w:t>
            </w:r>
          </w:p>
        </w:tc>
      </w:tr>
      <w:tr>
        <w:trPr>
          <w:trHeight w:val="234"/>
        </w:trPr>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2880" w:type="dxa"/>
            <w:vAlign w:val="bottom"/>
            <w:gridSpan w:val="3"/>
          </w:tcPr>
          <w:p>
            <w:pPr>
              <w:jc w:val="right"/>
              <w:ind w:right="13"/>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2.51%</w:t>
            </w:r>
          </w:p>
        </w:tc>
      </w:tr>
      <w:tr>
        <w:trPr>
          <w:trHeight w:val="39"/>
        </w:trPr>
        <w:tc>
          <w:tcPr>
            <w:tcW w:w="354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3"/>
        </w:trPr>
        <w:tc>
          <w:tcPr>
            <w:tcW w:w="360" w:type="dxa"/>
            <w:vAlign w:val="bottom"/>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2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(20.44)%</w:t>
            </w:r>
          </w:p>
        </w:tc>
      </w:tr>
      <w:tr>
        <w:trPr>
          <w:trHeight w:val="234"/>
        </w:trPr>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Stock based compensation</w:t>
            </w:r>
          </w:p>
        </w:tc>
        <w:tc>
          <w:tcPr>
            <w:tcW w:w="2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(0.92)%</w:t>
            </w: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(0.00)%</w:t>
            </w:r>
          </w:p>
        </w:tc>
      </w:tr>
      <w:tr>
        <w:trPr>
          <w:trHeight w:val="39"/>
        </w:trPr>
        <w:tc>
          <w:tcPr>
            <w:tcW w:w="354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3"/>
        </w:trPr>
        <w:tc>
          <w:tcPr>
            <w:tcW w:w="360" w:type="dxa"/>
            <w:vAlign w:val="bottom"/>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Non-deductible permanent expenses</w:t>
            </w:r>
          </w:p>
        </w:tc>
        <w:tc>
          <w:tcPr>
            <w:tcW w:w="2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r>
      <w:tr>
        <w:trPr>
          <w:trHeight w:val="247"/>
        </w:trPr>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Other</w:t>
            </w:r>
          </w:p>
        </w:tc>
        <w:tc>
          <w:tcPr>
            <w:tcW w:w="2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(0.95)%</w:t>
            </w: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(0.09)%</w:t>
            </w:r>
          </w:p>
        </w:tc>
      </w:tr>
      <w:tr>
        <w:trPr>
          <w:trHeight w:val="26"/>
        </w:trPr>
        <w:tc>
          <w:tcPr>
            <w:tcW w:w="360" w:type="dxa"/>
            <w:vAlign w:val="bottom"/>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33"/>
        </w:trPr>
        <w:tc>
          <w:tcPr>
            <w:tcW w:w="360" w:type="dxa"/>
            <w:vAlign w:val="bottom"/>
          </w:tcPr>
          <w:p>
            <w:pPr>
              <w:spacing w:after="0"/>
              <w:rPr>
                <w:sz w:val="20"/>
                <w:szCs w:val="20"/>
                <w:color w:val="auto"/>
              </w:rPr>
            </w:pPr>
          </w:p>
        </w:tc>
        <w:tc>
          <w:tcPr>
            <w:tcW w:w="31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(0.58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88"/>
              </w:rPr>
              <w:t>)%</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(0.99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88"/>
              </w:rPr>
              <w:t>)%</w:t>
            </w:r>
          </w:p>
        </w:tc>
      </w:tr>
      <w:tr>
        <w:trPr>
          <w:trHeight w:val="20"/>
        </w:trPr>
        <w:tc>
          <w:tcPr>
            <w:tcW w:w="3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62"/>
        </w:trPr>
        <w:tc>
          <w:tcPr>
            <w:tcW w:w="3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color w:val="auto"/>
              </w:rPr>
              <w:t>F-84</w:t>
            </w: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15" w:name="page216"/>
    <w:bookmarkEnd w:id="21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16.</w:t>
        <w:tab/>
        <w:t xml:space="preserve">INCOME TAXES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Deferred income tax reflects the tax effects of temporary differences between the carrying amounts of assets and liabilities for financial reporting purposes and the amounts used for income tax purposes. The categories that give rise to significant components of the deferred tax assets are as follows:</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4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16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54,527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Property and equipment and intangible assets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revenue</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Contract liability</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Share-based compensation</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rent</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4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Debt issuance cost</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Accruals and reserves</w:t>
            </w:r>
          </w:p>
        </w:tc>
        <w:tc>
          <w:tcPr>
            <w:tcW w:w="8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Gross deferred tax assets</w:t>
            </w:r>
          </w:p>
        </w:tc>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91,324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71,120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(86,695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(68,760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7"/>
        </w:trPr>
        <w:tc>
          <w:tcPr>
            <w:tcW w:w="4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Property and equipment and intangible assets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47"/>
        </w:trPr>
        <w:tc>
          <w:tcPr>
            <w:tcW w:w="4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Right-of-use assets</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4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deferred tax liabilities</w:t>
            </w: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Net deferred tax assets</w:t>
            </w:r>
          </w:p>
        </w:tc>
        <w:tc>
          <w:tcPr>
            <w:tcW w:w="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160" w:type="dxa"/>
            <w:vAlign w:val="bottom"/>
            <w:vMerge w:val="continue"/>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63" w:lineRule="auto"/>
        <w:rPr>
          <w:sz w:val="20"/>
          <w:szCs w:val="20"/>
          <w:color w:val="auto"/>
        </w:rPr>
      </w:pPr>
      <w:r>
        <w:rPr>
          <w:rFonts w:ascii="Times New Roman" w:cs="Times New Roman" w:eastAsia="Times New Roman" w:hAnsi="Times New Roman"/>
          <w:sz w:val="17"/>
          <w:szCs w:val="17"/>
          <w:color w:val="auto"/>
        </w:rPr>
        <w:t>Based on available objective evidence, management believes it is more-likely-than-not that the federal and state deferred tax assets will not be fully realized due to the Company’s cumulative losses. Accordingly, the Company has provided a valuation allowance on deferred tax assets in excess of deferred tax liabilities against its federal and state deferred tax assets as of December 31, 2021 and 2020. The valuation allowance increased by $17,934 and by $15,265 for the year ended December 31, 2021 and 2020, respectively.</w:t>
      </w:r>
    </w:p>
    <w:p>
      <w:pPr>
        <w:spacing w:after="0" w:line="306"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is not asserting permanent reinvestment of its unrepatriated foreign earnings under APB23. Management has analyzed the unrepatriated foreign earnings balances and determined that the following balances exist according to U.S. GAAP as of December 31, 2021: $972 in Canada, $0 in China, $5,681 in Germany, $159 in Japan and $0 in Korea. Based on the U.S. income tax treaties with Japan and Germany, the Company is entitled to a reduced 0% withholding rate on dividends from the Japanese and German subsidiaries (respectively). Under the U.S. income tax treaty with Canada, the withholding tax rate on dividends is reduced to 5%. Based on the unrepatriated earnings balance of $972, the effective tax liability is approximately $49. Management deems this amount to be immaterial to the financials.</w:t>
      </w:r>
    </w:p>
    <w:p>
      <w:pPr>
        <w:spacing w:after="0" w:line="112"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As of December 31, 2021, the Company had net operating loss carry forwards of approximately $301,503 and $102,925 available to reduce future taxable income, if any, for both federal and state income tax purposes, respectively. Additionally, as of December 31, 2021, the Company had Germany net operating loss carryforwards of $3,383. The federal and state net operating loss carry forwards will start to expire in 2025 and 2028, respectively, with the exception of $212,867 in federal net operating loss carryforwards, which can be carried forward indefinitely. The Germany net operating losses can be carried forward indefinitely.</w:t>
      </w:r>
    </w:p>
    <w:p>
      <w:pPr>
        <w:spacing w:after="0" w:line="110"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also had federal and state research and development credit carry forwards of approximately $8,900 and $7,993, respectively, at December 31, 2021. The federal credits will expire starting in 2029 if not utilized. State research and development tax credits will carry forward indefinitely.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6" w:name="page217"/>
    <w:bookmarkEnd w:id="21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16.</w:t>
        <w:tab/>
        <w:t xml:space="preserve">INCOME TAXES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Under Sections 382 and 383 of the Internal Revenue Code of 1986 and similar state tax laws, if a corporation undergoes an ownership change, the utilization of net operating loss carryforwards and other tax attributes could be subject to an annual limitation. The annual limitation may result in the expiration of the net operating loss carryforwards and credits carryforwards before utilization. The Company has not undertaken a study to determine if ownership change has occurred as defined under IRC Section 382. In the event the Company previously experienced an ownership change, or should experience an ownership change in the future, the amount of net operating losses and research and development credit carryovers, which are reserved by a full deferred tax asset valuation allowance, could be limited and may expire unutilized.</w:t>
      </w:r>
    </w:p>
    <w:p>
      <w:pPr>
        <w:spacing w:after="0" w:line="115"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As of December 31, 2021, the Company has not filed its 2019 Germany income tax return. Accordingly, the Company has recognized $474 of interest and penalties expected to be owed with the late filing of the 2019 Germany income tax return, which have been included as other expense in the Company’s statement of operations with its consolidated financial statements.</w:t>
      </w:r>
    </w:p>
    <w:p>
      <w:pPr>
        <w:spacing w:after="0" w:line="9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Company’s tax years 2006 to 2021 will remain open for examination by the federal and state authorities for three and four years, respectively, from the date of utilization of any net operating loss credits.</w:t>
      </w:r>
    </w:p>
    <w:p>
      <w:pPr>
        <w:spacing w:after="0" w:line="9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On March 27, 2020 and December 27, 2020, the United States enacted the Coronavirus Aid, Relief, and Economic Security (CARES) Act and the Consolidated Appropriation Act (CAA), respectively, as a result of the Coronavirus pandemic, which contain among other things, numerous income tax provisions. Some of these tax provisions are expected to be effective retroactively for years ending before the date of enactment. The company has evaluated the current legislation and at this time, does not anticipate the CARES Act or the CCA to have a material impact on its financial statements.</w:t>
      </w:r>
    </w:p>
    <w:p>
      <w:pPr>
        <w:spacing w:after="0" w:line="173"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17.</w:t>
        <w:tab/>
        <w:t>RELATED PARTY TRANSACTIONS</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entered into revenue contracts to perform professional services for certain companies who are also investors in the Company. These companies are holders of either the Company’s common stock or Preferred Stock. The following is financial information on related party transactions as of and for the years ended December 31, 2021:</w:t>
      </w:r>
    </w:p>
    <w:p>
      <w:pPr>
        <w:spacing w:after="0" w:line="13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3813175</wp:posOffset>
            </wp:positionH>
            <wp:positionV relativeFrom="paragraph">
              <wp:posOffset>35560</wp:posOffset>
            </wp:positionV>
            <wp:extent cx="152654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526540" cy="8255"/>
                    </a:xfrm>
                    <a:prstGeom prst="rect">
                      <a:avLst/>
                    </a:prstGeom>
                    <a:noFill/>
                  </pic:spPr>
                </pic:pic>
              </a:graphicData>
            </a:graphic>
          </wp:anchor>
        </w:drawing>
      </w:r>
    </w:p>
    <w:p>
      <w:pPr>
        <w:spacing w:after="0" w:line="72"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3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0" w:type="dxa"/>
            <w:vAlign w:val="bottom"/>
          </w:tcPr>
          <w:p>
            <w:pPr>
              <w:spacing w:after="0"/>
              <w:rPr>
                <w:sz w:val="1"/>
                <w:szCs w:val="1"/>
                <w:color w:val="auto"/>
              </w:rPr>
            </w:pPr>
          </w:p>
        </w:tc>
      </w:tr>
      <w:tr>
        <w:trPr>
          <w:trHeight w:val="45"/>
        </w:trPr>
        <w:tc>
          <w:tcPr>
            <w:tcW w:w="32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7,013</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6,668</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3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0" w:type="dxa"/>
            <w:vAlign w:val="bottom"/>
          </w:tcPr>
          <w:p>
            <w:pPr>
              <w:spacing w:after="0"/>
              <w:rPr>
                <w:sz w:val="1"/>
                <w:szCs w:val="1"/>
                <w:color w:val="auto"/>
              </w:rPr>
            </w:pPr>
          </w:p>
        </w:tc>
      </w:tr>
      <w:tr>
        <w:trPr>
          <w:trHeight w:val="45"/>
        </w:trPr>
        <w:tc>
          <w:tcPr>
            <w:tcW w:w="32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1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15,238</w:t>
            </w:r>
          </w:p>
        </w:tc>
        <w:tc>
          <w:tcPr>
            <w:tcW w:w="10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16,787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18.</w:t>
        <w:tab/>
        <w:t>SUBSEQUENT EVENTS</w:t>
      </w:r>
    </w:p>
    <w:p>
      <w:pPr>
        <w:spacing w:after="0" w:line="157"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 has evaluated subsequent events through March 9, 2022, the date the consolidated financial statements were issued.</w:t>
      </w:r>
    </w:p>
    <w:p>
      <w:pPr>
        <w:spacing w:after="0" w:line="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In January 2022, the Company entered into a new office lease agreement for office space in Tokyo, Japan.</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lease commenced on January 1, 2022 and will expire on December 31, 2023.</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7" w:name="page218"/>
    <w:bookmarkEnd w:id="217"/>
    <w:p>
      <w:pPr>
        <w:spacing w:after="0" w:line="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39"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23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33,412</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Restricted cash equivalents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4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6"/>
                <w:szCs w:val="16"/>
                <w:color w:val="auto"/>
              </w:rPr>
              <w:t>Accounts receivable, net of allowances of $109 as of September 30, 2022 and</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December 31, 2021</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expenses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Debt issuance cost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Contract assets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current assets</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equivalents, non-current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issuance cost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offering costs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assets, non-current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1"/>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63,841</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49,203</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340" w:type="dxa"/>
            <w:vAlign w:val="bottom"/>
            <w:shd w:val="clear" w:color="auto" w:fill="CCEEFF"/>
          </w:tcPr>
          <w:p>
            <w:pPr>
              <w:ind w:left="16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 REDEEMABLE CONVERTIBLE PREFERRED STOCK,</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Borders>
              <w:bottom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6"/>
                <w:szCs w:val="16"/>
                <w:b w:val="1"/>
                <w:bCs w:val="1"/>
                <w:color w:val="auto"/>
              </w:rPr>
              <w:t>AND STOCKHOLDERS’ DEFICIT</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liabilities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Income tax liability</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Convertible note</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Derivative liability</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Notes payable</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29,964</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3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lease liabilities, net of current portion</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payable, net of current portion</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1"/>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112,937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0" w:type="dxa"/>
            <w:vAlign w:val="bottom"/>
            <w:vMerge w:val="restart"/>
          </w:tcPr>
          <w:p>
            <w:pPr>
              <w:spacing w:after="0"/>
              <w:rPr>
                <w:sz w:val="23"/>
                <w:szCs w:val="23"/>
                <w:color w:val="auto"/>
              </w:rPr>
            </w:pPr>
          </w:p>
        </w:tc>
        <w:tc>
          <w:tcPr>
            <w:tcW w:w="53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3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Legacy SoundHound redeemable convertible preferred stock; $0.0001 par value; 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146,218,514 shares authorized; 0 and 106,949,326 shares issued and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9"/>
              </w:rPr>
              <w:t>outstanding, liquidation preference of $0 and $284,826 as of September 30, 2022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December 31, 2021, respectively</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279,503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4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Legacy SoundHound Common Stock, $0.0001 par value; 250,030,433 shares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authorized; 0 and 68,258,556 shares issued and outstanding as of</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September 30, 2022 and December 31, 2021, respectively</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4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6"/>
                <w:szCs w:val="16"/>
                <w:color w:val="auto"/>
              </w:rPr>
              <w:t>Class A Common Stock, $0.0001 par value; 455,000,000 shares authorized;</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8"/>
              </w:rPr>
              <w:t>157,296,065 and 0 shares issued and outstanding as of September 30, 2022 and</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December 31, 2021, respectively</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4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Class B Common Stock, $0.0001 par value; 44,000,000 shares authorized;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99"/>
              </w:rPr>
              <w:t>40,396,600 and 0 shares issued and outstanding as of September 30, 2022 and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December 31, 2021, respectively</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64" w:right="1440" w:bottom="0" w:gutter="0" w:footer="0" w:header="0"/>
        </w:sectPr>
      </w:pPr>
    </w:p>
    <w:bookmarkStart w:id="218" w:name="page219"/>
    <w:bookmarkEnd w:id="218"/>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292"/>
        </w:trPr>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457,025</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43,491</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03"/>
        </w:trPr>
        <w:tc>
          <w:tcPr>
            <w:tcW w:w="5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deficit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(471,422)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(386,729)</w:t>
            </w:r>
          </w:p>
        </w:tc>
      </w:tr>
      <w:tr>
        <w:trPr>
          <w:trHeight w:val="31"/>
        </w:trPr>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3"/>
        </w:trPr>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(14,377)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(343,237)</w:t>
            </w:r>
          </w:p>
        </w:tc>
      </w:tr>
      <w:tr>
        <w:trPr>
          <w:trHeight w:val="161"/>
        </w:trPr>
        <w:tc>
          <w:tcPr>
            <w:tcW w:w="5300" w:type="dxa"/>
            <w:vAlign w:val="bottom"/>
          </w:tcPr>
          <w:p>
            <w:pPr>
              <w:ind w:left="340"/>
              <w:spacing w:after="0" w:line="161" w:lineRule="exact"/>
              <w:rPr>
                <w:sz w:val="20"/>
                <w:szCs w:val="20"/>
                <w:color w:val="auto"/>
              </w:rPr>
            </w:pPr>
            <w:r>
              <w:rPr>
                <w:rFonts w:ascii="Times New Roman" w:cs="Times New Roman" w:eastAsia="Times New Roman" w:hAnsi="Times New Roman"/>
                <w:sz w:val="16"/>
                <w:szCs w:val="16"/>
                <w:color w:val="auto"/>
              </w:rPr>
              <w:t>Total liabilities, redeemable convertible preferred stock, and stockholders’</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228"/>
        </w:trPr>
        <w:tc>
          <w:tcPr>
            <w:tcW w:w="53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deficit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63,841</w:t>
            </w:r>
          </w:p>
        </w:tc>
        <w:tc>
          <w:tcPr>
            <w:tcW w:w="12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49,203</w:t>
            </w:r>
          </w:p>
        </w:tc>
        <w:tc>
          <w:tcPr>
            <w:tcW w:w="14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19" w:name="page220"/>
    <w:bookmarkEnd w:id="21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6"/>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6"/>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6"/>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6"/>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9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Cost of revenues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4,878</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Sales and marketing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54,864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42,810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22,952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38,194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98,283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62,334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(27,008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(17,170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(76,655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(46,288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29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9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(5,725)</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(2,738)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(4,280)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other expense, net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9"/>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(83,088)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9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1,605</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(84,693)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(57,693)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9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gain:</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Unrealized holding gain on available-for-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 securities, net of tax</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per share:</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(0.59)</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(0.86)</w:t>
            </w: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29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9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Weighted-average common shares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outstanding:</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2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197,006,980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67,718,940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143,338,517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67,021,176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0" w:name="page221"/>
    <w:bookmarkEnd w:id="22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REDEEMABLE CONVERTIBLE PREFERRED</w:t>
      </w:r>
    </w:p>
    <w:p>
      <w:pPr>
        <w:spacing w:after="0" w:line="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STOCK AND STOCKHOLDERS’ EQUITY (DEFICIT)</w:t>
      </w:r>
    </w:p>
    <w:p>
      <w:pPr>
        <w:spacing w:after="0" w:line="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p>
      <w:pPr>
        <w:spacing w:after="0" w:line="25" w:lineRule="exact"/>
        <w:rPr>
          <w:sz w:val="20"/>
          <w:szCs w:val="20"/>
          <w:color w:val="auto"/>
        </w:rPr>
      </w:pPr>
    </w:p>
    <w:tbl>
      <w:tblPr>
        <w:tblLayout w:type="fixed"/>
        <w:tblInd w:w="60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4"/>
          </w:tcPr>
          <w:p>
            <w:pPr>
              <w:jc w:val="center"/>
              <w:ind w:right="51"/>
              <w:spacing w:after="0" w:line="131" w:lineRule="exact"/>
              <w:rPr>
                <w:sz w:val="20"/>
                <w:szCs w:val="20"/>
                <w:color w:val="auto"/>
              </w:rPr>
            </w:pPr>
            <w:r>
              <w:rPr>
                <w:rFonts w:ascii="Times New Roman" w:cs="Times New Roman" w:eastAsia="Times New Roman" w:hAnsi="Times New Roman"/>
                <w:sz w:val="14"/>
                <w:szCs w:val="14"/>
                <w:b w:val="1"/>
                <w:bCs w:val="1"/>
                <w:color w:val="auto"/>
                <w:w w:val="98"/>
              </w:rPr>
              <w:t>Legacy SoundHound</w:t>
            </w:r>
          </w:p>
        </w:tc>
        <w:tc>
          <w:tcPr>
            <w:tcW w:w="5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0" w:type="dxa"/>
            <w:vAlign w:val="bottom"/>
            <w:gridSpan w:val="1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Redeemable Convertible Legacy SoundHound</w:t>
            </w:r>
          </w:p>
        </w:tc>
        <w:tc>
          <w:tcPr>
            <w:tcW w:w="3520" w:type="dxa"/>
            <w:vAlign w:val="bottom"/>
            <w:gridSpan w:val="2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Class A Common Stock Class B Common Stock Additional</w:t>
            </w:r>
          </w:p>
        </w:tc>
        <w:tc>
          <w:tcPr>
            <w:tcW w:w="40" w:type="dxa"/>
            <w:vAlign w:val="bottom"/>
          </w:tcPr>
          <w:p>
            <w:pPr>
              <w:spacing w:after="0"/>
              <w:rPr>
                <w:sz w:val="12"/>
                <w:szCs w:val="12"/>
                <w:color w:val="auto"/>
              </w:rPr>
            </w:pPr>
          </w:p>
        </w:tc>
        <w:tc>
          <w:tcPr>
            <w:tcW w:w="1040" w:type="dxa"/>
            <w:vAlign w:val="bottom"/>
            <w:gridSpan w:val="6"/>
            <w:vMerge w:val="continue"/>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4"/>
          </w:tcPr>
          <w:p>
            <w:pPr>
              <w:jc w:val="center"/>
              <w:ind w:right="31"/>
              <w:spacing w:after="0" w:line="143"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220" w:type="dxa"/>
            <w:vAlign w:val="bottom"/>
            <w:gridSpan w:val="7"/>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3520" w:type="dxa"/>
            <w:vAlign w:val="bottom"/>
            <w:gridSpan w:val="24"/>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5"/>
          </w:tcPr>
          <w:p>
            <w:pPr>
              <w:ind w:left="8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640" w:type="dxa"/>
            <w:vAlign w:val="bottom"/>
            <w:gridSpan w:val="4"/>
            <w:vMerge w:val="restart"/>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780" w:type="dxa"/>
            <w:vAlign w:val="bottom"/>
            <w:gridSpan w:val="12"/>
            <w:vMerge w:val="restart"/>
          </w:tcPr>
          <w:p>
            <w:pPr>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Comprehensive Accumulated</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5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5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5"/>
                <w:szCs w:val="5"/>
                <w:color w:val="auto"/>
              </w:rPr>
            </w:pPr>
          </w:p>
        </w:tc>
        <w:tc>
          <w:tcPr>
            <w:tcW w:w="8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640" w:type="dxa"/>
            <w:vAlign w:val="bottom"/>
            <w:gridSpan w:val="4"/>
            <w:vMerge w:val="continue"/>
          </w:tcPr>
          <w:p>
            <w:pPr>
              <w:spacing w:after="0"/>
              <w:rPr>
                <w:sz w:val="5"/>
                <w:szCs w:val="5"/>
                <w:color w:val="auto"/>
              </w:rPr>
            </w:pPr>
          </w:p>
        </w:tc>
        <w:tc>
          <w:tcPr>
            <w:tcW w:w="1780" w:type="dxa"/>
            <w:vAlign w:val="bottom"/>
            <w:gridSpan w:val="12"/>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7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156,266,549</w:t>
            </w:r>
          </w:p>
        </w:tc>
        <w:tc>
          <w:tcPr>
            <w:tcW w:w="20" w:type="dxa"/>
            <w:vAlign w:val="bottom"/>
            <w:shd w:val="clear" w:color="auto" w:fill="CCEEFF"/>
          </w:tcPr>
          <w:p>
            <w:pPr>
              <w:spacing w:after="0"/>
              <w:rPr>
                <w:sz w:val="8"/>
                <w:szCs w:val="8"/>
                <w:color w:val="auto"/>
              </w:rPr>
            </w:pPr>
          </w:p>
        </w:tc>
        <w:tc>
          <w:tcPr>
            <w:tcW w:w="30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40,396,600</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gridSpan w:val="2"/>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8"/>
                <w:szCs w:val="8"/>
                <w:color w:val="auto"/>
              </w:rPr>
            </w:pPr>
          </w:p>
        </w:tc>
        <w:tc>
          <w:tcPr>
            <w:tcW w:w="1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447,136</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10"/>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 (442,500)</w:t>
            </w:r>
          </w:p>
        </w:tc>
        <w:tc>
          <w:tcPr>
            <w:tcW w:w="1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gridSpan w:val="2"/>
            <w:vMerge w:val="continue"/>
            <w:shd w:val="clear" w:color="auto" w:fill="CCEEFF"/>
          </w:tcPr>
          <w:p>
            <w:pPr>
              <w:spacing w:after="0"/>
              <w:rPr>
                <w:sz w:val="16"/>
                <w:szCs w:val="16"/>
                <w:color w:val="auto"/>
              </w:rPr>
            </w:pPr>
          </w:p>
        </w:tc>
        <w:tc>
          <w:tcPr>
            <w:tcW w:w="6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26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3"/>
            <w:vMerge w:val="continue"/>
            <w:shd w:val="clear" w:color="auto" w:fill="CCEEFF"/>
          </w:tcPr>
          <w:p>
            <w:pPr>
              <w:spacing w:after="0"/>
              <w:rPr>
                <w:sz w:val="16"/>
                <w:szCs w:val="16"/>
                <w:color w:val="auto"/>
              </w:rPr>
            </w:pPr>
          </w:p>
        </w:tc>
        <w:tc>
          <w:tcPr>
            <w:tcW w:w="28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30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1600" w:type="dxa"/>
            <w:vAlign w:val="bottom"/>
            <w:tcBorders>
              <w:bottom w:val="single" w:sz="8" w:color="CCEEFF"/>
            </w:tcBorders>
            <w:gridSpan w:val="10"/>
            <w:vMerge w:val="continue"/>
            <w:shd w:val="clear" w:color="auto" w:fill="CCEEFF"/>
          </w:tcPr>
          <w:p>
            <w:pPr>
              <w:spacing w:after="0"/>
              <w:rPr>
                <w:sz w:val="16"/>
                <w:szCs w:val="16"/>
                <w:color w:val="auto"/>
              </w:rPr>
            </w:pPr>
          </w:p>
        </w:tc>
        <w:tc>
          <w:tcPr>
            <w:tcW w:w="10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Class A</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shares upon</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exercise of</w:t>
            </w:r>
          </w:p>
        </w:tc>
        <w:tc>
          <w:tcPr>
            <w:tcW w:w="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514,931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5"/>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 options</w:t>
            </w: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5"/>
            <w:vMerge w:val="continue"/>
          </w:tcPr>
          <w:p>
            <w:pPr>
              <w:spacing w:after="0"/>
              <w:rPr>
                <w:sz w:val="15"/>
                <w:szCs w:val="15"/>
                <w:color w:val="auto"/>
              </w:rPr>
            </w:pPr>
          </w:p>
        </w:tc>
        <w:tc>
          <w:tcPr>
            <w:tcW w:w="70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tcBorders>
              <w:right w:val="single" w:sz="8" w:color="auto"/>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vesting</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of restricted</w:t>
            </w:r>
          </w:p>
        </w:tc>
        <w:tc>
          <w:tcPr>
            <w:tcW w:w="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514,585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5"/>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5"/>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 units</w:t>
            </w: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5"/>
            <w:vMerge w:val="continue"/>
            <w:shd w:val="clear" w:color="auto" w:fill="CCEEFF"/>
          </w:tcPr>
          <w:p>
            <w:pPr>
              <w:spacing w:after="0"/>
              <w:rPr>
                <w:sz w:val="16"/>
                <w:szCs w:val="16"/>
                <w:color w:val="auto"/>
              </w:rPr>
            </w:pPr>
          </w:p>
        </w:tc>
        <w:tc>
          <w:tcPr>
            <w:tcW w:w="700" w:type="dxa"/>
            <w:vAlign w:val="bottom"/>
            <w:tcBorders>
              <w:bottom w:val="single" w:sz="8" w:color="CCEEFF"/>
            </w:tcBorders>
            <w:gridSpan w:val="5"/>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Stock-based</w:t>
            </w:r>
          </w:p>
        </w:tc>
        <w:tc>
          <w:tcPr>
            <w:tcW w:w="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9,173</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5"/>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5"/>
            <w:vMerge w:val="continue"/>
          </w:tcPr>
          <w:p>
            <w:pPr>
              <w:spacing w:after="0"/>
              <w:rPr>
                <w:sz w:val="15"/>
                <w:szCs w:val="15"/>
                <w:color w:val="auto"/>
              </w:rPr>
            </w:pPr>
          </w:p>
        </w:tc>
        <w:tc>
          <w:tcPr>
            <w:tcW w:w="70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gridSpan w:val="5"/>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(28,922)</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(28,92</w:t>
            </w:r>
          </w:p>
        </w:tc>
        <w:tc>
          <w:tcPr>
            <w:tcW w:w="0" w:type="dxa"/>
            <w:vAlign w:val="bottom"/>
          </w:tcPr>
          <w:p>
            <w:pPr>
              <w:spacing w:after="0"/>
              <w:rPr>
                <w:sz w:val="1"/>
                <w:szCs w:val="1"/>
                <w:color w:val="auto"/>
              </w:rPr>
            </w:pPr>
          </w:p>
        </w:tc>
      </w:tr>
      <w:tr>
        <w:trPr>
          <w:trHeight w:val="271"/>
        </w:trPr>
        <w:tc>
          <w:tcPr>
            <w:tcW w:w="20" w:type="dxa"/>
            <w:vAlign w:val="bottom"/>
            <w:vMerge w:val="restart"/>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40" w:type="dxa"/>
            <w:vAlign w:val="bottom"/>
            <w:tcBorders>
              <w:top w:val="single" w:sz="8" w:color="auto"/>
              <w:right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tcBorders>
              <w:right w:val="single" w:sz="8" w:color="auto"/>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157,296,065</w:t>
            </w:r>
          </w:p>
        </w:tc>
        <w:tc>
          <w:tcPr>
            <w:tcW w:w="20" w:type="dxa"/>
            <w:vAlign w:val="bottom"/>
            <w:shd w:val="clear" w:color="auto" w:fill="CCEEFF"/>
          </w:tcPr>
          <w:p>
            <w:pPr>
              <w:spacing w:after="0"/>
              <w:rPr>
                <w:sz w:val="16"/>
                <w:szCs w:val="16"/>
                <w:color w:val="auto"/>
              </w:rPr>
            </w:pPr>
          </w:p>
        </w:tc>
        <w:tc>
          <w:tcPr>
            <w:tcW w:w="3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40,396,600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16"/>
                <w:szCs w:val="16"/>
                <w:color w:val="auto"/>
              </w:rPr>
            </w:pP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457,025</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5"/>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8"/>
              </w:rPr>
              <w:t>(471,422)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97"/>
              </w:rPr>
              <w:t>$</w:t>
            </w:r>
            <w:r>
              <w:rPr>
                <w:rFonts w:ascii="Times New Roman" w:cs="Times New Roman" w:eastAsia="Times New Roman" w:hAnsi="Times New Roman"/>
                <w:sz w:val="14"/>
                <w:szCs w:val="14"/>
                <w:color w:val="auto"/>
                <w:w w:val="97"/>
              </w:rPr>
              <w:t>(14,37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16"/>
          </w:tcPr>
          <w:p>
            <w:pPr>
              <w:ind w:left="140"/>
              <w:spacing w:after="0"/>
              <w:rPr>
                <w:sz w:val="20"/>
                <w:szCs w:val="20"/>
                <w:color w:val="auto"/>
              </w:rPr>
            </w:pPr>
            <w:r>
              <w:rPr>
                <w:rFonts w:ascii="Times New Roman" w:cs="Times New Roman" w:eastAsia="Times New Roman" w:hAnsi="Times New Roman"/>
                <w:sz w:val="14"/>
                <w:szCs w:val="14"/>
                <w:b w:val="1"/>
                <w:bCs w:val="1"/>
                <w:color w:val="auto"/>
                <w:w w:val="98"/>
              </w:rPr>
              <w:t>Three Months Ended September 30, 2021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4"/>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gridSpan w:val="4"/>
          </w:tcPr>
          <w:p>
            <w:pPr>
              <w:jc w:val="center"/>
              <w:ind w:right="51"/>
              <w:spacing w:after="0" w:line="111" w:lineRule="exact"/>
              <w:rPr>
                <w:sz w:val="20"/>
                <w:szCs w:val="20"/>
                <w:color w:val="auto"/>
              </w:rPr>
            </w:pPr>
            <w:r>
              <w:rPr>
                <w:rFonts w:ascii="Times New Roman" w:cs="Times New Roman" w:eastAsia="Times New Roman" w:hAnsi="Times New Roman"/>
                <w:sz w:val="12"/>
                <w:szCs w:val="12"/>
                <w:b w:val="1"/>
                <w:bCs w:val="1"/>
                <w:color w:val="auto"/>
              </w:rPr>
              <w:t>Legacy SoundHound</w:t>
            </w: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6"/>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0" w:type="dxa"/>
            <w:vAlign w:val="bottom"/>
            <w:gridSpan w:val="1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Redeemable Convertible Legacy SoundHound</w:t>
            </w:r>
          </w:p>
        </w:tc>
        <w:tc>
          <w:tcPr>
            <w:tcW w:w="20" w:type="dxa"/>
            <w:vAlign w:val="bottom"/>
          </w:tcPr>
          <w:p>
            <w:pPr>
              <w:spacing w:after="0"/>
              <w:rPr>
                <w:sz w:val="12"/>
                <w:szCs w:val="12"/>
                <w:color w:val="auto"/>
              </w:rPr>
            </w:pPr>
          </w:p>
        </w:tc>
        <w:tc>
          <w:tcPr>
            <w:tcW w:w="3500" w:type="dxa"/>
            <w:vAlign w:val="bottom"/>
            <w:gridSpan w:val="2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Class A Common Stock Class B Common Stock Additional</w:t>
            </w:r>
          </w:p>
        </w:tc>
        <w:tc>
          <w:tcPr>
            <w:tcW w:w="40" w:type="dxa"/>
            <w:vAlign w:val="bottom"/>
          </w:tcPr>
          <w:p>
            <w:pPr>
              <w:spacing w:after="0"/>
              <w:rPr>
                <w:sz w:val="12"/>
                <w:szCs w:val="12"/>
                <w:color w:val="auto"/>
              </w:rPr>
            </w:pPr>
          </w:p>
        </w:tc>
        <w:tc>
          <w:tcPr>
            <w:tcW w:w="1040" w:type="dxa"/>
            <w:vAlign w:val="bottom"/>
            <w:gridSpan w:val="6"/>
            <w:vMerge w:val="continue"/>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4"/>
          </w:tcPr>
          <w:p>
            <w:pPr>
              <w:jc w:val="center"/>
              <w:ind w:right="31"/>
              <w:spacing w:after="0" w:line="143"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220" w:type="dxa"/>
            <w:vAlign w:val="bottom"/>
            <w:gridSpan w:val="7"/>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2"/>
                <w:szCs w:val="12"/>
                <w:color w:val="auto"/>
              </w:rPr>
            </w:pPr>
          </w:p>
        </w:tc>
        <w:tc>
          <w:tcPr>
            <w:tcW w:w="3500" w:type="dxa"/>
            <w:vAlign w:val="bottom"/>
            <w:gridSpan w:val="2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5"/>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3"/>
            <w:vMerge w:val="restart"/>
          </w:tcPr>
          <w:p>
            <w:pPr>
              <w:jc w:val="right"/>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780" w:type="dxa"/>
            <w:vAlign w:val="bottom"/>
            <w:gridSpan w:val="12"/>
            <w:vMerge w:val="restart"/>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Comprehensive Accumulated</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5"/>
                <w:szCs w:val="5"/>
                <w:color w:val="auto"/>
              </w:rPr>
            </w:pPr>
          </w:p>
        </w:tc>
        <w:tc>
          <w:tcPr>
            <w:tcW w:w="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3"/>
            <w:vMerge w:val="continue"/>
          </w:tcPr>
          <w:p>
            <w:pPr>
              <w:spacing w:after="0"/>
              <w:rPr>
                <w:sz w:val="5"/>
                <w:szCs w:val="5"/>
                <w:color w:val="auto"/>
              </w:rPr>
            </w:pPr>
          </w:p>
        </w:tc>
        <w:tc>
          <w:tcPr>
            <w:tcW w:w="1780" w:type="dxa"/>
            <w:vAlign w:val="bottom"/>
            <w:gridSpan w:val="12"/>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1"/>
              </w:rPr>
              <w:t>67,633,891</w:t>
            </w:r>
          </w:p>
        </w:tc>
        <w:tc>
          <w:tcPr>
            <w:tcW w:w="26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6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8"/>
                <w:szCs w:val="8"/>
                <w:color w:val="auto"/>
              </w:rPr>
            </w:pPr>
          </w:p>
        </w:tc>
        <w:tc>
          <w:tcPr>
            <w:tcW w:w="800" w:type="dxa"/>
            <w:vAlign w:val="bottom"/>
            <w:gridSpan w:val="3"/>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5"/>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7"/>
              </w:rPr>
              <w:t>— $</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39,084</w:t>
            </w:r>
          </w:p>
        </w:tc>
        <w:tc>
          <w:tcPr>
            <w:tcW w:w="20" w:type="dxa"/>
            <w:vAlign w:val="bottom"/>
            <w:shd w:val="clear" w:color="auto" w:fill="CCEEFF"/>
          </w:tcPr>
          <w:p>
            <w:pPr>
              <w:spacing w:after="0"/>
              <w:rPr>
                <w:sz w:val="8"/>
                <w:szCs w:val="8"/>
                <w:color w:val="auto"/>
              </w:rPr>
            </w:pP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10"/>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 (341,101)</w:t>
            </w: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(302,0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gridSpan w:val="2"/>
            <w:vMerge w:val="continue"/>
            <w:shd w:val="clear" w:color="auto" w:fill="CCEEFF"/>
          </w:tcPr>
          <w:p>
            <w:pPr>
              <w:spacing w:after="0"/>
              <w:rPr>
                <w:sz w:val="16"/>
                <w:szCs w:val="16"/>
                <w:color w:val="auto"/>
              </w:rPr>
            </w:pPr>
          </w:p>
        </w:tc>
        <w:tc>
          <w:tcPr>
            <w:tcW w:w="6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26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30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440" w:type="dxa"/>
            <w:vAlign w:val="bottom"/>
            <w:tcBorders>
              <w:bottom w:val="single" w:sz="8" w:color="CCEEFF"/>
            </w:tcBorders>
            <w:gridSpan w:val="5"/>
            <w:vMerge w:val="continue"/>
            <w:shd w:val="clear" w:color="auto" w:fill="CCEEFF"/>
          </w:tcPr>
          <w:p>
            <w:pPr>
              <w:spacing w:after="0"/>
              <w:rPr>
                <w:sz w:val="16"/>
                <w:szCs w:val="16"/>
                <w:color w:val="auto"/>
              </w:rPr>
            </w:pPr>
          </w:p>
        </w:tc>
        <w:tc>
          <w:tcPr>
            <w:tcW w:w="56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1600" w:type="dxa"/>
            <w:vAlign w:val="bottom"/>
            <w:tcBorders>
              <w:bottom w:val="single" w:sz="8" w:color="CCEEFF"/>
            </w:tcBorders>
            <w:gridSpan w:val="10"/>
            <w:vMerge w:val="continue"/>
            <w:shd w:val="clear" w:color="auto" w:fill="CCEEFF"/>
          </w:tcPr>
          <w:p>
            <w:pPr>
              <w:spacing w:after="0"/>
              <w:rPr>
                <w:sz w:val="16"/>
                <w:szCs w:val="16"/>
                <w:color w:val="auto"/>
              </w:rPr>
            </w:pPr>
          </w:p>
        </w:tc>
        <w:tc>
          <w:tcPr>
            <w:tcW w:w="10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exercise</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of stock</w:t>
            </w:r>
          </w:p>
        </w:tc>
        <w:tc>
          <w:tcPr>
            <w:tcW w:w="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212,297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5"/>
            <w:vMerge w:val="continue"/>
          </w:tcPr>
          <w:p>
            <w:pPr>
              <w:spacing w:after="0"/>
              <w:rPr>
                <w:sz w:val="15"/>
                <w:szCs w:val="15"/>
                <w:color w:val="auto"/>
              </w:rPr>
            </w:pPr>
          </w:p>
        </w:tc>
        <w:tc>
          <w:tcPr>
            <w:tcW w:w="70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restart"/>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Stock-based</w:t>
            </w:r>
          </w:p>
        </w:tc>
        <w:tc>
          <w:tcPr>
            <w:tcW w:w="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5"/>
            <w:vMerge w:val="continue"/>
          </w:tcPr>
          <w:p>
            <w:pPr>
              <w:spacing w:after="0"/>
              <w:rPr>
                <w:sz w:val="15"/>
                <w:szCs w:val="15"/>
                <w:color w:val="auto"/>
              </w:rPr>
            </w:pPr>
          </w:p>
        </w:tc>
        <w:tc>
          <w:tcPr>
            <w:tcW w:w="70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8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(23,781)</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271"/>
        </w:trPr>
        <w:tc>
          <w:tcPr>
            <w:tcW w:w="20" w:type="dxa"/>
            <w:vAlign w:val="bottom"/>
            <w:vMerge w:val="restart"/>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40" w:type="dxa"/>
            <w:vAlign w:val="bottom"/>
            <w:tcBorders>
              <w:top w:val="single" w:sz="8" w:color="auto"/>
              <w:right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tcBorders>
              <w:right w:val="single" w:sz="8" w:color="auto"/>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1"/>
              </w:rPr>
              <w:t>67,846,188</w:t>
            </w:r>
          </w:p>
        </w:tc>
        <w:tc>
          <w:tcPr>
            <w:tcW w:w="2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7"/>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40,633</w:t>
            </w: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(364,882)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(324,2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10220"/>
          </w:cols>
          <w:pgMar w:left="1440" w:top="264" w:right="239" w:bottom="1440" w:gutter="0" w:footer="0" w:header="0"/>
        </w:sectPr>
      </w:pPr>
    </w:p>
    <w:bookmarkStart w:id="221" w:name="page222"/>
    <w:bookmarkEnd w:id="22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REDEEMABLE CONVERTIBLE PREFERRED</w:t>
      </w:r>
    </w:p>
    <w:p>
      <w:pPr>
        <w:spacing w:after="0" w:line="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STOCK AND STOCKHOLDERS’ EQUITY (DEFICIT) — (Continued)</w:t>
      </w:r>
    </w:p>
    <w:p>
      <w:pPr>
        <w:spacing w:after="0" w:line="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p>
      <w:pPr>
        <w:spacing w:after="0" w:line="25" w:lineRule="exact"/>
        <w:rPr>
          <w:sz w:val="20"/>
          <w:szCs w:val="20"/>
          <w:color w:val="auto"/>
        </w:rPr>
      </w:pPr>
    </w:p>
    <w:tbl>
      <w:tblPr>
        <w:tblLayout w:type="fixed"/>
        <w:tblInd w:w="60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6"/>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8"/>
              </w:rPr>
              <w:t>Legacy SoundHound</w:t>
            </w:r>
          </w:p>
        </w:tc>
        <w:tc>
          <w:tcPr>
            <w:tcW w:w="1300" w:type="dxa"/>
            <w:vAlign w:val="bottom"/>
            <w:tcBorders>
              <w:top w:val="single" w:sz="8" w:color="auto"/>
            </w:tcBorders>
            <w:gridSpan w:val="7"/>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Legacy SoundHound</w:t>
            </w:r>
          </w:p>
        </w:tc>
        <w:tc>
          <w:tcPr>
            <w:tcW w:w="1080" w:type="dxa"/>
            <w:vAlign w:val="bottom"/>
            <w:tcBorders>
              <w:top w:val="single" w:sz="8" w:color="auto"/>
            </w:tcBorders>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6"/>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Redeemable Convertible</w:t>
            </w:r>
          </w:p>
        </w:tc>
        <w:tc>
          <w:tcPr>
            <w:tcW w:w="1300" w:type="dxa"/>
            <w:vAlign w:val="bottom"/>
            <w:gridSpan w:val="7"/>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4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6"/>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300" w:type="dxa"/>
            <w:vAlign w:val="bottom"/>
            <w:gridSpan w:val="7"/>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080" w:type="dxa"/>
            <w:vAlign w:val="bottom"/>
            <w:gridSpan w:val="3"/>
          </w:tcPr>
          <w:p>
            <w:pPr>
              <w:jc w:val="right"/>
              <w:ind w:right="20"/>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4"/>
          </w:tcPr>
          <w:p>
            <w:pPr>
              <w:jc w:val="right"/>
              <w:ind w:right="51"/>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restart"/>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780" w:type="dxa"/>
            <w:vAlign w:val="bottom"/>
            <w:gridSpan w:val="7"/>
            <w:vMerge w:val="restart"/>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Comprehensive Accumulated</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5"/>
                <w:szCs w:val="5"/>
                <w:color w:val="auto"/>
              </w:rPr>
            </w:pPr>
          </w:p>
        </w:tc>
        <w:tc>
          <w:tcPr>
            <w:tcW w:w="6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780" w:type="dxa"/>
            <w:vAlign w:val="bottom"/>
            <w:gridSpan w:val="7"/>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580" w:type="dxa"/>
            <w:vAlign w:val="bottom"/>
            <w:gridSpan w:val="5"/>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1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19,248,537</w:t>
            </w:r>
          </w:p>
        </w:tc>
        <w:tc>
          <w:tcPr>
            <w:tcW w:w="6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279,503</w:t>
            </w: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12,280,051</w:t>
            </w:r>
          </w:p>
        </w:tc>
        <w:tc>
          <w:tcPr>
            <w:tcW w:w="6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43,491</w:t>
            </w:r>
          </w:p>
        </w:tc>
        <w:tc>
          <w:tcPr>
            <w:tcW w:w="14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(386,729)</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(343,23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gridSpan w:val="2"/>
            <w:vMerge w:val="continue"/>
            <w:shd w:val="clear" w:color="auto" w:fill="CCEEFF"/>
          </w:tcPr>
          <w:p>
            <w:pPr>
              <w:spacing w:after="0"/>
              <w:rPr>
                <w:sz w:val="16"/>
                <w:szCs w:val="16"/>
                <w:color w:val="auto"/>
              </w:rPr>
            </w:pPr>
          </w:p>
        </w:tc>
        <w:tc>
          <w:tcPr>
            <w:tcW w:w="5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3"/>
            <w:vMerge w:val="continue"/>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gridSpan w:val="2"/>
            <w:vMerge w:val="continue"/>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0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Retroactive</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application of</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Business</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Combination</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(Note 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87,700,789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8"/>
              </w:rPr>
              <w:t>(279,503)</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55,978,505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279,504</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0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Adjusted balance,</w:t>
            </w:r>
          </w:p>
        </w:tc>
        <w:tc>
          <w:tcPr>
            <w:tcW w:w="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right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106,949,326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68,258,556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322,995</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(386,729)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0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exercise</w:t>
            </w:r>
          </w:p>
        </w:tc>
        <w:tc>
          <w:tcPr>
            <w:tcW w:w="6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2,582,535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 stock options</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1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Net exercise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outstanding</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673,416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0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Conversion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convertible</w:t>
            </w:r>
          </w:p>
        </w:tc>
        <w:tc>
          <w:tcPr>
            <w:tcW w:w="6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2,046,827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20,239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note</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1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Effect of reverse</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recapitalization,</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net of costs</w:t>
            </w:r>
          </w:p>
        </w:tc>
        <w:tc>
          <w:tcPr>
            <w:tcW w:w="8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(106,949,326)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3"/>
              </w:rPr>
              <w:t>(73,561,334)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140,114,060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14</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40,396,600</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(Note 3)</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PIPE financing</w:t>
            </w:r>
          </w:p>
        </w:tc>
        <w:tc>
          <w:tcPr>
            <w:tcW w:w="6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11,300,000</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86,584</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86,58</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1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Class A</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shares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pursuant to the</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Business</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4,693,050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4,105</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Combination</w:t>
            </w: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0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Class A</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shares</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exercise</w:t>
            </w:r>
          </w:p>
        </w:tc>
        <w:tc>
          <w:tcPr>
            <w:tcW w:w="6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557,030</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 stock options</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1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vesting of</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restricted stock</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631,925</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units</w:t>
            </w: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0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Stock-based</w:t>
            </w:r>
          </w:p>
        </w:tc>
        <w:tc>
          <w:tcPr>
            <w:tcW w:w="60" w:type="dxa"/>
            <w:vAlign w:val="bottom"/>
          </w:tcPr>
          <w:p>
            <w:pPr>
              <w:spacing w:after="0"/>
              <w:rPr>
                <w:sz w:val="10"/>
                <w:szCs w:val="10"/>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19,500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(84,693)</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(84,69</w:t>
            </w:r>
          </w:p>
        </w:tc>
        <w:tc>
          <w:tcPr>
            <w:tcW w:w="0" w:type="dxa"/>
            <w:vAlign w:val="bottom"/>
          </w:tcPr>
          <w:p>
            <w:pPr>
              <w:spacing w:after="0"/>
              <w:rPr>
                <w:sz w:val="1"/>
                <w:szCs w:val="1"/>
                <w:color w:val="auto"/>
              </w:rPr>
            </w:pPr>
          </w:p>
        </w:tc>
      </w:tr>
      <w:tr>
        <w:trPr>
          <w:trHeight w:val="271"/>
        </w:trPr>
        <w:tc>
          <w:tcPr>
            <w:tcW w:w="20" w:type="dxa"/>
            <w:vAlign w:val="bottom"/>
            <w:vMerge w:val="restart"/>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110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157,296,065</w:t>
            </w:r>
          </w:p>
        </w:tc>
        <w:tc>
          <w:tcPr>
            <w:tcW w:w="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16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40,396,600</w:t>
            </w: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457,025</w:t>
            </w:r>
          </w:p>
        </w:tc>
        <w:tc>
          <w:tcPr>
            <w:tcW w:w="1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(471,422)</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10220"/>
          </w:cols>
          <w:pgMar w:left="1440" w:top="264" w:right="239" w:bottom="1440" w:gutter="0" w:footer="0" w:header="0"/>
        </w:sectPr>
      </w:pPr>
    </w:p>
    <w:bookmarkStart w:id="222" w:name="page223"/>
    <w:bookmarkEnd w:id="22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REDEEMABLE CONVERTIBLE PREFERRED</w:t>
      </w:r>
    </w:p>
    <w:p>
      <w:pPr>
        <w:spacing w:after="0" w:line="1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STOCK AND STOCKHOLDERS’ EQUITY (DEFICIT) — (Continued)</w:t>
      </w:r>
    </w:p>
    <w:p>
      <w:pPr>
        <w:spacing w:after="0" w:line="1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p>
      <w:pPr>
        <w:spacing w:after="0" w:line="25" w:lineRule="exact"/>
        <w:rPr>
          <w:sz w:val="20"/>
          <w:szCs w:val="20"/>
          <w:color w:val="auto"/>
        </w:rPr>
      </w:pPr>
    </w:p>
    <w:tbl>
      <w:tblPr>
        <w:tblLayout w:type="fixed"/>
        <w:tblInd w:w="60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4"/>
          </w:tcPr>
          <w:p>
            <w:pPr>
              <w:jc w:val="right"/>
              <w:ind w:right="131"/>
              <w:spacing w:after="0" w:line="131" w:lineRule="exact"/>
              <w:rPr>
                <w:sz w:val="20"/>
                <w:szCs w:val="20"/>
                <w:color w:val="auto"/>
              </w:rPr>
            </w:pPr>
            <w:r>
              <w:rPr>
                <w:rFonts w:ascii="Times New Roman" w:cs="Times New Roman" w:eastAsia="Times New Roman" w:hAnsi="Times New Roman"/>
                <w:sz w:val="14"/>
                <w:szCs w:val="14"/>
                <w:b w:val="1"/>
                <w:bCs w:val="1"/>
                <w:color w:val="auto"/>
              </w:rPr>
              <w:t>Legacy SoundHound</w:t>
            </w: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40" w:type="dxa"/>
            <w:vAlign w:val="bottom"/>
            <w:gridSpan w:val="10"/>
          </w:tcPr>
          <w:p>
            <w:pPr>
              <w:ind w:left="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Redeemable Convertible Legacy SoundHound</w:t>
            </w:r>
          </w:p>
        </w:tc>
        <w:tc>
          <w:tcPr>
            <w:tcW w:w="7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4"/>
          </w:tcPr>
          <w:p>
            <w:pPr>
              <w:jc w:val="right"/>
              <w:ind w:right="271"/>
              <w:spacing w:after="0" w:line="143"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40" w:type="dxa"/>
            <w:vAlign w:val="bottom"/>
            <w:gridSpan w:val="3"/>
          </w:tcPr>
          <w:p>
            <w:pPr>
              <w:ind w:left="12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20" w:type="dxa"/>
            <w:vAlign w:val="bottom"/>
            <w:gridSpan w:val="13"/>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 Common Stock Additional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restart"/>
          </w:tcPr>
          <w:p>
            <w:pPr>
              <w:jc w:val="right"/>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1"/>
              </w:rPr>
              <w:t>Paid-in</w:t>
            </w:r>
          </w:p>
        </w:tc>
        <w:tc>
          <w:tcPr>
            <w:tcW w:w="1800" w:type="dxa"/>
            <w:vAlign w:val="bottom"/>
            <w:gridSpan w:val="9"/>
            <w:vMerge w:val="restart"/>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Comprehensive Accumulated</w:t>
            </w: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80" w:type="dxa"/>
            <w:vAlign w:val="bottom"/>
            <w:gridSpan w:val="1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 Shares Amount Shares Amount</w:t>
            </w:r>
          </w:p>
        </w:tc>
        <w:tc>
          <w:tcPr>
            <w:tcW w:w="580" w:type="dxa"/>
            <w:vAlign w:val="bottom"/>
            <w:gridSpan w:val="2"/>
            <w:vMerge w:val="continue"/>
          </w:tcPr>
          <w:p>
            <w:pPr>
              <w:spacing w:after="0"/>
              <w:rPr>
                <w:sz w:val="5"/>
                <w:szCs w:val="5"/>
                <w:color w:val="auto"/>
              </w:rPr>
            </w:pPr>
          </w:p>
        </w:tc>
        <w:tc>
          <w:tcPr>
            <w:tcW w:w="1800" w:type="dxa"/>
            <w:vAlign w:val="bottom"/>
            <w:gridSpan w:val="9"/>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680" w:type="dxa"/>
            <w:vAlign w:val="bottom"/>
            <w:gridSpan w:val="15"/>
            <w:vMerge w:val="continue"/>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tcBorders>
              <w:right w:val="single" w:sz="8" w:color="auto"/>
            </w:tcBorders>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19,132,387</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11,818,761</w:t>
            </w:r>
          </w:p>
        </w:tc>
        <w:tc>
          <w:tcPr>
            <w:tcW w:w="4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30,836</w:t>
            </w:r>
          </w:p>
        </w:tc>
        <w:tc>
          <w:tcPr>
            <w:tcW w:w="4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(307,189)</w:t>
            </w:r>
          </w:p>
        </w:tc>
        <w:tc>
          <w:tcPr>
            <w:tcW w:w="4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4"/>
              </w:rPr>
              <w:t>$ (276,353)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42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Retroactive</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application of</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Business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Combination</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(Note 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87,171,583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1"/>
              </w:rPr>
              <w:t>53,849,015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6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Adjusted</w:t>
            </w:r>
          </w:p>
        </w:tc>
        <w:tc>
          <w:tcPr>
            <w:tcW w:w="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right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balance,</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65,667,776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(307,189)</w:t>
            </w:r>
          </w:p>
        </w:tc>
        <w:tc>
          <w:tcPr>
            <w:tcW w:w="4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(276,353)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exercise</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of stock</w:t>
            </w:r>
          </w:p>
        </w:tc>
        <w:tc>
          <w:tcPr>
            <w:tcW w:w="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2,178,412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Other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comprehensive</w:t>
            </w:r>
          </w:p>
        </w:tc>
        <w:tc>
          <w:tcPr>
            <w:tcW w:w="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gain, net of tax</w:t>
            </w:r>
          </w:p>
        </w:tc>
        <w:tc>
          <w:tcPr>
            <w:tcW w:w="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Stock-based</w:t>
            </w:r>
          </w:p>
        </w:tc>
        <w:tc>
          <w:tcPr>
            <w:tcW w:w="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4,049</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4,049</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(57,693)</w:t>
            </w:r>
          </w:p>
        </w:tc>
        <w:tc>
          <w:tcPr>
            <w:tcW w:w="40" w:type="dxa"/>
            <w:vAlign w:val="bottom"/>
          </w:tcPr>
          <w:p>
            <w:pPr>
              <w:spacing w:after="0"/>
              <w:rPr>
                <w:sz w:val="23"/>
                <w:szCs w:val="23"/>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(57,693)</w:t>
            </w:r>
          </w:p>
        </w:tc>
        <w:tc>
          <w:tcPr>
            <w:tcW w:w="0" w:type="dxa"/>
            <w:vAlign w:val="bottom"/>
          </w:tcPr>
          <w:p>
            <w:pPr>
              <w:spacing w:after="0"/>
              <w:rPr>
                <w:sz w:val="1"/>
                <w:szCs w:val="1"/>
                <w:color w:val="auto"/>
              </w:rPr>
            </w:pPr>
          </w:p>
        </w:tc>
      </w:tr>
      <w:tr>
        <w:trPr>
          <w:trHeight w:val="271"/>
        </w:trPr>
        <w:tc>
          <w:tcPr>
            <w:tcW w:w="20" w:type="dxa"/>
            <w:vAlign w:val="bottom"/>
            <w:vMerge w:val="restart"/>
          </w:tcPr>
          <w:p>
            <w:pPr>
              <w:spacing w:after="0"/>
              <w:rPr>
                <w:sz w:val="23"/>
                <w:szCs w:val="23"/>
                <w:color w:val="auto"/>
              </w:rPr>
            </w:pPr>
          </w:p>
        </w:tc>
        <w:tc>
          <w:tcPr>
            <w:tcW w:w="10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right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106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1"/>
              </w:rPr>
              <w:t>67,846,188</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6"/>
                <w:szCs w:val="16"/>
                <w:color w:val="auto"/>
              </w:rPr>
            </w:pPr>
          </w:p>
        </w:tc>
        <w:tc>
          <w:tcPr>
            <w:tcW w:w="7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40,633</w:t>
            </w:r>
          </w:p>
        </w:tc>
        <w:tc>
          <w:tcPr>
            <w:tcW w:w="40" w:type="dxa"/>
            <w:vAlign w:val="bottom"/>
          </w:tcPr>
          <w:p>
            <w:pPr>
              <w:spacing w:after="0"/>
              <w:rPr>
                <w:sz w:val="16"/>
                <w:szCs w:val="16"/>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(364,882)</w:t>
            </w:r>
          </w:p>
        </w:tc>
        <w:tc>
          <w:tcPr>
            <w:tcW w:w="40" w:type="dxa"/>
            <w:vAlign w:val="bottom"/>
          </w:tcPr>
          <w:p>
            <w:pPr>
              <w:spacing w:after="0"/>
              <w:rPr>
                <w:sz w:val="16"/>
                <w:szCs w:val="16"/>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w w:val="94"/>
              </w:rPr>
              <w:t>$ (324,248)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18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600"/>
          </w:cols>
          <w:pgMar w:left="1440" w:top="264" w:right="859" w:bottom="1440" w:gutter="0" w:footer="0" w:header="0"/>
        </w:sectPr>
      </w:pPr>
    </w:p>
    <w:bookmarkStart w:id="223" w:name="page224"/>
    <w:bookmarkEnd w:id="223"/>
    <w:p>
      <w:pPr>
        <w:spacing w:after="0" w:line="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67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17145</wp:posOffset>
            </wp:positionV>
            <wp:extent cx="151828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87" w:lineRule="exact"/>
        <w:rPr>
          <w:sz w:val="20"/>
          <w:szCs w:val="20"/>
          <w:color w:val="auto"/>
        </w:rPr>
      </w:pPr>
    </w:p>
    <w:tbl>
      <w:tblPr>
        <w:tblLayout w:type="fixed"/>
        <w:tblInd w:w="60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(84,693)</w:t>
            </w:r>
          </w:p>
        </w:tc>
        <w:tc>
          <w:tcPr>
            <w:tcW w:w="3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(57,693)</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fair value of derivative and warrant liability</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debt issuance cost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Non-cash lease amortization</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receivable, net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(2,061)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Prepaid expenses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current assets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Contract assets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(6,176)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Accrued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(2,710)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(6,815)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(7,138)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liabilities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(747)</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(73,605)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(51,097)</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convertible notes, net of issuance cost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note payable, net of issuance cost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29,833</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the issuance of common stock upon exercise of options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Business Combination and PIPE, net of transaction costs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Payments on notes payable</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(1,885)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34,898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 equivalents</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(16,433)</w:t>
            </w:r>
          </w:p>
        </w:tc>
        <w:tc>
          <w:tcPr>
            <w:tcW w:w="0" w:type="dxa"/>
            <w:vAlign w:val="bottom"/>
          </w:tcPr>
          <w:p>
            <w:pPr>
              <w:spacing w:after="0"/>
              <w:rPr>
                <w:sz w:val="1"/>
                <w:szCs w:val="1"/>
                <w:color w:val="auto"/>
              </w:rPr>
            </w:pPr>
          </w:p>
        </w:tc>
      </w:tr>
      <w:tr>
        <w:trPr>
          <w:trHeight w:val="241"/>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equivalents, beginning of period</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equivalents, end of period</w:t>
            </w:r>
          </w:p>
        </w:tc>
        <w:tc>
          <w:tcPr>
            <w:tcW w:w="32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33,642</w:t>
            </w:r>
          </w:p>
        </w:tc>
        <w:tc>
          <w:tcPr>
            <w:tcW w:w="1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28,549</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Reconciliation to amounts on the condensed consolidated balance sheets: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33,412</w:t>
            </w:r>
          </w:p>
        </w:tc>
        <w:tc>
          <w:tcPr>
            <w:tcW w:w="120" w:type="dxa"/>
            <w:vAlign w:val="bottom"/>
          </w:tcPr>
          <w:p>
            <w:pPr>
              <w:spacing w:after="0"/>
              <w:rPr>
                <w:sz w:val="19"/>
                <w:szCs w:val="19"/>
                <w:color w:val="auto"/>
              </w:rPr>
            </w:pPr>
          </w:p>
        </w:tc>
        <w:tc>
          <w:tcPr>
            <w:tcW w:w="3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Current portion of restricted cash equivalents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Non-current portion of restricted cash equivalents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320" w:type="dxa"/>
            <w:vAlign w:val="bottom"/>
            <w:shd w:val="clear" w:color="auto" w:fill="CCEEFF"/>
          </w:tcPr>
          <w:p>
            <w:pPr>
              <w:ind w:left="680"/>
              <w:spacing w:after="0" w:line="161" w:lineRule="exact"/>
              <w:rPr>
                <w:sz w:val="20"/>
                <w:szCs w:val="20"/>
                <w:color w:val="auto"/>
              </w:rPr>
            </w:pPr>
            <w:r>
              <w:rPr>
                <w:rFonts w:ascii="Times New Roman" w:cs="Times New Roman" w:eastAsia="Times New Roman" w:hAnsi="Times New Roman"/>
                <w:sz w:val="16"/>
                <w:szCs w:val="16"/>
                <w:color w:val="auto"/>
                <w:w w:val="98"/>
              </w:rPr>
              <w:t>Total cash, cash equivalents, and restricted cash equivalents shown in the</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condensed consolidated statements of cash flows</w:t>
            </w:r>
          </w:p>
        </w:tc>
        <w:tc>
          <w:tcPr>
            <w:tcW w:w="32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33,642</w:t>
            </w: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28,549</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3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Cash paid for interest</w:t>
            </w:r>
          </w:p>
        </w:tc>
        <w:tc>
          <w:tcPr>
            <w:tcW w:w="32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120" w:type="dxa"/>
            <w:vAlign w:val="bottom"/>
          </w:tcPr>
          <w:p>
            <w:pPr>
              <w:spacing w:after="0"/>
              <w:rPr>
                <w:sz w:val="23"/>
                <w:szCs w:val="23"/>
                <w:color w:val="auto"/>
              </w:rPr>
            </w:pPr>
          </w:p>
        </w:tc>
        <w:tc>
          <w:tcPr>
            <w:tcW w:w="3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vMerge w:val="continue"/>
            <w:shd w:val="clear" w:color="auto" w:fill="CCEEFF"/>
          </w:tcPr>
          <w:p>
            <w:pPr>
              <w:spacing w:after="0"/>
              <w:rPr>
                <w:sz w:val="18"/>
                <w:szCs w:val="18"/>
                <w:color w:val="auto"/>
              </w:rPr>
            </w:pPr>
          </w:p>
        </w:tc>
        <w:tc>
          <w:tcPr>
            <w:tcW w:w="32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20" w:type="dxa"/>
            <w:vAlign w:val="bottom"/>
          </w:tcPr>
          <w:p>
            <w:pPr>
              <w:ind w:left="680"/>
              <w:spacing w:after="0" w:line="181" w:lineRule="exact"/>
              <w:rPr>
                <w:sz w:val="20"/>
                <w:szCs w:val="20"/>
                <w:color w:val="auto"/>
              </w:rPr>
            </w:pPr>
            <w:r>
              <w:rPr>
                <w:rFonts w:ascii="Times New Roman" w:cs="Times New Roman" w:eastAsia="Times New Roman" w:hAnsi="Times New Roman"/>
                <w:sz w:val="16"/>
                <w:szCs w:val="16"/>
                <w:color w:val="auto"/>
              </w:rPr>
              <w:t>Operating lease liabilities and right-of-use assets through adoption of</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3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ASC 842</w:t>
            </w:r>
          </w:p>
        </w:tc>
        <w:tc>
          <w:tcPr>
            <w:tcW w:w="32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11,428</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20" w:type="dxa"/>
            <w:vAlign w:val="bottom"/>
            <w:tcBorders>
              <w:top w:val="single" w:sz="8" w:color="CCEEFF"/>
            </w:tcBorders>
            <w:shd w:val="clear" w:color="auto" w:fill="CCEEFF"/>
          </w:tcPr>
          <w:p>
            <w:pPr>
              <w:ind w:left="680"/>
              <w:spacing w:after="0" w:line="163" w:lineRule="exact"/>
              <w:rPr>
                <w:sz w:val="20"/>
                <w:szCs w:val="20"/>
                <w:color w:val="auto"/>
              </w:rPr>
            </w:pPr>
            <w:r>
              <w:rPr>
                <w:rFonts w:ascii="Times New Roman" w:cs="Times New Roman" w:eastAsia="Times New Roman" w:hAnsi="Times New Roman"/>
                <w:sz w:val="16"/>
                <w:szCs w:val="16"/>
                <w:color w:val="auto"/>
              </w:rPr>
              <w:t>Conversion of convertible note into common stock pursuant to Business</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64" w:right="1440" w:bottom="0" w:gutter="0" w:footer="0" w:header="0"/>
        </w:sectPr>
      </w:pPr>
    </w:p>
    <w:bookmarkStart w:id="224" w:name="page225"/>
    <w:bookmarkEnd w:id="224"/>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165"/>
        </w:trPr>
        <w:tc>
          <w:tcPr>
            <w:tcW w:w="5300" w:type="dxa"/>
            <w:vAlign w:val="bottom"/>
            <w:tcBorders>
              <w:bottom w:val="single" w:sz="8" w:color="CCEEFF"/>
            </w:tcBorders>
            <w:vMerge w:val="restart"/>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Combination</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continue"/>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530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5300" w:type="dxa"/>
            <w:vAlign w:val="bottom"/>
          </w:tcPr>
          <w:p>
            <w:pPr>
              <w:ind w:left="680"/>
              <w:spacing w:after="0" w:line="181" w:lineRule="exact"/>
              <w:rPr>
                <w:sz w:val="20"/>
                <w:szCs w:val="20"/>
                <w:color w:val="auto"/>
              </w:rPr>
            </w:pPr>
            <w:r>
              <w:rPr>
                <w:rFonts w:ascii="Times New Roman" w:cs="Times New Roman" w:eastAsia="Times New Roman" w:hAnsi="Times New Roman"/>
                <w:sz w:val="16"/>
                <w:szCs w:val="16"/>
                <w:color w:val="auto"/>
              </w:rPr>
              <w:t>Conversion of redeemable convertible preferred stock to common stock</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30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pursuant to Business Combination</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279,503</w:t>
            </w:r>
          </w:p>
        </w:tc>
        <w:tc>
          <w:tcPr>
            <w:tcW w:w="6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Debt discount through issuance of common stock warrants</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300" w:type="dxa"/>
            <w:vAlign w:val="bottom"/>
            <w:vMerge w:val="continue"/>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6"/>
                <w:szCs w:val="16"/>
                <w:color w:val="auto"/>
              </w:rPr>
              <w:t>Operating lease liabilities arising from obtaining right-of-use assets</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300" w:type="dxa"/>
            <w:vAlign w:val="bottom"/>
            <w:vMerge w:val="continue"/>
          </w:tcPr>
          <w:p>
            <w:pPr>
              <w:spacing w:after="0"/>
              <w:rPr>
                <w:sz w:val="20"/>
                <w:szCs w:val="20"/>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6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Property and equipment acquired under finance leases or debt</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300" w:type="dxa"/>
            <w:vAlign w:val="bottom"/>
            <w:vMerge w:val="continue"/>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79" w:right="1440" w:bottom="1440" w:gutter="0" w:footer="0" w:header="0"/>
        </w:sectPr>
      </w:pPr>
    </w:p>
    <w:bookmarkStart w:id="225" w:name="page226"/>
    <w:bookmarkEnd w:id="22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Nature of Operations</w:t>
      </w:r>
    </w:p>
    <w:p>
      <w:pPr>
        <w:spacing w:after="0" w:line="14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SoundHound AI, Inc.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spacing w:after="0" w:line="112"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On April 26, 2022 (the “Closing Date”), pursuant to a merger agreement dated as of November 15, 2021 by and among Archimedes Tech SPAC Partners Co. (“ATSP”), ATSPC Merger Sub, Inc. and SoundHound, Inc. (“Legacy SoundHound”), the parties consummated the merger of ATSPC Merger Sub, Inc. with and into Legacy SoundHound, with Legacy SoundHound continuing as the surviving corporation (the “Merger”), as well as the other transactions contemplated by the Merger Agreement (the Merger and such other transactions, the “Business Combination”). In connection with the closing (the “Closing”) of the Business Combination, Legacy SoundHound became a wholly owned subsidiary of ATSP and ATSP changed its name to SoundHound AI, Inc., and all of Legacy SoundHound common stock (“Legacy SoundHound Common Stock”) and Legacy SoundHound redeemable convertible preferred stock (“Legacy SoundHound Preferred Stock”) automatically converted into shares of the Company’s Class A common stock, par value of $0.0001 per share (the “Class A Common Stock”), and the Company’s Class B common stock, par value of $0.0001 per share (the “Class B Common Stock”, and collectively with the Class A Common Stock, the “common stock”). The Company’s Class A Common Stock and warrants commenced trading on the Nasdaq Global Market (“Nasdaq”) under the symbols “SOUN” and “SOUNW,” respectively, on April 28, 2022. Refer to Note 3 to these condensed consolidated financial statements for more information on the Business Combination.</w:t>
      </w:r>
    </w:p>
    <w:p>
      <w:pPr>
        <w:spacing w:after="0" w:line="120"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 xml:space="preserve">Legacy SoundHound determined that it was the accounting acquirer in the Business Combination based on an analysis of the criteria outlined in Accounting Standards Codification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The determination was primarily based on the following facts:</w:t>
      </w:r>
    </w:p>
    <w:p>
      <w:pPr>
        <w:spacing w:after="0" w:line="84" w:lineRule="exact"/>
        <w:rPr>
          <w:sz w:val="20"/>
          <w:szCs w:val="20"/>
          <w:color w:val="auto"/>
        </w:rPr>
      </w:pPr>
    </w:p>
    <w:p>
      <w:pPr>
        <w:ind w:left="1840" w:hanging="403"/>
        <w:spacing w:after="0"/>
        <w:tabs>
          <w:tab w:leader="none" w:pos="18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Former Legacy SoundHound stockholders have a controlling voting interest in the Company;</w:t>
      </w:r>
    </w:p>
    <w:p>
      <w:pPr>
        <w:spacing w:after="0" w:line="155"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55"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board of directors immediately after the closing of the Business Combination was comprised of five board members, primarily from the board of directors of Legacy SoundHound; and</w:t>
      </w:r>
    </w:p>
    <w:p>
      <w:pPr>
        <w:spacing w:after="0" w:line="97"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55"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SoundHound’s management continues to hold executive management roles for the Company following the Business Combination and are responsible for the day-to-day operations.</w:t>
      </w:r>
    </w:p>
    <w:p>
      <w:pPr>
        <w:spacing w:after="0" w:line="84" w:lineRule="exact"/>
        <w:rPr>
          <w:sz w:val="20"/>
          <w:szCs w:val="20"/>
          <w:color w:val="auto"/>
        </w:rPr>
      </w:pPr>
    </w:p>
    <w:p>
      <w:pPr>
        <w:jc w:val="both"/>
        <w:ind w:left="1020" w:right="619"/>
        <w:spacing w:after="0" w:line="263" w:lineRule="auto"/>
        <w:rPr>
          <w:sz w:val="20"/>
          <w:szCs w:val="20"/>
          <w:color w:val="auto"/>
        </w:rPr>
      </w:pPr>
      <w:r>
        <w:rPr>
          <w:rFonts w:ascii="Times New Roman" w:cs="Times New Roman" w:eastAsia="Times New Roman" w:hAnsi="Times New Roman"/>
          <w:sz w:val="17"/>
          <w:szCs w:val="17"/>
          <w:color w:val="auto"/>
        </w:rPr>
        <w:t>Accordingly, for accounting purposes, the Business Combination was treated as the equivalent of Legacy SoundHound issuing stock for the net assets of ATSP, accompanied by a reverse recapitalization. The primary asset acquired from ATSP was related to the cash amounts that were assumed. Separately, the Company also assumed warrants that were deemed to be equity upon Closing of the Business Combination. No goodwill or other intangible assets were recorded as a result of the Business Combination.</w:t>
      </w:r>
    </w:p>
    <w:p>
      <w:pPr>
        <w:spacing w:after="0" w:line="319"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While ATSP was the legal acquirer in the Business Combination, because Legacy SoundHound was deemed the accounting acquirer, the historical financial statements of Legacy SoundHound became the historical financial statements of the combined company upon the consummation of the Business Combination. As a result, the financial statements included in this report reflect (i) the historical operating results of Legacy SoundHound</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6" w:name="page227"/>
    <w:bookmarkEnd w:id="22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prior to the Business Combination; (ii) the combined results of the Company and Legacy SoundHound following the Closing of the Business Combination; (iii) the assets and liabilities of Legacy SoundHound at their historical cost; and (iv) the Company’s equity structure for all periods presented.</w:t>
      </w:r>
    </w:p>
    <w:p>
      <w:pPr>
        <w:spacing w:after="0" w:line="97"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In accordance with guidance applicable to these circumstances, the equity structure has been retroactively restated in all comparative periods up to the Closing Date, to reflect the number of shares of the Company’s Class A Common Stock and Class B Common Stock issued to Legacy SoundHound Common Stockholders and Legacy SoundHound Preferred Stockholders in connection with the Business Combination. As such, the shares and corresponding capital amounts and earnings per share related to Legacy SoundHound Preferred Stock and Legacy SoundHound Common Stock prior to the Business Combination have been retroactively restated as shares reflecting the conversion ratio established in the Business Combination.</w:t>
      </w:r>
    </w:p>
    <w:p>
      <w:pPr>
        <w:spacing w:after="0" w:line="3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Going Concern</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Since inception, the Company has generated recurring losses as well as negative operating cash flows and reported a net loss of $28.9 million and $84.7 million for the three and nine months ended September 30, 2022, respectively. As of September 30, 2022, the Company had an accumulated deficit of $471.4 million. Management expects to continue to incur additional substantial losses in the foreseeable future primarily as a result of research and development activities. The Company has historically funded its operations primarily through equity or debt financings.</w:t>
      </w:r>
    </w:p>
    <w:p>
      <w:pPr>
        <w:spacing w:after="0" w:line="110"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Total cash and cash equivalents on hand as of September 30, 2022 was $33.4 million. Although the Company has incurred recurring losses each year since its inception, the Company expects it will be able to fund its operations for at least the next twelve months. The Company may seek additional funding through debt or equity financing arrangements (e.g., Equity Line of Credit (“ELOC”) (see Note 19)), implement incremental expense reduction measures or a combination thereof to continue financing its operations. Although management continues to pursue these plans, there is no assurance that the Company will be successful in obtaining sufficient funding on terms acceptable to the Company to fund continuing operations, if at all. The Company’s condensed consolidated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1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Other Risk and Uncertainties</w:t>
      </w:r>
    </w:p>
    <w:p>
      <w:pPr>
        <w:spacing w:after="0" w:line="157" w:lineRule="exact"/>
        <w:rPr>
          <w:sz w:val="20"/>
          <w:szCs w:val="20"/>
          <w:color w:val="auto"/>
        </w:rPr>
      </w:pPr>
    </w:p>
    <w:p>
      <w:pPr>
        <w:jc w:val="both"/>
        <w:ind w:left="1020" w:right="619"/>
        <w:spacing w:after="0" w:line="263" w:lineRule="auto"/>
        <w:rPr>
          <w:sz w:val="20"/>
          <w:szCs w:val="20"/>
          <w:color w:val="auto"/>
        </w:rPr>
      </w:pPr>
      <w:r>
        <w:rPr>
          <w:rFonts w:ascii="Times New Roman" w:cs="Times New Roman" w:eastAsia="Times New Roman" w:hAnsi="Times New Roman"/>
          <w:sz w:val="17"/>
          <w:szCs w:val="17"/>
          <w:color w:val="auto"/>
        </w:rPr>
        <w:t>The COVID-19 outbreak in the United States has caused business disruption through mandated and voluntary closings of businesses and shelter in place orders. In response, the U.S. Government enacted the CARES Act, which includes significant provisions to provide relief and assistance to affected organizations. There is considerable uncertainty around potential future closings, shelter in place orders, containment of the recent COVID-19 variants and the ultimate impact of the CARES Act and other government initiatives.</w:t>
      </w:r>
    </w:p>
    <w:p>
      <w:pPr>
        <w:spacing w:after="0" w:line="306"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COVID-19 pandemic and its resulting economic and other effects could result in significant adverse effects on our customers’ cash flow and their ability to manufacture, distribute, and sell products incorporating our voice-enabling technologies. This in turn may restrict the ability of our customers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economic effects resulting from the COVID-19 pandemic may adversely change consumer behavior and demand, including products sold by customers, which may result in a significant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7" w:name="page228"/>
    <w:bookmarkEnd w:id="22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reduction in our revenue and adversely impact results of operations and financial condition. The COVID-19 pandemic has adversely affected our business and results of operations to date, and the duration and extent to which this will impact our future results remains uncertain.</w:t>
      </w:r>
    </w:p>
    <w:p>
      <w:pPr>
        <w:spacing w:after="0" w:line="9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Further, 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94"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Additionally, 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 The recent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 Although our business has not been materially impacted by the ongoing military conflict between Russian and Ukraine to date, it is impossible to predict the extent to which our operations, or those of our customers’ suppliers and manufacturers, will be impacted in the short and long-term, or the ways in which the conflict may impact our business. The extent and duration of the military action, sanctions and resulting market disruptions are impossible to predict but could be substantial.</w:t>
      </w:r>
    </w:p>
    <w:p>
      <w:pPr>
        <w:spacing w:after="0" w:line="391" w:lineRule="exact"/>
        <w:rPr>
          <w:sz w:val="20"/>
          <w:szCs w:val="20"/>
          <w:color w:val="auto"/>
        </w:rPr>
      </w:pPr>
    </w:p>
    <w:p>
      <w:pPr>
        <w:ind w:left="1000" w:hanging="394"/>
        <w:spacing w:after="0"/>
        <w:tabs>
          <w:tab w:leader="none" w:pos="1000"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Basis of Presentation and Significant Accounting Policies</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(a) condensed consolidated balance sheet as of December 31, 2021, which has been derived from audited financial statements as filed in the Company’s Form 8-K, which was originally filed with the SEC on May 2, 2022 and amended by Amendment No. 1 to Current Report on Form 8-K, and (b) the unaudited interim condensed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 The condensed consolidated financial statements have been prepared on a basis consistent with the audited consolidated financial statements and in the opinion of management, all adjustments, consisting of normal recurring adjustments, considered necessary for a fair presentation of the financial statements have been included. The results of operations for the three and nine months ended September 30, 2022 are not necessarily indicative of the results for the fiscal year ending December 31, 2022 or any future interim period.</w:t>
      </w:r>
    </w:p>
    <w:p>
      <w:pPr>
        <w:spacing w:after="0" w:line="11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Certain information and note disclosures normally included in annual financial statements prepared in accordance with generally accepted accounting principles have been condensed or omitted pursuant to those rules and regulations, although the company believes that the disclosures made are adequate to make the information not misleading.</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8" w:name="page229"/>
    <w:bookmarkEnd w:id="22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Principles of Consolidation</w:t>
      </w:r>
    </w:p>
    <w:p>
      <w:pPr>
        <w:spacing w:after="0" w:line="14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Company’s condensed consolidated financial statements include the accounts of the Company and its wholly owned subsidiaries. All intercompany accounts and transactions have been eliminated in consolidation.</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We consolidate any variable interest entity (“VIE”) where we have determined we are the primary beneficiary. The primary beneficiary is the entity which has both: (i) the power to direct the activities of the VIE that most significantly impact the VIE’s economic performance; and (ii) the obligation to absorb losses or receive benefits of the entity that could potentially be significant to the VIE.</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Reclassification</w:t>
      </w:r>
    </w:p>
    <w:p>
      <w:pPr>
        <w:spacing w:after="0" w:line="15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Certain prior period balances have been reclassified to conform to the current year presentation. Such changes include reclassifications or combinations of certain accounts on the condensed consolidated balance sheets.</w:t>
      </w:r>
    </w:p>
    <w:p>
      <w:pPr>
        <w:spacing w:after="0" w:line="8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These reclassifications had no impact on total assets, total liabilities, net loss or comprehensive loss or accumulated deficit in the previously reported consolidated financial statements for the year ended December 31, 2021.</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Foreign Currency</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functional currency of the Company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three and nine months ended September 30, 2022, the Company recognized net losses related to foreign currency transactions and remeasurements of $0.1 million and $0.4 million, respectively, in the condensed consolidated statements of operations and comprehensive loss as other income (expense), net. During the three and nine months ended September 30, 2021, the Company recognized net losses related to foreign currency transactions and remeasurements of $0.3 million and $0.5 million, respectively, in the condensed consolidated statements of operations and comprehensive loss as other income (expense), net.</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Use of Estimates</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U.S. GAAP requires management to make estimates and judgments that affect the amounts reported and disclosures in the condensed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Segment Information</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9" w:name="page230"/>
    <w:bookmarkEnd w:id="22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Emerging Growth Company Status</w:t>
      </w:r>
    </w:p>
    <w:p>
      <w:pPr>
        <w:spacing w:after="0" w:line="14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Concentrations of Credit Risk and Other Risks and Uncertainties</w:t>
      </w:r>
    </w:p>
    <w:p>
      <w:pPr>
        <w:spacing w:after="0" w:line="15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significant concentrations of credit risk consist principally of cash and cash equivalents. The Company regularly monitors its credit risk exposure and takes steps to mitigate the likelihood of these exposures resulting in actual loss.</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As of September 30, 2022, accounts receivable balances due from two customers collectively totaled 65% of the Company’s condensed consolidated accounts receivable balance. As of December 31, 2021, accounts receivable balances due from five customers collectively totaled 86% of the Company’s condensed consolidated accounts receivable balance.</w:t>
      </w:r>
    </w:p>
    <w:p>
      <w:pPr>
        <w:spacing w:after="0" w:line="9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For the nine months ended September 30, 2022, the Company had four customers that accounted for 77% of revenue, and for the nine months ended September 30, 2021, the Company had two customers that accounted for 57% of revenue.</w:t>
      </w:r>
    </w:p>
    <w:p>
      <w:pPr>
        <w:spacing w:after="0" w:line="9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For the three months ended September 30, 2022, the Company had one customer that accounted for 63% of revenue, and for the three months ended September 30, 2021, the Company had three customers that accounted for 50% of revenue.</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Equity Issuance Costs</w:t>
      </w:r>
    </w:p>
    <w:p>
      <w:pPr>
        <w:spacing w:after="0" w:line="15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financing, these costs are recorded as a reduction of the proceeds received from the equity financing. On April 26, 2022, upon closing of the Business Combination, the Company offset equity proceeds by $4.1 million of deferred offering costs.</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Revenue Recognition</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recognizes revenue under Accounting Standards Codification Topic 606 (“ASC 606”), Revenue from Contracts with Customers,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07" w:lineRule="exact"/>
        <w:rPr>
          <w:sz w:val="20"/>
          <w:szCs w:val="20"/>
          <w:color w:val="auto"/>
        </w:rPr>
      </w:pPr>
    </w:p>
    <w:p>
      <w:pPr>
        <w:ind w:left="1820" w:hanging="383"/>
        <w:spacing w:after="0"/>
        <w:tabs>
          <w:tab w:leader="none" w:pos="18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contract(s) with a customer;</w:t>
      </w:r>
    </w:p>
    <w:p>
      <w:pPr>
        <w:spacing w:after="0" w:line="155" w:lineRule="exact"/>
        <w:rPr>
          <w:rFonts w:ascii="Times New Roman" w:cs="Times New Roman" w:eastAsia="Times New Roman" w:hAnsi="Times New Roman"/>
          <w:sz w:val="17"/>
          <w:szCs w:val="17"/>
          <w:color w:val="auto"/>
        </w:rPr>
      </w:pPr>
    </w:p>
    <w:p>
      <w:pPr>
        <w:ind w:left="1820" w:hanging="383"/>
        <w:spacing w:after="0"/>
        <w:tabs>
          <w:tab w:leader="none" w:pos="18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42" w:lineRule="exact"/>
        <w:rPr>
          <w:rFonts w:ascii="Times New Roman" w:cs="Times New Roman" w:eastAsia="Times New Roman" w:hAnsi="Times New Roman"/>
          <w:sz w:val="17"/>
          <w:szCs w:val="17"/>
          <w:color w:val="auto"/>
        </w:rPr>
      </w:pPr>
    </w:p>
    <w:p>
      <w:pPr>
        <w:ind w:left="1820" w:hanging="383"/>
        <w:spacing w:after="0"/>
        <w:tabs>
          <w:tab w:leader="none" w:pos="18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 including the constraint on variable consideration;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0" w:name="page231"/>
    <w:bookmarkEnd w:id="23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rFonts w:ascii="Times New Roman" w:cs="Times New Roman" w:eastAsia="Times New Roman" w:hAnsi="Times New Roman"/>
          <w:sz w:val="17"/>
          <w:szCs w:val="17"/>
          <w:b w:val="1"/>
          <w:bCs w:val="1"/>
          <w:color w:val="auto"/>
        </w:rPr>
      </w:pPr>
    </w:p>
    <w:p>
      <w:pPr>
        <w:ind w:left="1820" w:hanging="383"/>
        <w:spacing w:after="0"/>
        <w:tabs>
          <w:tab w:leader="none" w:pos="182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 and</w:t>
      </w:r>
    </w:p>
    <w:p>
      <w:pPr>
        <w:spacing w:after="0" w:line="155" w:lineRule="exact"/>
        <w:rPr>
          <w:rFonts w:ascii="Times New Roman" w:cs="Times New Roman" w:eastAsia="Times New Roman" w:hAnsi="Times New Roman"/>
          <w:sz w:val="17"/>
          <w:szCs w:val="17"/>
          <w:color w:val="auto"/>
        </w:rPr>
      </w:pPr>
    </w:p>
    <w:p>
      <w:pPr>
        <w:ind w:left="1800" w:hanging="363"/>
        <w:spacing w:after="0"/>
        <w:tabs>
          <w:tab w:leader="none" w:pos="180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performance obligations are satisfied.</w:t>
      </w:r>
    </w:p>
    <w:p>
      <w:pPr>
        <w:spacing w:after="0" w:line="14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condensed consolidated balance sheet.</w:t>
      </w:r>
    </w:p>
    <w:p>
      <w:pPr>
        <w:spacing w:after="0" w:line="105"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Under ASC 606, assuming all other revenue recognition criteria have been met, the Company recognizes revenue for arrangements upon the transfer of control of the Company’s performance obligations to its customers. A performance obligation is a promise in a contract to transfer a distinct good or service to a customer and is the unit of account in ASC 606. The Company currently generates its revenues through the following performance obligations: (1) hosted services, (2) professional services, (3) monetization and (4) licensing.</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Research and Development</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Warrants</w:t>
      </w:r>
    </w:p>
    <w:p>
      <w:pPr>
        <w:spacing w:after="0" w:line="144"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Income Taxes</w:t>
      </w:r>
    </w:p>
    <w:p>
      <w:pPr>
        <w:spacing w:after="0" w:line="15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11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classifies interest and penalties related to uncertain tax positions in income tax expense, if applicable. There has been no interest expense or penalties related to unrecognized tax benefits recorded through September 30, 2022.</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Stock-Based Compensation</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accounts for forfeitures as they occur. The Company uses the Black-Scholes option-pricing model to determine the fair value of stock</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1" w:name="page232"/>
    <w:bookmarkEnd w:id="23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options. The Black-Scholes option-pricing model requires the use of highly subjective and complex assumptions 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spacing w:after="0" w:line="103" w:lineRule="exact"/>
        <w:rPr>
          <w:sz w:val="20"/>
          <w:szCs w:val="20"/>
          <w:color w:val="auto"/>
        </w:rPr>
      </w:pPr>
    </w:p>
    <w:p>
      <w:pPr>
        <w:jc w:val="both"/>
        <w:ind w:left="1440" w:right="619"/>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 The Company estimates volatility for option grants by evaluating the average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historical volatility of a peer group of companies for the period immediately preceding the option grant for a term that is approximately equal to the option’s expected term.</w:t>
      </w:r>
    </w:p>
    <w:p>
      <w:pPr>
        <w:spacing w:after="0" w:line="82" w:lineRule="exact"/>
        <w:rPr>
          <w:sz w:val="20"/>
          <w:szCs w:val="20"/>
          <w:color w:val="auto"/>
        </w:rPr>
      </w:pPr>
    </w:p>
    <w:p>
      <w:pPr>
        <w:jc w:val="both"/>
        <w:ind w:left="1440" w:right="6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Expected Term </w:t>
      </w:r>
      <w:r>
        <w:rPr>
          <w:rFonts w:ascii="Times New Roman" w:cs="Times New Roman" w:eastAsia="Times New Roman" w:hAnsi="Times New Roman"/>
          <w:sz w:val="17"/>
          <w:szCs w:val="17"/>
          <w:color w:val="auto"/>
        </w:rPr>
        <w:t>— The expected term of the Company’s options represents the period that the stock-based 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spacing w:after="0" w:line="103" w:lineRule="exact"/>
        <w:rPr>
          <w:sz w:val="20"/>
          <w:szCs w:val="20"/>
          <w:color w:val="auto"/>
        </w:rPr>
      </w:pPr>
    </w:p>
    <w:p>
      <w:pPr>
        <w:jc w:val="both"/>
        <w:ind w:left="1440" w:right="619"/>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Risk-Free Interest Rate </w:t>
      </w:r>
      <w:r>
        <w:rPr>
          <w:rFonts w:ascii="Times New Roman" w:cs="Times New Roman" w:eastAsia="Times New Roman" w:hAnsi="Times New Roman"/>
          <w:sz w:val="17"/>
          <w:szCs w:val="17"/>
          <w:color w:val="auto"/>
        </w:rPr>
        <w:t>— The risk-free interest rate is based on the implied yield currently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available on U.S. Treasury zero-coupon issues with a term that is equal to the options’ expected term at the grant date.</w:t>
      </w:r>
    </w:p>
    <w:p>
      <w:pPr>
        <w:spacing w:after="0" w:line="95" w:lineRule="exact"/>
        <w:rPr>
          <w:sz w:val="20"/>
          <w:szCs w:val="20"/>
          <w:color w:val="auto"/>
        </w:rPr>
      </w:pPr>
    </w:p>
    <w:p>
      <w:pPr>
        <w:jc w:val="both"/>
        <w:ind w:left="1440" w:right="619"/>
        <w:spacing w:after="0" w:line="295" w:lineRule="auto"/>
        <w:rPr>
          <w:sz w:val="20"/>
          <w:szCs w:val="20"/>
          <w:color w:val="auto"/>
        </w:rPr>
      </w:pPr>
      <w:r>
        <w:rPr>
          <w:rFonts w:ascii="Times New Roman" w:cs="Times New Roman" w:eastAsia="Times New Roman" w:hAnsi="Times New Roman"/>
          <w:sz w:val="17"/>
          <w:szCs w:val="17"/>
          <w:i w:val="1"/>
          <w:iCs w:val="1"/>
          <w:color w:val="auto"/>
        </w:rPr>
        <w:t xml:space="preserve">Expected Dividend Yield </w:t>
      </w:r>
      <w:r>
        <w:rPr>
          <w:rFonts w:ascii="Times New Roman" w:cs="Times New Roman" w:eastAsia="Times New Roman" w:hAnsi="Times New Roman"/>
          <w:sz w:val="17"/>
          <w:szCs w:val="17"/>
          <w:color w:val="auto"/>
        </w:rPr>
        <w:t>— The Company has not declared or paid dividends to date and does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anticipate declaring dividends. As such, expected dividend yield is zero.</w:t>
      </w:r>
    </w:p>
    <w:p>
      <w:pPr>
        <w:spacing w:after="0" w:line="1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Restricted Stock Units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issues restricted stock unit awards (“RSUs”) to grantees as compensation for services. The fair value of the RSUs is determined at the grant date based on the fair value of the Company’s Class A Common Stock and for RSUs with service conditions only, is recognized straight-line over the service period.</w:t>
      </w:r>
    </w:p>
    <w:p>
      <w:pPr>
        <w:spacing w:after="0" w:line="105"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issues RSUs with vesting conditions tied to certain performance criteria (“Performance-Based RSUs”). Stock-based compensation related to Performance-Based RSUs is recognized to the extent it is determined that performance is probable of being achieved.</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issues RSUs with vesting conditions tied to certain market conditions (“Market-Based RSUs”). To derive the fair value of Market-Based RSUs, the Company applies a Monte Carlo simulation to determine the grant date fair value. Stock-based compensation related to Market-Based RSUs is recognized over the derived service period.</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Fair Value Measurements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05" w:lineRule="exact"/>
        <w:rPr>
          <w:sz w:val="20"/>
          <w:szCs w:val="20"/>
          <w:color w:val="auto"/>
        </w:rPr>
      </w:pPr>
    </w:p>
    <w:p>
      <w:pPr>
        <w:ind w:left="1860" w:right="619" w:hanging="423"/>
        <w:spacing w:after="0" w:line="293" w:lineRule="auto"/>
        <w:tabs>
          <w:tab w:leader="none" w:pos="185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Inputs are unadjusted quoted prices in active markets for identical assets or liabilities at the measurement date.</w:t>
      </w:r>
    </w:p>
    <w:p>
      <w:pPr>
        <w:spacing w:after="0" w:line="81"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5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84"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5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2" w:name="page233"/>
    <w:bookmarkEnd w:id="23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condensed consolidated statements of operations and comprehensive loss.</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Redeemable Convertible Preferred Stock</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Legacy SoundHound Preferred Stock did not have a mandatory redemption date.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Legacy SoundHound Preferred Stock was redeemable upon a deemed liquidation event which the Company determined was not solely within its control and thus has classified shares of Legacy SoundHound Preferred Stock as temporary equity until such time as the conditions are removed or lapse. Since the occurrence of a deemed liquidation event was not probable, the carrying values of the shares of Legacy SoundHound Preferred Stock were not being accreted to their redemption values.</w:t>
      </w:r>
    </w:p>
    <w:p>
      <w:pPr>
        <w:spacing w:after="0" w:line="10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As a result of the Business Combination, the shares of Legacy SoundHound Preferred Stock outstanding immediately prior to the effective time of the Business Combination (the “Effective Time”) were converted into 106,949,326 shares of the Company’s Class A Common Stock. Refer to Note 11 for further information.</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Convertible Notes and Derivative Liabilities</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income (expense), net in the condensed consolidated statements of operations and comprehensive loss. The fair value of the conversion features has been estimated using a probability-weighted discount model with and without the conversion feature until extinguished on April 26, 2022 in connection with the Business Combination See Note 10 for additional information.</w:t>
      </w:r>
    </w:p>
    <w:p>
      <w:pPr>
        <w:spacing w:after="0" w:line="109"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held its convertible notes at amortized cost and amortized the associated debt discount created from bifurcated derivatives and issuance costs under the effective interest or straight-line method until maturity or early conversion pursuant to the contractual terms of the arrangement.</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Net Loss Per Share</w:t>
      </w:r>
    </w:p>
    <w:p>
      <w:pPr>
        <w:spacing w:after="0" w:line="14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9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RSUs, warrants and convertible notes are considered to be potentially dilutive securities. See Note 16 for further information.</w:t>
      </w:r>
    </w:p>
    <w:p>
      <w:pPr>
        <w:spacing w:after="0" w:line="10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3" w:name="page234"/>
    <w:bookmarkEnd w:id="23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Recent Accounting Pronouncement — Adopted</w:t>
      </w:r>
    </w:p>
    <w:p>
      <w:pPr>
        <w:spacing w:after="0" w:line="14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 During the nine months ended September 30, 2022, no additional accounting pronouncements were adopted. Refer to Note 2 of our audited consolidated financial statements for the fiscal year ended December 31, 2021 contained within the Company’s Form S-1/A filed July 13, 2022 for a complete list of adopted accounting pronouncements. We have described the key accounted pronouncements below:</w:t>
      </w:r>
    </w:p>
    <w:p>
      <w:pPr>
        <w:spacing w:after="0" w:line="11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In February 2016, FASB issued Accounting Standards Update (ASU) 2016-02, Leases (Topic 842) and subsequent amendments to the initial guidance: ASU 2017-13, ASU 2018-10, ASU 2018-11, ASU 2018-20 and ASU 2019-01 (collectively, Topic 842). Topic 842 aims to increase transparency and comparability among organizations by requiring lessees to recognize leases with a term greater than 12 months as a right-of-use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 payments. The Company adopted Topic 842 on January 1, 2021 using the modified retrospective approach, and financial information for the comparative period was not updated.</w:t>
      </w:r>
    </w:p>
    <w:p>
      <w:pPr>
        <w:spacing w:after="0" w:line="109"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In addition, the Company elected the transition package of three practical expedients which allow companies not to reassess (i) whether agreements contain leases, (ii) the classification of leases, and</w:t>
      </w:r>
    </w:p>
    <w:p>
      <w:pPr>
        <w:spacing w:after="0" w:line="1" w:lineRule="exact"/>
        <w:rPr>
          <w:sz w:val="20"/>
          <w:szCs w:val="20"/>
          <w:color w:val="auto"/>
        </w:rPr>
      </w:pPr>
    </w:p>
    <w:p>
      <w:pPr>
        <w:jc w:val="both"/>
        <w:ind w:left="1020" w:right="619" w:firstLine="2"/>
        <w:spacing w:after="0" w:line="259" w:lineRule="auto"/>
        <w:tabs>
          <w:tab w:leader="none" w:pos="133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spacing w:after="0" w:line="96"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p>
    <w:p>
      <w:pPr>
        <w:spacing w:after="0" w:line="10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As a result of the adoption of the new lease accounting guidance, the Company recognized on January 1, 2021:</w:t>
      </w:r>
    </w:p>
    <w:p>
      <w:pPr>
        <w:spacing w:after="0" w:line="81" w:lineRule="exact"/>
        <w:rPr>
          <w:sz w:val="20"/>
          <w:szCs w:val="20"/>
          <w:color w:val="auto"/>
        </w:rPr>
      </w:pPr>
    </w:p>
    <w:p>
      <w:pPr>
        <w:jc w:val="both"/>
        <w:ind w:left="1860" w:right="619" w:hanging="423"/>
        <w:spacing w:after="0" w:line="274" w:lineRule="auto"/>
        <w:tabs>
          <w:tab w:leader="none" w:pos="1855"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liabilities of approximately $11.4 million, which represent the present value of the remaining lease payments, as of the date of adoption, discounted using the Company’s incremental borrowing rate on a lease-by-lease basis, and</w:t>
      </w:r>
    </w:p>
    <w:p>
      <w:pPr>
        <w:spacing w:after="0" w:line="84" w:lineRule="exact"/>
        <w:rPr>
          <w:rFonts w:ascii="Times New Roman" w:cs="Times New Roman" w:eastAsia="Times New Roman" w:hAnsi="Times New Roman"/>
          <w:sz w:val="17"/>
          <w:szCs w:val="17"/>
          <w:color w:val="auto"/>
        </w:rPr>
      </w:pPr>
    </w:p>
    <w:p>
      <w:pPr>
        <w:jc w:val="both"/>
        <w:ind w:left="1860" w:right="619" w:hanging="423"/>
        <w:spacing w:after="0" w:line="266" w:lineRule="auto"/>
        <w:tabs>
          <w:tab w:leader="none" w:pos="1855"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ROU assets of approximately $9.8 million which represent the operating lease liabilities of $11.4 million, adjusted for (1) deferred rent of approximately $0.8 million,</w:t>
      </w:r>
    </w:p>
    <w:p>
      <w:pPr>
        <w:ind w:left="1860" w:right="619" w:hanging="7"/>
        <w:spacing w:after="0" w:line="270" w:lineRule="auto"/>
        <w:tabs>
          <w:tab w:leader="none" w:pos="2116"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 incentives or tenant improvement allowance of $1.1 million and (3) prepaid rent of $0.3 million.</w:t>
      </w:r>
    </w:p>
    <w:p>
      <w:pPr>
        <w:spacing w:after="0" w:line="100" w:lineRule="exact"/>
        <w:rPr>
          <w:sz w:val="20"/>
          <w:szCs w:val="20"/>
          <w:color w:val="auto"/>
        </w:rPr>
      </w:pPr>
    </w:p>
    <w:p>
      <w:pPr>
        <w:jc w:val="both"/>
        <w:ind w:left="1020" w:right="619"/>
        <w:spacing w:after="0" w:line="285" w:lineRule="auto"/>
        <w:rPr>
          <w:sz w:val="20"/>
          <w:szCs w:val="20"/>
          <w:color w:val="auto"/>
        </w:rPr>
      </w:pPr>
      <w:r>
        <w:rPr>
          <w:rFonts w:ascii="Times New Roman" w:cs="Times New Roman" w:eastAsia="Times New Roman" w:hAnsi="Times New Roman"/>
          <w:sz w:val="17"/>
          <w:szCs w:val="17"/>
          <w:color w:val="auto"/>
        </w:rPr>
        <w:t>The adoption of the new lease accounting standard did not have any other material impact on the Company’s consolidated balance sheet and did not impact the Company’s operating results and cash flows.</w:t>
      </w:r>
    </w:p>
    <w:p>
      <w:pPr>
        <w:spacing w:after="0" w:line="30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When the Company’s leases do not provide an implicit rate, an incremental borrowing rate is used based on the information available at the adoption date and commencement date for leases entered into after the adoption date in determining the present value of lease payments. The Company applies a benchmark rate and adjusts it for Company specific risk, collateral, term of the lease and economic factors for the economy in which the lease was maintained. See Leases in Note 14 for further information.</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4" w:name="page235"/>
    <w:bookmarkEnd w:id="23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Company adopted the standard on January 1, 2022. ASU 2019-12 did not result in any material impact on the Company’s condensed consolidated financial statements.</w:t>
      </w:r>
    </w:p>
    <w:p>
      <w:pPr>
        <w:spacing w:after="0" w:line="3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Recent Accounting Pronouncement — Not Yet Adopted</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condensed consolidated financial statements and related disclosures.</w:t>
      </w:r>
    </w:p>
    <w:p>
      <w:pPr>
        <w:spacing w:after="0" w:line="311"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 an instrument-by-instrument basis. ASU 2019-10 and ASU 2016-13 are effective for years beginning after December 15, 2022, with early adoption permitted. The Company anticipates that it will not have a material impact on its condensed consolidated financial statements and related disclosures.</w:t>
      </w:r>
    </w:p>
    <w:p>
      <w:pPr>
        <w:spacing w:after="0" w:line="175" w:lineRule="exact"/>
        <w:rPr>
          <w:sz w:val="20"/>
          <w:szCs w:val="20"/>
          <w:color w:val="auto"/>
        </w:rPr>
      </w:pPr>
    </w:p>
    <w:p>
      <w:pPr>
        <w:ind w:left="1000" w:hanging="394"/>
        <w:spacing w:after="0"/>
        <w:tabs>
          <w:tab w:leader="none" w:pos="1000" w:val="left"/>
        </w:tabs>
        <w:numPr>
          <w:ilvl w:val="0"/>
          <w:numId w:val="1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COMBINATION</w:t>
      </w:r>
    </w:p>
    <w:p>
      <w:pPr>
        <w:spacing w:after="0" w:line="15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As discussed in Note 1, on April 26, 2022, the Business Combination was consummated. Pursuant to the Company’s certificate of incorporation, the Company is authorized to issue 500,000,000 shares of capital stock consisting of 455,000,000 shares of Class A Common Stock, 44,000,000 shares of Class B Common Stock, and 1,000,000 shares of preferred stock. All stock has a par value of $0.0001 per share. The holders of Class A Common Stock are entitled to one vote for each share of Class A Common Stock held. The holders of Class B Common Stock are entitled to ten votes per share on all matters submitted to stockholders for their vote or approval. No shares of preferred stock were issued and outstanding as of September 30, 2022.</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5" w:name="page236"/>
    <w:bookmarkEnd w:id="23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COMBINATION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Business Combination was approved by ATSP’s stockholders at a special meeting thereof (the “Special Meeting”), held in lieu of the 2022 annual meeting of the Company’s stockholders. The Business Combination fulfilled the definition of an “initial business combination” as required by the ATSP’s Amended and Restated Certificate of Incorporation. This fulfillment resulted in ATSP ceasing to be a shell company upon the Closing.</w:t>
      </w:r>
    </w:p>
    <w:p>
      <w:pPr>
        <w:spacing w:after="0" w:line="10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An aggregate of 12,767,950 shares of Class A Common Stock sold in ATSP’s initial public offering (the “public shares”) exercised their rights to redemption. The redemption right provided holders the right to have their shares redeemed for a pro rata portion of the trust account holding the proceeds from ATSP’s initial public offering. The value of the shares is calculated as of two (2) business days prior to the date of the Special Meeting, which was $10.00 per share, or $127.7 million in the aggregate.</w:t>
      </w:r>
    </w:p>
    <w:p>
      <w:pPr>
        <w:spacing w:after="0" w:line="94"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As a result of the Business Combination, among other things (1) all outstanding shares of Legacy SoundHound Common Stock as of immediately prior to the Closing (including Legacy SoundHound Common Stock resulting from the Legacy SoundHound Preferred Stock Conversion), were exchanged at an conversion ratio of 5.5562 (the “Conversion Ratio”) for an aggregate of 140,114,060 shares of Class A Common Stock and 40,396,600 Class B Common Stock; (2) each outstanding warrant to purchase shares of Legacy SoundHound Common Stock automatically converted into a warrant to purchase, subject to substantially the same terms and conditions as were applicable under these warrants prior to the Effective Time, shares of Class A Common Stock, proportionately adjusted for the Conversion Ratio, with the per share exercise price equal to the exercise price prior to the Effective Time divided by the Conversion Ratio and were net exercised upon the Closing; (3) each outstanding option to purchase shares of Legacy SoundHound Common Stock converted into an option to purchase, subject to substantially the same terms and conditions as were applicable under these options prior to the Effective Time, shares of Class A Common Stock equal to the number of shares subject to such option prior to the Effective Time multiplied by the Conversion Ratio, with the per share exercise price equal to the exercise price prior to the Effective Time divided by the Conversion Ratio; (4) each Legacy SoundHound RSU converted into a restricted stock unit of SoundHound, subject to substantially the same terms and conditions as were applicable under the SoundHound RSU prior to the Closing. SoundHound RSU holders received the same consideration holders would have received if the SoundHound RSU was converted into Legacy SoundHound Common Stock immediately prior to the Effective Time.</w:t>
      </w:r>
    </w:p>
    <w:p>
      <w:pPr>
        <w:spacing w:after="0" w:line="116"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connection with the Merger Agreement, ATSP entered into subscription agreements (collectively, the “Subscription Agreements”) with certain accredited investors (the “Subscribers”). Pursuant to the Subscription Agreements, the Subscribers agreed to purchase, and ATSP agreed to sell to the Subscribers, an aggregate of 11,300,000 shares of Class A Common Stock (“PIPE Shares”), for a purchase price of $10.00 per share and an aggregate purchase price of $113.0 million (the “PIPE Investment”). The PIPE shares are identical to the shares of Class A Common Stock that were held by the ATSP’s public stockholders at the time of the Closing, except that the PIPE Shares were not entitled to any redemption rights. The sale of PIPE Shares was consummated concurrently with the Closing.</w:t>
      </w:r>
    </w:p>
    <w:p>
      <w:pPr>
        <w:spacing w:after="0" w:line="11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Business Combination is accounted for as a reverse recapitalization in accordance with U.S. GAAP. Under this method of accounting, ATSP was treated as the “acquired” company for financial reporting purposes (See Note 1). The net assets of Legacy SoundHound were stated at historical cost, with no goodwill or other intangible assets recorded.</w:t>
      </w:r>
    </w:p>
    <w:p>
      <w:pPr>
        <w:spacing w:after="0" w:line="9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In accounting for the Business Combination and after redemptions, net proceeds received by the Company totaled $90.7 million. The table below shows the total net proceeds from the Business Combination and the PIPE Investment (in thousands):</w:t>
      </w:r>
    </w:p>
    <w:p>
      <w:pPr>
        <w:spacing w:after="0" w:line="200" w:lineRule="exact"/>
        <w:rPr>
          <w:sz w:val="20"/>
          <w:szCs w:val="20"/>
          <w:color w:val="auto"/>
        </w:rPr>
      </w:pP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253"/>
        </w:trPr>
        <w:tc>
          <w:tcPr>
            <w:tcW w:w="40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 ATSP trust and cash (net of redemption)</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7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Cash – PIPE Investment</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7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0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transaction costs</w:t>
            </w: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(27,668)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3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Net proceeds from Business Combination and PIPE Investment</w:t>
            </w: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0" w:type="dxa"/>
            <w:vAlign w:val="bottom"/>
          </w:tcPr>
          <w:p>
            <w:pPr>
              <w:spacing w:after="0"/>
              <w:rPr>
                <w:sz w:val="20"/>
                <w:szCs w:val="20"/>
                <w:color w:val="auto"/>
              </w:rPr>
            </w:pPr>
          </w:p>
        </w:tc>
        <w:tc>
          <w:tcPr>
            <w:tcW w:w="5380" w:type="dxa"/>
            <w:vAlign w:val="bottom"/>
            <w:vMerge w:val="continue"/>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380" w:type="dxa"/>
            <w:vAlign w:val="bottom"/>
            <w:vMerge w:val="restart"/>
          </w:tcPr>
          <w:p>
            <w:pPr>
              <w:ind w:left="3280"/>
              <w:spacing w:after="0"/>
              <w:rPr>
                <w:sz w:val="20"/>
                <w:szCs w:val="20"/>
                <w:color w:val="auto"/>
              </w:rPr>
            </w:pPr>
            <w:r>
              <w:rPr>
                <w:rFonts w:ascii="Times New Roman" w:cs="Times New Roman" w:eastAsia="Times New Roman" w:hAnsi="Times New Roman"/>
                <w:sz w:val="17"/>
                <w:szCs w:val="17"/>
                <w:color w:val="auto"/>
              </w:rPr>
              <w:t>F-103</w:t>
            </w:r>
          </w:p>
        </w:tc>
        <w:tc>
          <w:tcPr>
            <w:tcW w:w="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0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236" w:name="page237"/>
    <w:bookmarkEnd w:id="23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COMBINATION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Relating to the consummation of the Business Combination, the Company incurred $27.7 million in total transaction costs consisting of direct legal, accounting and other fees. $4.1 million of Legacy SoundHound transaction costs specific and directly attributable to the Business Combination were initially capitalized as deferred offering costs on the condensed consolidated balance sheets. Total transaction expenses were recorded as an offset against proceeds received on the closing of the Business Combination, accounted for as additional paid-in capital.</w:t>
      </w:r>
    </w:p>
    <w:p>
      <w:pPr>
        <w:spacing w:after="0" w:line="110"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amount recorded to additional paid-in-capital was comprised of $86.6 million net proceeds from the PIPE investment and $4.1 million after net redemptions of ATSP shareholders.</w:t>
      </w:r>
    </w:p>
    <w:p>
      <w:pPr>
        <w:spacing w:after="0" w:line="68"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number of shares of common stock issued immediately following the consummation of the Business Combination was as follows:</w:t>
      </w:r>
    </w:p>
    <w:p>
      <w:pPr>
        <w:spacing w:after="0" w:line="120" w:lineRule="exact"/>
        <w:rPr>
          <w:sz w:val="20"/>
          <w:szCs w:val="20"/>
          <w:color w:val="auto"/>
        </w:rPr>
      </w:pPr>
    </w:p>
    <w:tbl>
      <w:tblPr>
        <w:tblLayout w:type="fixed"/>
        <w:tblInd w:w="1000" w:type="dxa"/>
        <w:tblCellMar>
          <w:top w:w="0" w:type="dxa"/>
          <w:left w:w="0" w:type="dxa"/>
          <w:bottom w:w="0" w:type="dxa"/>
          <w:right w:w="0" w:type="dxa"/>
        </w:tblCellMar>
      </w:tblPr>
      <w:tr>
        <w:trPr>
          <w:trHeight w:val="208"/>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Class A Common Stock – conversion of Legacy SoundHound Common Stock and</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Legacy SoundHound Preferred Stock outstanding prior to Business Combination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140,114,060</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6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6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Class B Common Stock – conversion of Legacy SoundHound Common Stock and</w:t>
            </w: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Legacy SoundHound Preferred Stock outstanding prior to Business Combination</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40,396,600</w:t>
            </w:r>
          </w:p>
        </w:tc>
        <w:tc>
          <w:tcPr>
            <w:tcW w:w="0" w:type="dxa"/>
            <w:vAlign w:val="bottom"/>
          </w:tcPr>
          <w:p>
            <w:pPr>
              <w:spacing w:after="0"/>
              <w:rPr>
                <w:sz w:val="1"/>
                <w:szCs w:val="1"/>
                <w:color w:val="auto"/>
              </w:rPr>
            </w:pPr>
          </w:p>
        </w:tc>
      </w:t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Class A Common Stock – PIPE Investment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11,300,000</w:t>
            </w:r>
          </w:p>
        </w:tc>
        <w:tc>
          <w:tcPr>
            <w:tcW w:w="0" w:type="dxa"/>
            <w:vAlign w:val="bottom"/>
          </w:tcPr>
          <w:p>
            <w:pPr>
              <w:spacing w:after="0"/>
              <w:rPr>
                <w:sz w:val="1"/>
                <w:szCs w:val="1"/>
                <w:color w:val="auto"/>
              </w:rPr>
            </w:pPr>
          </w:p>
        </w:tc>
      </w:tr>
      <w:tr>
        <w:trPr>
          <w:trHeight w:val="39"/>
        </w:trPr>
        <w:tc>
          <w:tcPr>
            <w:tcW w:w="620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A Common Stock – issuance to ATSP shareholders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532,050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Class A Common Stock – issuance to Legacy SoundHound founders and</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representatives</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4,161,000</w:t>
            </w:r>
          </w:p>
        </w:tc>
        <w:tc>
          <w:tcPr>
            <w:tcW w:w="0" w:type="dxa"/>
            <w:vAlign w:val="bottom"/>
          </w:tcPr>
          <w:p>
            <w:pPr>
              <w:spacing w:after="0"/>
              <w:rPr>
                <w:sz w:val="1"/>
                <w:szCs w:val="1"/>
                <w:color w:val="auto"/>
              </w:rPr>
            </w:pPr>
          </w:p>
        </w:tc>
      </w:tr>
      <w:tr>
        <w:trPr>
          <w:trHeight w:val="26"/>
        </w:trPr>
        <w:tc>
          <w:tcPr>
            <w:tcW w:w="620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shares of common stock immediately after Business Combination</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196,503,710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000" w:hanging="394"/>
        <w:spacing w:after="0"/>
        <w:tabs>
          <w:tab w:leader="none" w:pos="1000" w:val="left"/>
        </w:tabs>
        <w:numPr>
          <w:ilvl w:val="0"/>
          <w:numId w:val="1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Revenue Recognition</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305"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derives its revenue primarily from the following performance obligations: (1) hosted services, (2) professional services, (3) monetization, and (4) licensing. Revenue is reported net of applicable sales and use taxes that are passed through to customers.</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1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has the following performance obligations in contracts with customers:</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Hosted Services</w:t>
      </w:r>
    </w:p>
    <w:p>
      <w:pPr>
        <w:spacing w:after="0" w:line="15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8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7" w:name="page238"/>
    <w:bookmarkEnd w:id="23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0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Professional Services</w:t>
      </w:r>
    </w:p>
    <w:p>
      <w:pPr>
        <w:spacing w:after="0" w:line="14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1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three months ended September 30, 2022, $0.4 million of professional service revenue was recognized over time, with the remaining $0.3 million recognized at a point in time when the performance obligation was fulfilled and control of the service was transferred to the customer. During the nine months ended September 30, 2022, $1.2 million of professional service revenue was recognized over time, with the remaining $1.4 million recognized at a point in time when the performance obligation was fulfilled and control of the service was transferred to the customer.</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Monetization</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Licensing</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licenses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The Company records licensing revenue as a usage-based royalty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8" w:name="page239"/>
    <w:bookmarkEnd w:id="23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from customers’ usage of intellectual property in the same period in which the underlying sale occurs. The Company provides assurance-type warranty services and to date, post-contract support has been an immaterial performance obligation within the context of the contract.</w:t>
      </w:r>
    </w:p>
    <w:p>
      <w:pPr>
        <w:spacing w:after="0" w:line="9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97" w:lineRule="exact"/>
        <w:rPr>
          <w:sz w:val="20"/>
          <w:szCs w:val="20"/>
          <w:color w:val="auto"/>
        </w:rPr>
      </w:pPr>
    </w:p>
    <w:p>
      <w:pPr>
        <w:ind w:left="1840" w:hanging="403"/>
        <w:spacing w:after="0"/>
        <w:tabs>
          <w:tab w:leader="none" w:pos="184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developing and supplying each performance obligation;</w:t>
      </w:r>
    </w:p>
    <w:p>
      <w:pPr>
        <w:spacing w:after="0" w:line="155" w:lineRule="exact"/>
        <w:rPr>
          <w:rFonts w:ascii="Times New Roman" w:cs="Times New Roman" w:eastAsia="Times New Roman" w:hAnsi="Times New Roman"/>
          <w:sz w:val="17"/>
          <w:szCs w:val="17"/>
          <w:color w:val="auto"/>
        </w:rPr>
      </w:pPr>
    </w:p>
    <w:p>
      <w:pPr>
        <w:ind w:left="1840" w:hanging="403"/>
        <w:spacing w:after="0"/>
        <w:tabs>
          <w:tab w:leader="none" w:pos="184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standards;</w:t>
      </w:r>
    </w:p>
    <w:p>
      <w:pPr>
        <w:spacing w:after="0" w:line="155" w:lineRule="exact"/>
        <w:rPr>
          <w:rFonts w:ascii="Times New Roman" w:cs="Times New Roman" w:eastAsia="Times New Roman" w:hAnsi="Times New Roman"/>
          <w:sz w:val="17"/>
          <w:szCs w:val="17"/>
          <w:color w:val="auto"/>
        </w:rPr>
      </w:pPr>
    </w:p>
    <w:p>
      <w:pPr>
        <w:ind w:left="1840" w:hanging="403"/>
        <w:spacing w:after="0"/>
        <w:tabs>
          <w:tab w:leader="none" w:pos="184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product groupings; and</w:t>
      </w:r>
    </w:p>
    <w:p>
      <w:pPr>
        <w:spacing w:after="0" w:line="142" w:lineRule="exact"/>
        <w:rPr>
          <w:rFonts w:ascii="Times New Roman" w:cs="Times New Roman" w:eastAsia="Times New Roman" w:hAnsi="Times New Roman"/>
          <w:sz w:val="17"/>
          <w:szCs w:val="17"/>
          <w:color w:val="auto"/>
        </w:rPr>
      </w:pPr>
    </w:p>
    <w:p>
      <w:pPr>
        <w:ind w:left="1860" w:right="619" w:hanging="423"/>
        <w:spacing w:after="0" w:line="293" w:lineRule="auto"/>
        <w:tabs>
          <w:tab w:leader="none" w:pos="1855"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margin objectives and pricing practices, such as contractually stated prices, discounts offered, and applicable price lists.</w:t>
      </w:r>
    </w:p>
    <w:p>
      <w:pPr>
        <w:spacing w:after="0" w:line="81"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05"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For the three and nine months ended September 30, 2022 and 2021, revenues under each performance obligation were as follows (in thousands):</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2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4"/>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5"/>
        </w:trPr>
        <w:tc>
          <w:tcPr>
            <w:tcW w:w="2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4"/>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4"/>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5"/>
        </w:trPr>
        <w:tc>
          <w:tcPr>
            <w:tcW w:w="2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1"/>
        </w:trPr>
        <w:tc>
          <w:tcPr>
            <w:tcW w:w="2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44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3"/>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Hosted services</w:t>
            </w:r>
          </w:p>
        </w:tc>
        <w:tc>
          <w:tcPr>
            <w:tcW w:w="9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12,672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9,680</w:t>
            </w: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Professional services</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5,329</w:t>
            </w:r>
          </w:p>
        </w:tc>
      </w:tr>
      <w:tr>
        <w:trPr>
          <w:trHeight w:val="39"/>
        </w:trPr>
        <w:tc>
          <w:tcPr>
            <w:tcW w:w="2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3"/>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r>
      <w:tr>
        <w:trPr>
          <w:trHeight w:val="247"/>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Licensing</w:t>
            </w: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24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3"/>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3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39"/>
        <w:spacing w:after="0" w:line="293" w:lineRule="auto"/>
        <w:rPr>
          <w:sz w:val="20"/>
          <w:szCs w:val="20"/>
          <w:color w:val="auto"/>
        </w:rPr>
      </w:pPr>
      <w:r>
        <w:rPr>
          <w:rFonts w:ascii="Times New Roman" w:cs="Times New Roman" w:eastAsia="Times New Roman" w:hAnsi="Times New Roman"/>
          <w:sz w:val="17"/>
          <w:szCs w:val="17"/>
          <w:color w:val="auto"/>
        </w:rPr>
        <w:t>For the three and nine months ended September 30, 2022 and 2021, the disaggregated revenue by geographic location was as follows (in thousands):</w:t>
      </w:r>
    </w:p>
    <w:p>
      <w:pPr>
        <w:spacing w:after="0" w:line="123"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2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4"/>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5"/>
        </w:trPr>
        <w:tc>
          <w:tcPr>
            <w:tcW w:w="2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4"/>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4"/>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5"/>
        </w:trPr>
        <w:tc>
          <w:tcPr>
            <w:tcW w:w="2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1"/>
        </w:trPr>
        <w:tc>
          <w:tcPr>
            <w:tcW w:w="2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160" w:type="dxa"/>
            <w:vAlign w:val="bottom"/>
            <w:tcBorders>
              <w:bottom w:val="single" w:sz="8" w:color="CCEEFF"/>
            </w:tcBorders>
          </w:tcPr>
          <w:p>
            <w:pPr>
              <w:spacing w:after="0"/>
              <w:rPr>
                <w:sz w:val="3"/>
                <w:szCs w:val="3"/>
                <w:color w:val="auto"/>
              </w:rPr>
            </w:pPr>
          </w:p>
        </w:tc>
        <w:tc>
          <w:tcPr>
            <w:tcW w:w="12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3"/>
        </w:trPr>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3,586</w:t>
            </w: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Japan</w:t>
            </w: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w:t>
            </w:r>
          </w:p>
        </w:tc>
      </w:tr>
      <w:tr>
        <w:trPr>
          <w:trHeight w:val="39"/>
        </w:trPr>
        <w:tc>
          <w:tcPr>
            <w:tcW w:w="2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3"/>
        </w:trPr>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1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7,034</w:t>
            </w: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France</w:t>
            </w: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w:t>
            </w:r>
          </w:p>
        </w:tc>
      </w:tr>
      <w:tr>
        <w:trPr>
          <w:trHeight w:val="39"/>
        </w:trPr>
        <w:tc>
          <w:tcPr>
            <w:tcW w:w="2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3"/>
        </w:trPr>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Korea</w:t>
            </w:r>
          </w:p>
        </w:tc>
        <w:tc>
          <w:tcPr>
            <w:tcW w:w="1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w:t>
            </w:r>
          </w:p>
        </w:tc>
      </w:tr>
      <w:tr>
        <w:trPr>
          <w:trHeight w:val="247"/>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r>
      <w:tr>
        <w:trPr>
          <w:trHeight w:val="26"/>
        </w:trPr>
        <w:tc>
          <w:tcPr>
            <w:tcW w:w="21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3"/>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3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9" w:name="page240"/>
    <w:bookmarkEnd w:id="23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39"/>
        <w:spacing w:after="0" w:line="293" w:lineRule="auto"/>
        <w:rPr>
          <w:sz w:val="20"/>
          <w:szCs w:val="20"/>
          <w:color w:val="auto"/>
        </w:rPr>
      </w:pPr>
      <w:r>
        <w:rPr>
          <w:rFonts w:ascii="Times New Roman" w:cs="Times New Roman" w:eastAsia="Times New Roman" w:hAnsi="Times New Roman"/>
          <w:sz w:val="17"/>
          <w:szCs w:val="17"/>
          <w:color w:val="auto"/>
        </w:rPr>
        <w:t>For the three and nine months ended September 30, 2022 and 2021, the disaggregated revenue by recognition pattern was as follows (in thousands):</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2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4"/>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5"/>
        </w:trPr>
        <w:tc>
          <w:tcPr>
            <w:tcW w:w="2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4"/>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4"/>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5"/>
        </w:trPr>
        <w:tc>
          <w:tcPr>
            <w:tcW w:w="2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1"/>
        </w:trPr>
        <w:tc>
          <w:tcPr>
            <w:tcW w:w="2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34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3"/>
        </w:trPr>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time revenue</w:t>
            </w:r>
          </w:p>
        </w:tc>
        <w:tc>
          <w:tcPr>
            <w:tcW w:w="10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10,513</w:t>
            </w:r>
          </w:p>
        </w:tc>
      </w:tr>
      <w:tr>
        <w:trPr>
          <w:trHeight w:val="247"/>
        </w:trPr>
        <w:tc>
          <w:tcPr>
            <w:tcW w:w="2340" w:type="dxa"/>
            <w:vAlign w:val="bottom"/>
          </w:tcPr>
          <w:p>
            <w:pPr>
              <w:spacing w:after="0"/>
              <w:rPr>
                <w:sz w:val="20"/>
                <w:szCs w:val="20"/>
                <w:color w:val="auto"/>
              </w:rPr>
            </w:pPr>
            <w:r>
              <w:rPr>
                <w:rFonts w:ascii="Times New Roman" w:cs="Times New Roman" w:eastAsia="Times New Roman" w:hAnsi="Times New Roman"/>
                <w:sz w:val="17"/>
                <w:szCs w:val="17"/>
                <w:color w:val="auto"/>
              </w:rPr>
              <w:t>Point-in-time</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5,533</w:t>
            </w:r>
          </w:p>
        </w:tc>
      </w:tr>
      <w:tr>
        <w:trPr>
          <w:trHeight w:val="26"/>
        </w:trPr>
        <w:tc>
          <w:tcPr>
            <w:tcW w:w="23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3"/>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3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 platform to fit customers’ specific needs. Revenue from Monetization is generated from the SoundHound music identification app and is primarily attributable to user ad impression revenue. For the three and nine months ended September 30, 2022 and 2021, the disaggregated revenue by service type was as follows (in thousands):</w:t>
      </w:r>
    </w:p>
    <w:p>
      <w:pPr>
        <w:spacing w:after="0" w:line="145"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2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5"/>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5"/>
        </w:trPr>
        <w:tc>
          <w:tcPr>
            <w:tcW w:w="2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4"/>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5"/>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5"/>
        </w:trPr>
        <w:tc>
          <w:tcPr>
            <w:tcW w:w="2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5"/>
        </w:trPr>
        <w:tc>
          <w:tcPr>
            <w:tcW w:w="244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9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19,534</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13,833</w:t>
            </w:r>
          </w:p>
        </w:tc>
        <w:tc>
          <w:tcPr>
            <w:tcW w:w="0" w:type="dxa"/>
            <w:vAlign w:val="bottom"/>
          </w:tcPr>
          <w:p>
            <w:pPr>
              <w:spacing w:after="0"/>
              <w:rPr>
                <w:sz w:val="1"/>
                <w:szCs w:val="1"/>
                <w:color w:val="auto"/>
              </w:rPr>
            </w:pP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0" w:type="dxa"/>
            <w:vAlign w:val="bottom"/>
          </w:tcPr>
          <w:p>
            <w:pPr>
              <w:spacing w:after="0"/>
              <w:rPr>
                <w:sz w:val="1"/>
                <w:szCs w:val="1"/>
                <w:color w:val="auto"/>
              </w:rPr>
            </w:pPr>
          </w:p>
        </w:tc>
      </w:tr>
      <w:tr>
        <w:trPr>
          <w:trHeight w:val="20"/>
        </w:trPr>
        <w:tc>
          <w:tcPr>
            <w:tcW w:w="2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440" w:type="dxa"/>
            <w:vAlign w:val="bottom"/>
            <w:vMerge w:val="continue"/>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30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26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80" w:type="dxa"/>
            <w:vAlign w:val="bottom"/>
          </w:tcPr>
          <w:p>
            <w:pPr>
              <w:spacing w:after="0"/>
              <w:rPr>
                <w:sz w:val="20"/>
                <w:szCs w:val="20"/>
                <w:color w:val="auto"/>
              </w:rPr>
            </w:pPr>
          </w:p>
        </w:tc>
        <w:tc>
          <w:tcPr>
            <w:tcW w:w="200" w:type="dxa"/>
            <w:vAlign w:val="bottom"/>
            <w:gridSpan w:val="2"/>
          </w:tcPr>
          <w:p>
            <w:pPr>
              <w:jc w:val="right"/>
              <w:ind w:right="6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16,046</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Contract Balances</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 During the three and nine months ended September 30, 2022, we recognized $5.3 million of licensing revenue from our Houndify Edge solution, which we delivered to a customer during the three months ended September 30, 2022, related to minimum guarantee units to be utilized over the life of the contract and resulted in a corresponding increase in our Contract assets balance. The Company has not recorded any asset impairment charges related to contract assets during the periods presented in the condensed consolidated financial statements.</w:t>
      </w:r>
    </w:p>
    <w:p>
      <w:pPr>
        <w:spacing w:after="0" w:line="10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Revenue recognized included in the balances of the deferred revenue at the beginning of the reporting period during three and nine months ended September 30, 2022, was $2.0 million and $5.4 million, respectively, as compared to $2.3 million and $7.4 million for the three and nine months ended September 30, 2021, respectively.</w:t>
      </w:r>
    </w:p>
    <w:p>
      <w:pPr>
        <w:spacing w:after="0" w:line="105"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As of September 30, 2022, the aggregate amount of the transaction price allocated to the remaining performance obligations related to customer contracts that were unsatisfied or partially unsatisfied was $23.4 million. Given the applicable contract terms, $10.4 million is expected to be recognized as revenue within one year, $9.6 million is expected to be recognized between two to five years and the remainder of $3.4 million is expected to be recognized after five years. This amount does not include contracts to which the customer is not committed, contracts for which the Company recognizes revenue equal to the amount the Company has the right to invoice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0" w:name="page241"/>
    <w:bookmarkEnd w:id="24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0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9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68" w:lineRule="exact"/>
        <w:rPr>
          <w:sz w:val="20"/>
          <w:szCs w:val="20"/>
          <w:color w:val="auto"/>
        </w:rPr>
      </w:pPr>
    </w:p>
    <w:p>
      <w:pPr>
        <w:ind w:left="1000" w:hanging="394"/>
        <w:spacing w:after="0"/>
        <w:tabs>
          <w:tab w:leader="none" w:pos="1000" w:val="left"/>
        </w:tabs>
        <w:numPr>
          <w:ilvl w:val="0"/>
          <w:numId w:val="1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AND EQUIPMENT, NET</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Property and equipment, net consisted of the following (in thousands):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4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4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r>
      <w:tr>
        <w:trPr>
          <w:trHeight w:val="45"/>
        </w:trPr>
        <w:tc>
          <w:tcPr>
            <w:tcW w:w="420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3"/>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20,947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20,571</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Software and voice recordings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8,687</w:t>
            </w:r>
          </w:p>
        </w:tc>
        <w:tc>
          <w:tcPr>
            <w:tcW w:w="140" w:type="dxa"/>
            <w:vAlign w:val="bottom"/>
          </w:tcPr>
          <w:p>
            <w:pPr>
              <w:spacing w:after="0"/>
              <w:rPr>
                <w:sz w:val="20"/>
                <w:szCs w:val="20"/>
                <w:color w:val="auto"/>
              </w:rPr>
            </w:pPr>
          </w:p>
        </w:tc>
      </w:tr>
      <w:tr>
        <w:trPr>
          <w:trHeight w:val="39"/>
        </w:trPr>
        <w:tc>
          <w:tcPr>
            <w:tcW w:w="4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3,567</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7"/>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40" w:type="dxa"/>
            <w:vAlign w:val="bottom"/>
          </w:tcPr>
          <w:p>
            <w:pPr>
              <w:spacing w:after="0"/>
              <w:rPr>
                <w:sz w:val="21"/>
                <w:szCs w:val="21"/>
                <w:color w:val="auto"/>
              </w:rPr>
            </w:pPr>
          </w:p>
        </w:tc>
      </w:tr>
      <w:tr>
        <w:trPr>
          <w:trHeight w:val="26"/>
        </w:trPr>
        <w:tc>
          <w:tcPr>
            <w:tcW w:w="4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4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property and equipment, at cost</w:t>
            </w: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34,833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33,554</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47"/>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(30,687)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(27,399)</w:t>
            </w:r>
          </w:p>
        </w:tc>
      </w:tr>
      <w:tr>
        <w:trPr>
          <w:trHeight w:val="26"/>
        </w:trPr>
        <w:tc>
          <w:tcPr>
            <w:tcW w:w="4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10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6,155</w:t>
            </w:r>
          </w:p>
        </w:tc>
        <w:tc>
          <w:tcPr>
            <w:tcW w:w="140" w:type="dxa"/>
            <w:vAlign w:val="bottom"/>
            <w:shd w:val="clear" w:color="auto" w:fill="CCEEFF"/>
          </w:tcPr>
          <w:p>
            <w:pPr>
              <w:spacing w:after="0"/>
              <w:rPr>
                <w:sz w:val="20"/>
                <w:szCs w:val="20"/>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Property and equipment, net includes assets under finance lease obligations (see Note 14 for additional information) with an aggregate cost of approximately $0.9 million and $7.0 million as of September 30, 2022 and December 31, 2021, respectively, and accumulated depreciation of approximately $0.4 million and $4.3 million as of September 30, 2022 and December 31, 2021, respectively. Depreciation and amortization expense totaled approximately $0.9 million and $3.2 million for the three and nine months ended September 30, 2022, respectively, as compared to $1.3 million and $4.2 million for the three and nine months ended September 30, 2021, respectively.</w:t>
      </w:r>
    </w:p>
    <w:p>
      <w:pPr>
        <w:spacing w:after="0" w:line="173" w:lineRule="exact"/>
        <w:rPr>
          <w:sz w:val="20"/>
          <w:szCs w:val="20"/>
          <w:color w:val="auto"/>
        </w:rPr>
      </w:pPr>
    </w:p>
    <w:p>
      <w:pPr>
        <w:ind w:left="1000" w:hanging="394"/>
        <w:spacing w:after="0"/>
        <w:tabs>
          <w:tab w:leader="none" w:pos="1000" w:val="left"/>
        </w:tabs>
        <w:numPr>
          <w:ilvl w:val="0"/>
          <w:numId w:val="1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ACCRUED LIABILITIES</w:t>
      </w:r>
    </w:p>
    <w:p>
      <w:pPr>
        <w:spacing w:after="0" w:line="144"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Accrued liabilities on the condensed consolidated balance sheets was comprised of the following (in thousands):</w:t>
      </w:r>
    </w:p>
    <w:p>
      <w:pPr>
        <w:spacing w:after="0" w:line="123"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3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3160" w:type="dxa"/>
            <w:vAlign w:val="bottom"/>
            <w:gridSpan w:val="2"/>
          </w:tcPr>
          <w:p>
            <w:pPr>
              <w:spacing w:after="0"/>
              <w:rPr>
                <w:sz w:val="3"/>
                <w:szCs w:val="3"/>
                <w:color w:val="auto"/>
              </w:rPr>
            </w:pPr>
          </w:p>
        </w:tc>
        <w:tc>
          <w:tcPr>
            <w:tcW w:w="2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3"/>
        </w:trPr>
        <w:tc>
          <w:tcPr>
            <w:tcW w:w="380" w:type="dxa"/>
            <w:vAlign w:val="bottom"/>
          </w:tcPr>
          <w:p>
            <w:pPr>
              <w:spacing w:after="0"/>
              <w:rPr>
                <w:sz w:val="20"/>
                <w:szCs w:val="20"/>
                <w:color w:val="auto"/>
              </w:rPr>
            </w:pPr>
          </w:p>
        </w:tc>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compensation expenses</w:t>
            </w:r>
          </w:p>
        </w:tc>
        <w:tc>
          <w:tcPr>
            <w:tcW w:w="2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3,802</w:t>
            </w:r>
          </w:p>
        </w:tc>
      </w:tr>
      <w:tr>
        <w:trPr>
          <w:trHeight w:val="234"/>
        </w:trPr>
        <w:tc>
          <w:tcPr>
            <w:tcW w:w="31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Accrued interest</w:t>
            </w: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w:t>
            </w:r>
          </w:p>
        </w:tc>
      </w:tr>
      <w:tr>
        <w:trPr>
          <w:trHeight w:val="39"/>
        </w:trPr>
        <w:tc>
          <w:tcPr>
            <w:tcW w:w="3160" w:type="dxa"/>
            <w:vAlign w:val="bottom"/>
            <w:gridSpan w:val="2"/>
          </w:tcPr>
          <w:p>
            <w:pPr>
              <w:spacing w:after="0"/>
              <w:rPr>
                <w:sz w:val="3"/>
                <w:szCs w:val="3"/>
                <w:color w:val="auto"/>
              </w:rPr>
            </w:pPr>
          </w:p>
        </w:tc>
        <w:tc>
          <w:tcPr>
            <w:tcW w:w="2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vendor payables</w:t>
            </w:r>
          </w:p>
        </w:tc>
        <w:tc>
          <w:tcPr>
            <w:tcW w:w="2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w:t>
            </w:r>
          </w:p>
        </w:tc>
      </w:tr>
      <w:tr>
        <w:trPr>
          <w:trHeight w:val="234"/>
        </w:trPr>
        <w:tc>
          <w:tcPr>
            <w:tcW w:w="31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Accrued professional services</w:t>
            </w: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r>
      <w:tr>
        <w:trPr>
          <w:trHeight w:val="39"/>
        </w:trPr>
        <w:tc>
          <w:tcPr>
            <w:tcW w:w="3160" w:type="dxa"/>
            <w:vAlign w:val="bottom"/>
            <w:gridSpan w:val="2"/>
          </w:tcPr>
          <w:p>
            <w:pPr>
              <w:spacing w:after="0"/>
              <w:rPr>
                <w:sz w:val="3"/>
                <w:szCs w:val="3"/>
                <w:color w:val="auto"/>
              </w:rPr>
            </w:pPr>
          </w:p>
        </w:tc>
        <w:tc>
          <w:tcPr>
            <w:tcW w:w="2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accrued liabilities</w:t>
            </w:r>
          </w:p>
        </w:tc>
        <w:tc>
          <w:tcPr>
            <w:tcW w:w="2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0"/>
        </w:trPr>
        <w:tc>
          <w:tcPr>
            <w:tcW w:w="3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33"/>
        </w:trPr>
        <w:tc>
          <w:tcPr>
            <w:tcW w:w="3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6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7,298</w:t>
            </w:r>
          </w:p>
        </w:tc>
      </w:tr>
      <w:tr>
        <w:trPr>
          <w:trHeight w:val="20"/>
        </w:trPr>
        <w:tc>
          <w:tcPr>
            <w:tcW w:w="3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62"/>
        </w:trPr>
        <w:tc>
          <w:tcPr>
            <w:tcW w:w="3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jc w:val="right"/>
              <w:ind w:right="1438"/>
              <w:spacing w:after="0"/>
              <w:rPr>
                <w:sz w:val="20"/>
                <w:szCs w:val="20"/>
                <w:color w:val="auto"/>
              </w:rPr>
            </w:pPr>
            <w:r>
              <w:rPr>
                <w:rFonts w:ascii="Times New Roman" w:cs="Times New Roman" w:eastAsia="Times New Roman" w:hAnsi="Times New Roman"/>
                <w:sz w:val="17"/>
                <w:szCs w:val="17"/>
                <w:color w:val="auto"/>
              </w:rPr>
              <w:t>F-108</w:t>
            </w: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41" w:name="page242"/>
    <w:bookmarkEnd w:id="24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Contracts</w:t>
      </w:r>
    </w:p>
    <w:p>
      <w:pPr>
        <w:spacing w:after="0" w:line="14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In August 2021, the Company entered into an exclusive agreement with a cloud service provider to host its voice artificial intelligence platform pursuant to which the Company committed to pay a minimum of $98.0 million in cloud costs over a seven-year period subject to variable increases based on usage.</w:t>
      </w:r>
    </w:p>
    <w:p>
      <w:pPr>
        <w:spacing w:after="0" w:line="9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Aggregate non-cancelable future minimum payments were as follows as of September 30, 2022 (in thousands):</w:t>
      </w:r>
    </w:p>
    <w:p>
      <w:pPr>
        <w:spacing w:after="0" w:line="399" w:lineRule="exact"/>
        <w:rPr>
          <w:sz w:val="20"/>
          <w:szCs w:val="20"/>
          <w:color w:val="auto"/>
        </w:rPr>
      </w:pPr>
    </w:p>
    <w:tbl>
      <w:tblPr>
        <w:tblLayout w:type="fixed"/>
        <w:tblInd w:w="1020" w:type="dxa"/>
        <w:tblCellMar>
          <w:top w:w="0" w:type="dxa"/>
          <w:left w:w="0" w:type="dxa"/>
          <w:bottom w:w="0" w:type="dxa"/>
          <w:right w:w="0" w:type="dxa"/>
        </w:tblCellMar>
      </w:tblPr>
      <w:tr>
        <w:trPr>
          <w:trHeight w:val="253"/>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2022</w:t>
            </w:r>
          </w:p>
        </w:tc>
        <w:tc>
          <w:tcPr>
            <w:tcW w:w="28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2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w:t>
            </w:r>
          </w:p>
        </w:tc>
      </w:tr>
      <w:tr>
        <w:trPr>
          <w:trHeight w:val="39"/>
        </w:trPr>
        <w:tc>
          <w:tcPr>
            <w:tcW w:w="3760" w:type="dxa"/>
            <w:vAlign w:val="bottom"/>
          </w:tcPr>
          <w:p>
            <w:pPr>
              <w:spacing w:after="0"/>
              <w:rPr>
                <w:sz w:val="3"/>
                <w:szCs w:val="3"/>
                <w:color w:val="auto"/>
              </w:rPr>
            </w:pPr>
          </w:p>
        </w:tc>
        <w:tc>
          <w:tcPr>
            <w:tcW w:w="2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3"/>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2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w:t>
            </w: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2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14,000</w:t>
            </w:r>
          </w:p>
        </w:tc>
      </w:tr>
      <w:tr>
        <w:trPr>
          <w:trHeight w:val="39"/>
        </w:trPr>
        <w:tc>
          <w:tcPr>
            <w:tcW w:w="3760" w:type="dxa"/>
            <w:vAlign w:val="bottom"/>
          </w:tcPr>
          <w:p>
            <w:pPr>
              <w:spacing w:after="0"/>
              <w:rPr>
                <w:sz w:val="3"/>
                <w:szCs w:val="3"/>
                <w:color w:val="auto"/>
              </w:rPr>
            </w:pPr>
          </w:p>
        </w:tc>
        <w:tc>
          <w:tcPr>
            <w:tcW w:w="2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3"/>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2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w:t>
            </w:r>
          </w:p>
        </w:tc>
      </w:tr>
      <w:tr>
        <w:trPr>
          <w:trHeight w:val="247"/>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2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48,000</w:t>
            </w:r>
          </w:p>
        </w:tc>
      </w:tr>
      <w:tr>
        <w:trPr>
          <w:trHeight w:val="26"/>
        </w:trPr>
        <w:tc>
          <w:tcPr>
            <w:tcW w:w="376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97,000</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Legal Proceedings</w:t>
      </w:r>
    </w:p>
    <w:p>
      <w:pPr>
        <w:spacing w:after="0" w:line="15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Other Matters</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 xml:space="preserve">The Company has not historically collected U.S. state or local sales and use tax, or other similar taxes, in any jurisdiction. On June 21, 2018, the U.S. Supreme Court decided, in </w:t>
      </w:r>
      <w:r>
        <w:rPr>
          <w:rFonts w:ascii="Times New Roman" w:cs="Times New Roman" w:eastAsia="Times New Roman" w:hAnsi="Times New Roman"/>
          <w:sz w:val="17"/>
          <w:szCs w:val="17"/>
          <w:i w:val="1"/>
          <w:iCs w:val="1"/>
          <w:color w:val="auto"/>
        </w:rPr>
        <w:t>South Dakota v. Wayfair, Inc.</w:t>
      </w:r>
      <w:r>
        <w:rPr>
          <w:rFonts w:ascii="Times New Roman" w:cs="Times New Roman" w:eastAsia="Times New Roman" w:hAnsi="Times New Roman"/>
          <w:sz w:val="17"/>
          <w:szCs w:val="17"/>
          <w:color w:val="auto"/>
        </w:rPr>
        <w:t>,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In accordance with ASC 450, Contingencies, the Company estimated and recorded a liability of $1.1 million as of September 30, 2022 and December 31, 2021.</w:t>
      </w:r>
    </w:p>
    <w:p>
      <w:pPr>
        <w:spacing w:after="0" w:line="178" w:lineRule="exact"/>
        <w:rPr>
          <w:sz w:val="20"/>
          <w:szCs w:val="20"/>
          <w:color w:val="auto"/>
        </w:rPr>
      </w:pPr>
    </w:p>
    <w:p>
      <w:pPr>
        <w:ind w:left="1000" w:hanging="394"/>
        <w:spacing w:after="0"/>
        <w:tabs>
          <w:tab w:leader="none" w:pos="1000" w:val="left"/>
        </w:tabs>
        <w:numPr>
          <w:ilvl w:val="0"/>
          <w:numId w:val="1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WARRANTS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As a result of the Business Combination (see Note 3), the Company has retroactively adjusted the Legacy SoundHound warrants outstanding and corresponding strike price prior to April 26, 2022 to give effect to the Conversion Ratio used to determine the number of shares of common stock into which they were converted.</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Series C Warrants</w:t>
      </w:r>
    </w:p>
    <w:p>
      <w:pPr>
        <w:spacing w:after="0" w:line="157"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In connection with the issuance of the April 2013 Note and November 2013 Note, the Company issued detachable warrants to purchase 248,408 and 496,827 shares of Legacy SoundHound Series C Preferred Stock (“Series C Warrants”), respectively, at $1.21 per share to the lenders, which were immediately exercisable. In December 2021, all outstanding 745,235 shares of warrants related to April 2013 Note and November 2013 were net exercised, leading to a net issuance of 645,356 shares of Legacy SoundHound Series C Preferred Stock. As of September 30, 2022 and December 31, 2021, the fair value of the warrant liability was $0.</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2" w:name="page243"/>
    <w:bookmarkEnd w:id="24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Warrants Related to Convertible Notes and Note Payable</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In connection with the issuance of the Company’s 2021 note payable (“SVB March 2021 Note”) and 2021 convertible note (“SCI June 2021 Note”), the Company issued detachable warrants to purchase 708,808 and 354,404 shares of Legacy SoundHound common stock, respectively, with an exercise price of $3.67 per share to the lenders, which were immediately exercisable.</w:t>
      </w:r>
    </w:p>
    <w:p>
      <w:pPr>
        <w:spacing w:after="0" w:line="10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recorded the warrants initially at fair value (see Note 10 for additional information) as paid-in-capital on the condensed consolidated balance sheets based on the allocation of its relative fair value of the debt proceeds. See Note 10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 million and $1.5 million, respectively. The warrants had a ten-year expiration date from the applicable closing date of March 2031 and June 2031, respectively.</w:t>
      </w:r>
    </w:p>
    <w:p>
      <w:pPr>
        <w:spacing w:after="0" w:line="115"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On the Closing Date, all outstanding warrants issued in connection to the SVB March 2021 Note and the SCI June 2021 Note were fully net exercised by their respective lenders, leading to a net issuance of 673,416 shares of Class A Common Stock.</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Warrants Related to the Business Combination</w:t>
      </w:r>
    </w:p>
    <w:p>
      <w:pPr>
        <w:spacing w:after="0" w:line="2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146"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Prior to the Business Combination, ATSP issued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given after the warrants become exercisable,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spacing w:after="0" w:line="11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Subsequent to the closing of the Business Combination, the Company’s Public Warrants continue to be classified as equity instruments, as they are indexed to the Company’s stock. As of September 30, 2022, there were 3,457,996 Public Warrants issued and outstanding.</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Private Warrants</w:t>
      </w:r>
    </w:p>
    <w:p>
      <w:pPr>
        <w:spacing w:after="0" w:line="159"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Prior to the Business Combination, ATSP issued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9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Pursuant to ASC 815, the Private Warrants were initially considered a liability instrument as they met the definition of a derivative. Upon the Closing of the Business Combination, the Company modified its Private Warrants to be identical to its Public Warrants. Therefore, the Private Warrants met requirements for classification as equity instrument, as they are indexed to the Company’s stock. On the Closing Date, there were 208,000 Private Warrants issued and outstanding. Refer to Note 10 for fair value measurement of these warrants.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3" w:name="page244"/>
    <w:bookmarkEnd w:id="24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20" w:right="4339" w:hanging="414"/>
        <w:spacing w:after="0" w:line="423" w:lineRule="auto"/>
        <w:tabs>
          <w:tab w:leader="none" w:pos="994" w:val="left"/>
        </w:tabs>
        <w:numPr>
          <w:ilvl w:val="0"/>
          <w:numId w:val="1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 AND NOTES PAYABLE </w:t>
      </w:r>
      <w:r>
        <w:rPr>
          <w:rFonts w:ascii="Times New Roman" w:cs="Times New Roman" w:eastAsia="Times New Roman" w:hAnsi="Times New Roman"/>
          <w:sz w:val="17"/>
          <w:szCs w:val="17"/>
          <w:b w:val="1"/>
          <w:bCs w:val="1"/>
          <w:i w:val="1"/>
          <w:iCs w:val="1"/>
          <w:color w:val="auto"/>
        </w:rPr>
        <w:t>SNAP June 2020 Note</w:t>
      </w:r>
    </w:p>
    <w:p>
      <w:pPr>
        <w:spacing w:after="0" w:line="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June 2020, the Company issued a promissory note, the SNAP June 2020 Note, to a Lender in exchange for $15.0 million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spacing w:after="0" w:line="10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outstanding principal balance and unpaid accrued interest of the SNAP June 2020 Note are convertible pursuant to the following terms (“SNAP June 2020 Note Conversion Feature” or “Conversion Feature”): automatic conversion into equity shares in the next equity financing round (“SNAP June 2020 Note Qualified Financing,” or “Qualified Financing”) at a conversion price equal to either (a) the lowest cash price per share paid by investors in such qualified financing (which will reflect at least a 20% discount to the price per share paid by other investors purchasing securities in additional closings), or</w:t>
      </w:r>
    </w:p>
    <w:p>
      <w:pPr>
        <w:jc w:val="both"/>
        <w:ind w:left="1020" w:right="619" w:firstLine="2"/>
        <w:spacing w:after="0" w:line="262" w:lineRule="auto"/>
        <w:tabs>
          <w:tab w:leader="none" w:pos="1276"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there are no additional closings, 0.80 times the price per share paid by investors purchasing equity securities in the Qualified Financing. The SNAP June 2020 Note Qualified Financing shall be at least $30.0 million, which excludes the conversion of the SNAP June 2020 Note and any other indebtedness.</w:t>
      </w:r>
    </w:p>
    <w:p>
      <w:pPr>
        <w:spacing w:after="0" w:line="95"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Furthermore, upon a change of control event, the Company shall settle the SNAP June 2020 Note in cash, pursuant to the following terms (“Redemption Feature”):</w:t>
      </w:r>
    </w:p>
    <w:p>
      <w:pPr>
        <w:spacing w:after="0" w:line="81" w:lineRule="exact"/>
        <w:rPr>
          <w:sz w:val="20"/>
          <w:szCs w:val="20"/>
          <w:color w:val="auto"/>
        </w:rPr>
      </w:pPr>
    </w:p>
    <w:p>
      <w:pPr>
        <w:ind w:left="1860" w:right="619" w:hanging="423"/>
        <w:spacing w:after="0" w:line="293" w:lineRule="auto"/>
        <w:tabs>
          <w:tab w:leader="none" w:pos="1855"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 of the then outstanding principal amount of the respective note plus any unpaid accrued interest on the original principal of such note; and</w:t>
      </w:r>
    </w:p>
    <w:p>
      <w:pPr>
        <w:spacing w:after="0" w:line="81"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55"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spacing w:after="0" w:line="8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evaluated whether the SNAP June 2020 Note contains embedded features that meet the definition of derivatives under ASC 815, Derivatives and Hedging. The Conversion Feature qualifies as a derivative as it continuously resets as the underlying stock price increases or decreases so as to provide a variable number of shares for a fixed value of equity to the holders at any conversion date. As such, the Conversion Feature is bifurcated and accounted for as a derivative liability to be remeasured at the end of each reporting period. The Company recorded the bifurcated Conversion Feature initially at fair value with the residual value being allocated to the SNAP June 2020 Note as a debt discount. The fair value of the Conversion Feature upon issuance in September 2020 was $2.5 million, which was recorded as a derivative liability on the Company’s condensed consolidated balance sheet. The Redemption Feature of the SNAP June 2020 Note does not meet the definition of a derivative. Therefore, the Redemption Feature is not bifurcated.</w:t>
      </w:r>
    </w:p>
    <w:p>
      <w:pPr>
        <w:spacing w:after="0" w:line="109"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total amount of debt discount at issuance for the SNAP June 2020 Note was $2.5 million. The Company amortized the aggregate debt discount using the effective interest method. The Company recognized total interest expense of $0.7 million associated with the SNAP June 2020 Note for the nine months ended September 30, 2022, out of which $0.4 million relates to the amortization of the debt discount. The Company recognized total interest expense of $0.5 million and $1.5 million associated with the SNAP June 2020 Note for the three and nine months ended September 30, 2021, respectively, out of which $0.3 million and $0.9 million relates to the amortization of the debt discount. The debt discount related to the SNAP June 2020 Note is amortized over the life of the instrument, beginning at note issuance and ending on April 26, 2022, the date on which the note was converted.</w:t>
      </w:r>
    </w:p>
    <w:p>
      <w:pPr>
        <w:spacing w:after="0" w:line="115"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SNAP June 2020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$30.0 million, excluding the face value of the SNAP June 2020 Note (“SNAP June 2020 Note Qualified Financing”).</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4" w:name="page245"/>
    <w:bookmarkEnd w:id="24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 AND NOTES PAYABLE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As a result of the Business Combination, on the Closing Date, the SNAP June 2020 Note conversion feature was triggered, as total proceeds from the Business Combination exceeded the minimum amount to qualify as a SNAP June 2020 Note Qualified Financing. As a result, on the Closing Date, all outstanding principal of $15.0 million and accrued interest of $1.4 million were converted into 368,384 shares of Class A Common Stock. In addition, the remaining debt discount of $0.2 million and related derivative liability with fair value of $4.1 million as of the Closing Date were extinguished.</w:t>
      </w:r>
    </w:p>
    <w:p>
      <w:pPr>
        <w:spacing w:after="0" w:line="110"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 summarizes the unamortized debt discount, fair value of conversion feature, and accrued interest as of April 26, 2022 and December 31, 2021 (in thousands).</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April 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3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360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3"/>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Unamortized debt discount</w:t>
            </w:r>
          </w:p>
        </w:tc>
        <w:tc>
          <w:tcPr>
            <w:tcW w:w="14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Fair value of conversion feature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w:t>
            </w:r>
          </w:p>
        </w:tc>
      </w:tr>
      <w:tr>
        <w:trPr>
          <w:trHeight w:val="39"/>
        </w:trPr>
        <w:tc>
          <w:tcPr>
            <w:tcW w:w="36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4"/>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w:t>
            </w:r>
          </w:p>
        </w:tc>
      </w:tr>
      <w:tr>
        <w:trPr>
          <w:trHeight w:val="39"/>
        </w:trPr>
        <w:tc>
          <w:tcPr>
            <w:tcW w:w="36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151"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Accrued interest is included in accrued liabilities on the condensed consolidated balance sheets to reflect the classification of the SNAP June 2020 Note as short-term in nature on December 31, 2021.</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SVB March 2021 Note</w:t>
      </w:r>
    </w:p>
    <w:p>
      <w:pPr>
        <w:spacing w:after="0" w:line="159"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March 2021, the Company entered into a loan and security agreement with a commercial bank to borrow $30.0 million along with the issuance of warrants to purchase 127,570 shares of Legacy SoundHound’s common stock. The warrant’s allocated fair value was $2.3 million at issuance. The SVB March 2021 Note also contains a final payment provision of $1.1 million.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was amortizing the discounts on an effective interest basis over the period from issuance through the Early Maturity Date (as defined below).</w:t>
      </w:r>
    </w:p>
    <w:p>
      <w:pPr>
        <w:spacing w:after="0" w:line="112"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loan bears interest at an annual rate equal to the greater of 9% or 5.75% above the Prime Rate. As of September 30, 2022, the interest rate was 12.0%. Payments were interest-only for the first twelve months and are now principal and interest through maturity. The Company recorded stated interest expense in the condensed consolidated statements of operations and comprehensive loss for the three and nine months ended September 30, 2022 of $0.7 million and $2.1 million, respectively, of which $0.2 million remained unpaid as accrued interest at September 30, 2022. During the three and nine months ended September 30, 2021, the Company recorded interest expense of $0.7 million and $1.4 million, respectively, of which $0.2 million remained unpaid as accrued interest at September 30, 2021. The total amount of debt discount at issuance was $3.5 million. As of September 30, 2022 and December 31, 2021, the unamortized debt discount totaled $0.1 million and $1.1 million, respectively. During the three and nine months ended September 30, 2022, the Company recorded a nominal amount and $1.0 million in interest expense related to the debt discounts, respectively. During the three and nine months ended September 30, 2021, the Company recorded $0.8 million and $1.6 million in interest expense related to the debt discounts, respectively.</w:t>
      </w:r>
    </w:p>
    <w:p>
      <w:pPr>
        <w:spacing w:after="0" w:line="99"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original term loan amortization date was April 1, 2022, with an opportunity for a six-month extension if certain performance milestones are met. The original maturity date of the loan was April 26, 2022 (“Early Maturity Date”), with an opportunity for extension to September 2024 or March 2025 if certain performance milestones are met, including the conversion of the SNAP June 2020 Note. In April 2022, the Company entered into a loan modification agreement with Silicon Valley Bank, which extended the note’s Early Maturity Date to May 26, 2022 which also extended the period of amortization of the discount.</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5" w:name="page246"/>
    <w:bookmarkEnd w:id="24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 AND NOTES PAYABLE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As a result of the Business Combination, the SNAP June 2020 Note converted on the Closing Date and the performance milestone was met, satisfying the requirements to extend the maturity date to September 1, 2024 Accordingly, the Company has classified $13.1 million of the balance as long-term and $12.0 million of the balance as short-term as of September 30, 2022 compared to the entirety of the balance as short-term as of December 31, 2021.</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SCI June 2021 Note</w:t>
      </w:r>
    </w:p>
    <w:p>
      <w:pPr>
        <w:spacing w:after="0" w:line="159"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June 2021, the Company entered into a loan and security agreement with a lender to obtain credit extensions to the Company. Extensions may be requested in $5.0 million increments up to a total commitment amount of $15.0 million. The Company drew an initial $5.0 million on June 14, 2021 and the remaining $10.0 million on December 1, 2021. The SCI June 2021 Note also contains a final payment provision of 3.5% on each draw or $0.5 million in total. Additionally, warrants were issued alongside the convertible note to purchase 63,785 shares of Legacy SoundHound’s common stock. The warrant’s allocated fair value was $1.5 million at issuance. The Company recorded the final payment as an increase to the principal balance and debt discount for the entire payment amount upon each draw.</w:t>
      </w:r>
    </w:p>
    <w:p>
      <w:pPr>
        <w:spacing w:after="0" w:line="99"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As the warrants and discounts of $2.2 million are directly attributable to the total commitment of $15.0 million, the Company has presented its unamortized debt issuance cost associated with this note as a current asset, recorded as debt issuance cost on the condensed consolidated balance sheets. The Company is amortizing the cost on a straight-line basis from the issuance date through the maturity date of May 31, 2025. The Company recorded a nominal amount and $0.8 million in interest expense related to the debt discounts during the three and nine months ended September 30, 2022, respectively, and $0.4 million and $0.6 million in interest expense related to the debt discounts during the three and nine months ended September 30, 2021, respectively. As of September 30, 2022 and December 31, 2021, the unamortized debt discount totaled $0.3 million and $1.1 million, respectively.</w:t>
      </w:r>
    </w:p>
    <w:p>
      <w:pPr>
        <w:spacing w:after="0" w:line="115"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loan bears interest at an annual rate equal to the greater of 9% or 5.75% above the Prime Rate. As of September 30, 2022, the interest rate was 12.0%. Payments were interest-only for the first twelve months and are now principal and interest through maturity. The Company incurred and paid $0.4 million and $1.1 million in stated interest in the condensed consolidated statements of operations and comprehensive loss for the three and nine months ended September 30, 2022, respectively, and $0.1 million in stated interest during both the three and nine months ended September 30, 2021.</w:t>
      </w:r>
    </w:p>
    <w:p>
      <w:pPr>
        <w:spacing w:after="0" w:line="110"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loan amortization date was June 1, 2022, with an opportunity for a six-month extension if certain performance milestones are met. The maturity date of the loan is the earlier of May 31,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w:t>
      </w:r>
    </w:p>
    <w:p>
      <w:pPr>
        <w:spacing w:after="0" w:line="96"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As a result of the Business Combination, the SNAP June 2020 Note converted into the Company’s securities on the Closing Date. As the SNAP June 2020 Note was not paid in full and did not mature on June 26, 2022 due to its conversion, the maturity date of the SCI June 2021 Note is May 31, 2025. Accordingly, the Company has classified $9.5 million of the balance as long-term and $4.6 million of the balance as short-term as of September 30, 2022 compared to the entirety of the balance as short-term as of December 31, 2021. Additionally,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6" w:name="page247"/>
    <w:bookmarkEnd w:id="24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 AND NOTES PAYABLE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as the Company and its Agent did not mutually consent to the equity conversion that could have been triggered by the Business Combination, the conversion feature no longer existed subsequent to the Closing Date. As of September 30, 2022, the SCI June 2021 Note was classified as a note payable.</w:t>
      </w:r>
    </w:p>
    <w:p>
      <w:pPr>
        <w:spacing w:after="0" w:line="97"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The below tables summarize the Company’s debt balances as of September 30, 2022 and December 31, 2021 (in thousands):</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7"/>
          </w:tcPr>
          <w:p>
            <w:pPr>
              <w:jc w:val="center"/>
              <w:ind w:left="657"/>
              <w:spacing w:after="0"/>
              <w:rPr>
                <w:sz w:val="20"/>
                <w:szCs w:val="20"/>
                <w:color w:val="auto"/>
              </w:rPr>
            </w:pPr>
            <w:r>
              <w:rPr>
                <w:rFonts w:ascii="Times New Roman" w:cs="Times New Roman" w:eastAsia="Times New Roman" w:hAnsi="Times New Roman"/>
                <w:sz w:val="16"/>
                <w:szCs w:val="16"/>
                <w:b w:val="1"/>
                <w:bCs w:val="1"/>
                <w:color w:val="auto"/>
                <w:w w:val="97"/>
              </w:rPr>
              <w:t>September 30, 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20"/>
              <w:spacing w:after="0" w:line="172" w:lineRule="exact"/>
              <w:rPr>
                <w:sz w:val="20"/>
                <w:szCs w:val="20"/>
                <w:color w:val="auto"/>
              </w:rPr>
            </w:pPr>
            <w:r>
              <w:rPr>
                <w:rFonts w:ascii="Times New Roman" w:cs="Times New Roman" w:eastAsia="Times New Roman" w:hAnsi="Times New Roman"/>
                <w:sz w:val="16"/>
                <w:szCs w:val="16"/>
                <w:b w:val="1"/>
                <w:bCs w:val="1"/>
                <w:color w:val="auto"/>
              </w:rPr>
              <w:t>SVB</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20"/>
              <w:spacing w:after="0" w:line="172" w:lineRule="exact"/>
              <w:rPr>
                <w:sz w:val="20"/>
                <w:szCs w:val="20"/>
                <w:color w:val="auto"/>
              </w:rPr>
            </w:pPr>
            <w:r>
              <w:rPr>
                <w:rFonts w:ascii="Times New Roman" w:cs="Times New Roman" w:eastAsia="Times New Roman" w:hAnsi="Times New Roman"/>
                <w:sz w:val="16"/>
                <w:szCs w:val="16"/>
                <w:b w:val="1"/>
                <w:bCs w:val="1"/>
                <w:color w:val="auto"/>
                <w:w w:val="97"/>
              </w:rPr>
              <w:t>SCI</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March 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June 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96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Notes payable</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4,593</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16,593</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Notes payable, net of current portion</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9,479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22,529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continue"/>
          </w:tcPr>
          <w:p>
            <w:pPr>
              <w:spacing w:after="0"/>
              <w:rPr>
                <w:sz w:val="23"/>
                <w:szCs w:val="23"/>
                <w:color w:val="auto"/>
              </w:rPr>
            </w:pPr>
          </w:p>
        </w:tc>
        <w:tc>
          <w:tcPr>
            <w:tcW w:w="3960" w:type="dxa"/>
            <w:vAlign w:val="bottom"/>
            <w:vMerge w:val="continue"/>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24,969</w:t>
            </w:r>
          </w:p>
        </w:tc>
        <w:tc>
          <w:tcPr>
            <w:tcW w:w="12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14,072</w:t>
            </w:r>
          </w:p>
        </w:tc>
        <w:tc>
          <w:tcPr>
            <w:tcW w:w="80" w:type="dxa"/>
            <w:vAlign w:val="bottom"/>
          </w:tcPr>
          <w:p>
            <w:pPr>
              <w:spacing w:after="0"/>
              <w:rPr>
                <w:sz w:val="23"/>
                <w:szCs w:val="23"/>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39,041</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3980" w:type="dxa"/>
            <w:vAlign w:val="bottom"/>
            <w:tcBorders>
              <w:top w:val="single" w:sz="8" w:color="CCEEFF"/>
              <w:bottom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Unamortized debt issuance cost recorded as an asset</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center"/>
              <w:ind w:right="216"/>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440"/>
              <w:spacing w:after="0" w:line="172" w:lineRule="exact"/>
              <w:rPr>
                <w:sz w:val="20"/>
                <w:szCs w:val="20"/>
                <w:color w:val="auto"/>
              </w:rPr>
            </w:pPr>
            <w:r>
              <w:rPr>
                <w:rFonts w:ascii="Times New Roman" w:cs="Times New Roman" w:eastAsia="Times New Roman" w:hAnsi="Times New Roman"/>
                <w:sz w:val="16"/>
                <w:szCs w:val="16"/>
                <w:b w:val="1"/>
                <w:bCs w:val="1"/>
                <w:color w:val="auto"/>
                <w:w w:val="96"/>
              </w:rPr>
              <w:t>SVB</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March 2021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3"/>
              </w:rPr>
              <w:t>Note</w:t>
            </w:r>
          </w:p>
        </w:tc>
        <w:tc>
          <w:tcPr>
            <w:tcW w:w="0" w:type="dxa"/>
            <w:vAlign w:val="bottom"/>
          </w:tcPr>
          <w:p>
            <w:pPr>
              <w:spacing w:after="0"/>
              <w:rPr>
                <w:sz w:val="1"/>
                <w:szCs w:val="1"/>
                <w:color w:val="auto"/>
              </w:rPr>
            </w:pPr>
          </w:p>
        </w:tc>
      </w:tr>
      <w:tr>
        <w:trPr>
          <w:trHeight w:val="45"/>
        </w:trPr>
        <w:tc>
          <w:tcPr>
            <w:tcW w:w="398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 payable, current portion</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31,050</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Unamortized loan discount</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(1,086)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Carrying value</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29,964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gridSpan w:val="5"/>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7"/>
          </w:tcPr>
          <w:p>
            <w:pPr>
              <w:jc w:val="center"/>
              <w:ind w:left="657"/>
              <w:spacing w:after="0"/>
              <w:rPr>
                <w:sz w:val="20"/>
                <w:szCs w:val="20"/>
                <w:color w:val="auto"/>
              </w:rPr>
            </w:pPr>
            <w:r>
              <w:rPr>
                <w:rFonts w:ascii="Times New Roman" w:cs="Times New Roman" w:eastAsia="Times New Roman" w:hAnsi="Times New Roman"/>
                <w:sz w:val="16"/>
                <w:szCs w:val="16"/>
                <w:b w:val="1"/>
                <w:bCs w:val="1"/>
                <w:color w:val="auto"/>
                <w:w w:val="97"/>
              </w:rPr>
              <w:t>December 31, 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20"/>
              <w:spacing w:after="0" w:line="172" w:lineRule="exact"/>
              <w:rPr>
                <w:sz w:val="20"/>
                <w:szCs w:val="20"/>
                <w:color w:val="auto"/>
              </w:rPr>
            </w:pPr>
            <w:r>
              <w:rPr>
                <w:rFonts w:ascii="Times New Roman" w:cs="Times New Roman" w:eastAsia="Times New Roman" w:hAnsi="Times New Roman"/>
                <w:sz w:val="16"/>
                <w:szCs w:val="16"/>
                <w:b w:val="1"/>
                <w:bCs w:val="1"/>
                <w:color w:val="auto"/>
                <w:w w:val="95"/>
              </w:rPr>
              <w:t>SNAP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20"/>
              <w:spacing w:after="0" w:line="172" w:lineRule="exact"/>
              <w:rPr>
                <w:sz w:val="20"/>
                <w:szCs w:val="20"/>
                <w:color w:val="auto"/>
              </w:rPr>
            </w:pPr>
            <w:r>
              <w:rPr>
                <w:rFonts w:ascii="Times New Roman" w:cs="Times New Roman" w:eastAsia="Times New Roman" w:hAnsi="Times New Roman"/>
                <w:sz w:val="16"/>
                <w:szCs w:val="16"/>
                <w:b w:val="1"/>
                <w:bCs w:val="1"/>
                <w:color w:val="auto"/>
                <w:w w:val="97"/>
              </w:rPr>
              <w:t>SCI</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June 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June 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5"/>
        </w:trPr>
        <w:tc>
          <w:tcPr>
            <w:tcW w:w="3980" w:type="dxa"/>
            <w:vAlign w:val="bottom"/>
            <w:gridSpan w:val="2"/>
          </w:tcPr>
          <w:p>
            <w:pPr>
              <w:spacing w:after="0"/>
              <w:rPr>
                <w:sz w:val="3"/>
                <w:szCs w:val="3"/>
                <w:color w:val="auto"/>
              </w:rPr>
            </w:pPr>
          </w:p>
        </w:tc>
        <w:tc>
          <w:tcPr>
            <w:tcW w:w="500" w:type="dxa"/>
            <w:vAlign w:val="bottom"/>
            <w:gridSpan w:val="2"/>
          </w:tcPr>
          <w:p>
            <w:pPr>
              <w:spacing w:after="0"/>
              <w:rPr>
                <w:sz w:val="3"/>
                <w:szCs w:val="3"/>
                <w:color w:val="auto"/>
              </w:rPr>
            </w:pPr>
          </w:p>
        </w:tc>
        <w:tc>
          <w:tcPr>
            <w:tcW w:w="960" w:type="dxa"/>
            <w:vAlign w:val="bottom"/>
            <w:gridSpan w:val="2"/>
          </w:tcPr>
          <w:p>
            <w:pPr>
              <w:spacing w:after="0"/>
              <w:rPr>
                <w:sz w:val="3"/>
                <w:szCs w:val="3"/>
                <w:color w:val="auto"/>
              </w:rPr>
            </w:pPr>
          </w:p>
        </w:tc>
        <w:tc>
          <w:tcPr>
            <w:tcW w:w="200" w:type="dxa"/>
            <w:vAlign w:val="bottom"/>
            <w:gridSpan w:val="2"/>
          </w:tcPr>
          <w:p>
            <w:pPr>
              <w:spacing w:after="0"/>
              <w:rPr>
                <w:sz w:val="3"/>
                <w:szCs w:val="3"/>
                <w:color w:val="auto"/>
              </w:rPr>
            </w:pPr>
          </w:p>
        </w:tc>
        <w:tc>
          <w:tcPr>
            <w:tcW w:w="8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notes, current portion</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30,525</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(657)</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15,525</w:t>
            </w:r>
          </w:p>
        </w:tc>
        <w:tc>
          <w:tcPr>
            <w:tcW w:w="80" w:type="dxa"/>
            <w:vAlign w:val="bottom"/>
            <w:shd w:val="clear" w:color="auto" w:fill="CCEEFF"/>
          </w:tcPr>
          <w:p>
            <w:pPr>
              <w:spacing w:after="0"/>
              <w:rPr>
                <w:sz w:val="20"/>
                <w:szCs w:val="20"/>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29,868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Unamortized debt issuance cost recorded as an asset</w:t>
            </w: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Additionally, interest expense on the condensed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pacing w:after="0" w:line="16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FAIR VALUE MEASUREMENTS</w:t>
      </w:r>
    </w:p>
    <w:p>
      <w:pPr>
        <w:spacing w:after="0" w:line="157"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tables present the fair value of the Company’s financial instruments that are measured or disclosed at fair value on a recurring basis (in thousands):</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0" w:type="dxa"/>
            <w:vAlign w:val="bottom"/>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Fair Value Measurements as of</w:t>
            </w:r>
          </w:p>
        </w:tc>
      </w:tr>
      <w:tr>
        <w:trPr>
          <w:trHeight w:val="205"/>
        </w:trPr>
        <w:tc>
          <w:tcPr>
            <w:tcW w:w="3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September 30, 2022</w:t>
            </w:r>
          </w:p>
        </w:tc>
        <w:tc>
          <w:tcPr>
            <w:tcW w:w="1000" w:type="dxa"/>
            <w:vAlign w:val="bottom"/>
          </w:tcPr>
          <w:p>
            <w:pPr>
              <w:spacing w:after="0"/>
              <w:rPr>
                <w:sz w:val="17"/>
                <w:szCs w:val="17"/>
                <w:color w:val="auto"/>
              </w:rPr>
            </w:pPr>
          </w:p>
        </w:tc>
      </w:tr>
      <w:tr>
        <w:trPr>
          <w:trHeight w:val="45"/>
        </w:trPr>
        <w:tc>
          <w:tcPr>
            <w:tcW w:w="38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1"/>
        </w:trPr>
        <w:tc>
          <w:tcPr>
            <w:tcW w:w="3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45"/>
        </w:trPr>
        <w:tc>
          <w:tcPr>
            <w:tcW w:w="2700" w:type="dxa"/>
            <w:vAlign w:val="bottom"/>
            <w:gridSpan w:val="2"/>
          </w:tcPr>
          <w:p>
            <w:pPr>
              <w:spacing w:after="0"/>
              <w:rPr>
                <w:sz w:val="3"/>
                <w:szCs w:val="3"/>
                <w:color w:val="auto"/>
              </w:rPr>
            </w:pPr>
          </w:p>
        </w:tc>
        <w:tc>
          <w:tcPr>
            <w:tcW w:w="1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46"/>
        </w:trPr>
        <w:tc>
          <w:tcPr>
            <w:tcW w:w="380" w:type="dxa"/>
            <w:vAlign w:val="bottom"/>
          </w:tcPr>
          <w:p>
            <w:pPr>
              <w:spacing w:after="0"/>
              <w:rPr>
                <w:sz w:val="21"/>
                <w:szCs w:val="21"/>
                <w:color w:val="auto"/>
              </w:rPr>
            </w:pPr>
          </w:p>
        </w:tc>
        <w:tc>
          <w:tcPr>
            <w:tcW w:w="2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7"/>
        </w:trPr>
        <w:tc>
          <w:tcPr>
            <w:tcW w:w="380" w:type="dxa"/>
            <w:vAlign w:val="bottom"/>
          </w:tcPr>
          <w:p>
            <w:pPr>
              <w:spacing w:after="0"/>
              <w:rPr>
                <w:sz w:val="21"/>
                <w:szCs w:val="21"/>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equivalents</w:t>
            </w:r>
          </w:p>
        </w:tc>
        <w:tc>
          <w:tcPr>
            <w:tcW w:w="2300" w:type="dxa"/>
            <w:vAlign w:val="bottom"/>
            <w:gridSpan w:val="2"/>
          </w:tcPr>
          <w:p>
            <w:pPr>
              <w:jc w:val="right"/>
              <w:ind w:right="662"/>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tcPr>
          <w:p>
            <w:pPr>
              <w:ind w:left="820"/>
              <w:spacing w:after="0"/>
              <w:rPr>
                <w:sz w:val="20"/>
                <w:szCs w:val="20"/>
                <w:color w:val="auto"/>
              </w:rPr>
            </w:pPr>
            <w:r>
              <w:rPr>
                <w:rFonts w:ascii="Times New Roman" w:cs="Times New Roman" w:eastAsia="Times New Roman" w:hAnsi="Times New Roman"/>
                <w:sz w:val="17"/>
                <w:szCs w:val="17"/>
                <w:color w:val="auto"/>
                <w:w w:val="93"/>
              </w:rPr>
              <w:t>—</w:t>
            </w:r>
          </w:p>
        </w:tc>
      </w:tr>
      <w:tr>
        <w:trPr>
          <w:trHeight w:val="26"/>
        </w:trPr>
        <w:tc>
          <w:tcPr>
            <w:tcW w:w="380" w:type="dxa"/>
            <w:vAlign w:val="bottom"/>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3"/>
        </w:trPr>
        <w:tc>
          <w:tcPr>
            <w:tcW w:w="380" w:type="dxa"/>
            <w:vAlign w:val="bottom"/>
          </w:tcPr>
          <w:p>
            <w:pPr>
              <w:spacing w:after="0"/>
              <w:rPr>
                <w:sz w:val="20"/>
                <w:szCs w:val="20"/>
                <w:color w:val="auto"/>
              </w:rPr>
            </w:pPr>
          </w:p>
        </w:tc>
        <w:tc>
          <w:tcPr>
            <w:tcW w:w="2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2300" w:type="dxa"/>
            <w:vAlign w:val="bottom"/>
            <w:gridSpan w:val="2"/>
            <w:shd w:val="clear" w:color="auto" w:fill="CCEEFF"/>
          </w:tcPr>
          <w:p>
            <w:pPr>
              <w:jc w:val="right"/>
              <w:ind w:right="662"/>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380" w:type="dxa"/>
            <w:vAlign w:val="bottom"/>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62"/>
        </w:trPr>
        <w:tc>
          <w:tcPr>
            <w:tcW w:w="3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jc w:val="right"/>
              <w:ind w:right="842"/>
              <w:spacing w:after="0"/>
              <w:rPr>
                <w:sz w:val="20"/>
                <w:szCs w:val="20"/>
                <w:color w:val="auto"/>
              </w:rPr>
            </w:pPr>
            <w:r>
              <w:rPr>
                <w:rFonts w:ascii="Times New Roman" w:cs="Times New Roman" w:eastAsia="Times New Roman" w:hAnsi="Times New Roman"/>
                <w:sz w:val="17"/>
                <w:szCs w:val="17"/>
                <w:color w:val="auto"/>
              </w:rPr>
              <w:t>F-114</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47" w:name="page248"/>
    <w:bookmarkEnd w:id="24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FAIR VALUE MEASUREMENTS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p>
      <w:pPr>
        <w:spacing w:after="0" w:line="21" w:lineRule="exact"/>
        <w:rPr>
          <w:sz w:val="20"/>
          <w:szCs w:val="20"/>
          <w:color w:val="auto"/>
        </w:rPr>
      </w:pPr>
    </w:p>
    <w:p>
      <w:pPr>
        <w:jc w:val="center"/>
        <w:ind w:left="420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3061970</wp:posOffset>
            </wp:positionH>
            <wp:positionV relativeFrom="paragraph">
              <wp:posOffset>35560</wp:posOffset>
            </wp:positionV>
            <wp:extent cx="227711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277110" cy="8255"/>
                    </a:xfrm>
                    <a:prstGeom prst="rect">
                      <a:avLst/>
                    </a:prstGeom>
                    <a:noFill/>
                  </pic:spPr>
                </pic:pic>
              </a:graphicData>
            </a:graphic>
          </wp:anchor>
        </w:drawing>
      </w:r>
    </w:p>
    <w:p>
      <w:pPr>
        <w:spacing w:after="0" w:line="72"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8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45"/>
        </w:trPr>
        <w:tc>
          <w:tcPr>
            <w:tcW w:w="26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4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equivalents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4,863</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26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7"/>
        </w:trPr>
        <w:tc>
          <w:tcPr>
            <w:tcW w:w="2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Derivative liability</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(3,488)</w:t>
            </w:r>
          </w:p>
        </w:tc>
      </w:tr>
      <w:tr>
        <w:trPr>
          <w:trHeight w:val="26"/>
        </w:trPr>
        <w:tc>
          <w:tcPr>
            <w:tcW w:w="26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2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4,863</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39"/>
        <w:spacing w:after="0" w:line="293" w:lineRule="auto"/>
        <w:rPr>
          <w:sz w:val="20"/>
          <w:szCs w:val="20"/>
          <w:color w:val="auto"/>
        </w:rPr>
      </w:pPr>
      <w:r>
        <w:rPr>
          <w:rFonts w:ascii="Times New Roman" w:cs="Times New Roman" w:eastAsia="Times New Roman" w:hAnsi="Times New Roman"/>
          <w:sz w:val="17"/>
          <w:szCs w:val="17"/>
          <w:color w:val="auto"/>
        </w:rPr>
        <w:t>The fair values of the derivative liabilities were determined based on significant inputs not observable in the market, which represent Level 3 measurements within the fair value hierarchy.</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Series C Warrants (April 2013 and November 2013)</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revalued the Series C warrants as of September 30, 2021, resulting in a change in fair value of $1.8 million and $2.7 million during the three and nine months ended September 30, 2021, respectively. This change in fair value was recorded as a component of other income (expense), net, in the accompanying condensed consolidated statements of operations and comprehensive loss.</w:t>
      </w:r>
    </w:p>
    <w:p>
      <w:pPr>
        <w:spacing w:after="0" w:line="105"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 determined the fair value of the April 2013 Series C redeemable convertible preferred stock warrants using the Black-Scholes option-pricing model using the following assumptions:</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5"/>
        </w:trPr>
        <w:tc>
          <w:tcPr>
            <w:tcW w:w="6180" w:type="dxa"/>
            <w:vAlign w:val="bottom"/>
          </w:tcPr>
          <w:p>
            <w:pPr>
              <w:spacing w:after="0"/>
              <w:rPr>
                <w:sz w:val="17"/>
                <w:szCs w:val="17"/>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61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0.26%</w:t>
            </w:r>
          </w:p>
        </w:tc>
      </w:tr>
      <w:tr>
        <w:trPr>
          <w:trHeight w:val="39"/>
        </w:trPr>
        <w:tc>
          <w:tcPr>
            <w:tcW w:w="61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1.89</w:t>
            </w:r>
          </w:p>
        </w:tc>
      </w:tr>
    </w:tbl>
    <w:p>
      <w:pPr>
        <w:spacing w:after="0" w:line="189"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Upon exercise in December 2021, the warrants were recorded as Series C Preferred Stock at their fair value of $5.8 million upon net share settlement.</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Common Stock Warrants (SVB March 2021 Note and SCI June 2021 Note)</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issued common stock warrants in connection with the SVB March 2021 Note and SCI June 2021 Note (See Note 8 for additional information). The SVB March 2021 Note and SCI June 2021 Note warrants were recorded based on the allocation of its relative fair value of the debt proceeds of $2.3 million and $1.5 million, respectively. The warrants were classified as equity instruments at inception with a corresponding discount recorded at issuance 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The SVB March 2021 Note warrants expire in March 2031 and the SCI June 2021 Note warrants expire in June 2031.</w:t>
      </w:r>
    </w:p>
    <w:p>
      <w:pPr>
        <w:spacing w:after="0" w:line="32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determined the fair value of the SVB March 2021 Note and SCI June 2021 Note common stock warrants at issuance using the Black-Scholes option-pricing model using the following assumptions, respectively:</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i w:val="1"/>
          <w:iCs w:val="1"/>
          <w:color w:val="auto"/>
        </w:rPr>
        <w:t>SVB March 2021 Note Common Stock Warrants</w:t>
      </w:r>
    </w:p>
    <w:p>
      <w:pPr>
        <w:spacing w:after="0" w:line="46" w:lineRule="exact"/>
        <w:rPr>
          <w:sz w:val="20"/>
          <w:szCs w:val="20"/>
          <w:color w:val="auto"/>
        </w:rPr>
      </w:pPr>
    </w:p>
    <w:tbl>
      <w:tblPr>
        <w:tblLayout w:type="fixed"/>
        <w:tblInd w:w="620" w:type="dxa"/>
        <w:tblCellMar>
          <w:top w:w="0" w:type="dxa"/>
          <w:left w:w="0" w:type="dxa"/>
          <w:bottom w:w="0" w:type="dxa"/>
          <w:right w:w="0" w:type="dxa"/>
        </w:tblCellMar>
      </w:tblPr>
      <w:tr>
        <w:trPr>
          <w:trHeight w:val="253"/>
        </w:trPr>
        <w:tc>
          <w:tcPr>
            <w:tcW w:w="380" w:type="dxa"/>
            <w:vAlign w:val="bottom"/>
          </w:tcPr>
          <w:p>
            <w:pPr>
              <w:spacing w:after="0"/>
              <w:rPr>
                <w:sz w:val="21"/>
                <w:szCs w:val="21"/>
                <w:color w:val="auto"/>
              </w:rPr>
            </w:pPr>
          </w:p>
        </w:tc>
        <w:tc>
          <w:tcPr>
            <w:tcW w:w="25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36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28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Risk-free interest rate</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39"/>
        </w:trPr>
        <w:tc>
          <w:tcPr>
            <w:tcW w:w="2880" w:type="dxa"/>
            <w:vAlign w:val="bottom"/>
            <w:gridSpan w:val="2"/>
          </w:tcPr>
          <w:p>
            <w:pPr>
              <w:spacing w:after="0"/>
              <w:rPr>
                <w:sz w:val="3"/>
                <w:szCs w:val="3"/>
                <w:color w:val="auto"/>
              </w:rPr>
            </w:pPr>
          </w:p>
        </w:tc>
        <w:tc>
          <w:tcPr>
            <w:tcW w:w="36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4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28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Expected term (in years)</w:t>
            </w:r>
          </w:p>
        </w:tc>
        <w:tc>
          <w:tcPr>
            <w:tcW w:w="490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10.00</w:t>
            </w:r>
          </w:p>
        </w:tc>
      </w:tr>
      <w:tr>
        <w:trPr>
          <w:trHeight w:val="416"/>
        </w:trPr>
        <w:tc>
          <w:tcPr>
            <w:tcW w:w="3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2"/>
          </w:tcPr>
          <w:p>
            <w:pPr>
              <w:jc w:val="right"/>
              <w:ind w:right="3613"/>
              <w:spacing w:after="0"/>
              <w:rPr>
                <w:sz w:val="20"/>
                <w:szCs w:val="20"/>
                <w:color w:val="auto"/>
              </w:rPr>
            </w:pPr>
            <w:r>
              <w:rPr>
                <w:rFonts w:ascii="Times New Roman" w:cs="Times New Roman" w:eastAsia="Times New Roman" w:hAnsi="Times New Roman"/>
                <w:sz w:val="17"/>
                <w:szCs w:val="17"/>
                <w:color w:val="auto"/>
              </w:rPr>
              <w:t>F-115</w:t>
            </w:r>
          </w:p>
        </w:tc>
      </w:tr>
    </w:tbl>
    <w:p>
      <w:pPr>
        <w:sectPr>
          <w:pgSz w:w="11900" w:h="16838" w:orient="portrait"/>
          <w:cols w:equalWidth="0" w:num="1">
            <w:col w:w="9019"/>
          </w:cols>
          <w:pgMar w:left="1440" w:top="264" w:right="1440" w:bottom="1440" w:gutter="0" w:footer="0" w:header="0"/>
        </w:sectPr>
      </w:pPr>
    </w:p>
    <w:bookmarkStart w:id="248" w:name="page249"/>
    <w:bookmarkEnd w:id="24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FAIR VALUE MEASUREMENTS </w:t>
      </w:r>
      <w:r>
        <w:rPr>
          <w:rFonts w:ascii="Times New Roman" w:cs="Times New Roman" w:eastAsia="Times New Roman" w:hAnsi="Times New Roman"/>
          <w:sz w:val="17"/>
          <w:szCs w:val="17"/>
          <w:color w:val="auto"/>
        </w:rPr>
        <w:t>(cont.)</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61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SCI June 2021 Note Common Stock Warrants</w:t>
            </w:r>
          </w:p>
        </w:tc>
        <w:tc>
          <w:tcPr>
            <w:tcW w:w="1300" w:type="dxa"/>
            <w:vAlign w:val="bottom"/>
          </w:tcPr>
          <w:p>
            <w:pPr>
              <w:spacing w:after="0"/>
              <w:rPr>
                <w:sz w:val="17"/>
                <w:szCs w:val="17"/>
                <w:color w:val="auto"/>
              </w:rPr>
            </w:pPr>
          </w:p>
        </w:tc>
      </w:tr>
      <w:tr>
        <w:trPr>
          <w:trHeight w:val="45"/>
        </w:trPr>
        <w:tc>
          <w:tcPr>
            <w:tcW w:w="6100" w:type="dxa"/>
            <w:vAlign w:val="bottom"/>
            <w:tcBorders>
              <w:bottom w:val="single" w:sz="8" w:color="auto"/>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r>
      <w:tr>
        <w:trPr>
          <w:trHeight w:val="233"/>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39"/>
        </w:trPr>
        <w:tc>
          <w:tcPr>
            <w:tcW w:w="6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3"/>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3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10.00</w:t>
            </w:r>
          </w:p>
        </w:tc>
      </w:tr>
    </w:tbl>
    <w:p>
      <w:pPr>
        <w:spacing w:after="0" w:line="189"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Upon the Closing of the Business Combination, all outstanding warrants associated with the SVB March 2021 Note and SCI June 2021 Note were exercised, leading to a net issuance of 673,416 shares of Class A Common Stock.</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Public and Private Common Stock Warrants</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Public Warrants and Private Warrants were issued prior to the Business Combination by ATSP. The Public Warrants and Private Warrants initially differed in classification, as the Public Warrants were considered equity instruments indexed to ATSP’s stock, while the Private Warrants were considered liability instruments. However, upon the Closing of the Business Combination, the Company modified its Private Warrants to be identical to its Public Warrants. At the time of conversion from a liability instrument to an equity instrument, the fair value of the Private Warrants was $0.1 million.</w:t>
      </w:r>
    </w:p>
    <w:p>
      <w:pPr>
        <w:spacing w:after="0" w:line="110"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Following the Business Combination and as of September 30, 2022, both warrants are classified as equity instruments, as they are indexed to the Company’s stock. The common stock warrants are not subject to remeasurement at each subsequent balance sheet date due to their classification as equity instruments. Refer to Note 3 and Note 8 for further information on the Public Warrants and Private Warrants. The fair value of the Public Warrants and Private Warrants are measured using quoted market prices.</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Derivative Liability (SNAP June 2020 Note)</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 was determined as the differential value from the perspective of the With and Without Method. The Company utilized the following assumptions at the valuation date:</w:t>
      </w:r>
    </w:p>
    <w:p>
      <w:pPr>
        <w:spacing w:after="0" w:line="151"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5"/>
        </w:trPr>
        <w:tc>
          <w:tcPr>
            <w:tcW w:w="6180" w:type="dxa"/>
            <w:vAlign w:val="bottom"/>
          </w:tcPr>
          <w:p>
            <w:pPr>
              <w:spacing w:after="0"/>
              <w:rPr>
                <w:sz w:val="17"/>
                <w:szCs w:val="17"/>
                <w:color w:val="auto"/>
              </w:rPr>
            </w:pPr>
          </w:p>
        </w:tc>
        <w:tc>
          <w:tcPr>
            <w:tcW w:w="108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r>
      <w:tr>
        <w:trPr>
          <w:trHeight w:val="45"/>
        </w:trPr>
        <w:tc>
          <w:tcPr>
            <w:tcW w:w="61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Next Equity Financing</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Probability of SPAC/PIPE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39"/>
        </w:trPr>
        <w:tc>
          <w:tcPr>
            <w:tcW w:w="6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IPO</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0"/>
        </w:trPr>
        <w:tc>
          <w:tcPr>
            <w:tcW w:w="6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9"/>
        </w:trPr>
        <w:tc>
          <w:tcPr>
            <w:tcW w:w="61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34"/>
        </w:trPr>
        <w:tc>
          <w:tcPr>
            <w:tcW w:w="6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term (years)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25.00%</w:t>
            </w:r>
          </w:p>
        </w:tc>
      </w:tr>
    </w:tbl>
    <w:p>
      <w:pPr>
        <w:spacing w:after="0" w:line="189"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10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On April 26, 2022, the Closing of the Business Combination, the embedded derivative was valued at fair value which was equivalent to its intrinsic value. The embedded derivative had a fair value of $4.1 million. As the Closing of the Business Combination triggered the Conversion Feature contained within the SNAP June 2020 Note, therefore converting the note’s principal to equity, the embedded derivative associated with the note was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9" w:name="page250"/>
    <w:bookmarkEnd w:id="24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FAIR VALUE MEASUREMENTS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extinguished. The Company recorded the remeasurement of derivative liabilities in other income (expense), net on the condensed consolidated statements of operations and comprehensive loss. The fair value of the embedded derivative was recorded as additional paid-in capital upon extinguishment on the condensed consolidated balance sheet.</w:t>
      </w:r>
    </w:p>
    <w:p>
      <w:pPr>
        <w:spacing w:after="0" w:line="105"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 summarizes the fair value remeasurement of the embedded derivative for the three and nine months ended September 30, 2022 and 2021 (in thousands):</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80" w:type="dxa"/>
            <w:vAlign w:val="bottom"/>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78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Nine Months Ended</w:t>
            </w:r>
          </w:p>
        </w:tc>
      </w:tr>
      <w:tr>
        <w:trPr>
          <w:trHeight w:val="205"/>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180" w:type="dxa"/>
            <w:vAlign w:val="bottom"/>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78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r>
      <w:tr>
        <w:trPr>
          <w:trHeight w:val="45"/>
        </w:trPr>
        <w:tc>
          <w:tcPr>
            <w:tcW w:w="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r>
      <w:tr>
        <w:trPr>
          <w:trHeight w:val="45"/>
        </w:trPr>
        <w:tc>
          <w:tcPr>
            <w:tcW w:w="20" w:type="dxa"/>
            <w:vAlign w:val="bottom"/>
          </w:tcPr>
          <w:p>
            <w:pPr>
              <w:spacing w:after="0"/>
              <w:rPr>
                <w:sz w:val="3"/>
                <w:szCs w:val="3"/>
                <w:color w:val="auto"/>
              </w:rPr>
            </w:pPr>
          </w:p>
        </w:tc>
        <w:tc>
          <w:tcPr>
            <w:tcW w:w="274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170"/>
        </w:trPr>
        <w:tc>
          <w:tcPr>
            <w:tcW w:w="20" w:type="dxa"/>
            <w:vAlign w:val="bottom"/>
          </w:tcPr>
          <w:p>
            <w:pPr>
              <w:spacing w:after="0"/>
              <w:rPr>
                <w:sz w:val="14"/>
                <w:szCs w:val="14"/>
                <w:color w:val="auto"/>
              </w:rPr>
            </w:pPr>
          </w:p>
        </w:tc>
        <w:tc>
          <w:tcPr>
            <w:tcW w:w="274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Remeasurement of conversion</w:t>
            </w: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45"/>
        </w:trPr>
        <w:tc>
          <w:tcPr>
            <w:tcW w:w="2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feature – loss</w:t>
            </w:r>
          </w:p>
        </w:tc>
        <w:tc>
          <w:tcPr>
            <w:tcW w:w="1320" w:type="dxa"/>
            <w:vAlign w:val="bottom"/>
            <w:tcBorders>
              <w:bottom w:val="single" w:sz="8" w:color="CCEEFF"/>
            </w:tcBorders>
            <w:gridSpan w:val="2"/>
            <w:shd w:val="clear" w:color="auto" w:fill="CCEEFF"/>
          </w:tcPr>
          <w:p>
            <w:pPr>
              <w:jc w:val="right"/>
              <w:ind w:right="502"/>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(640)  $</w:t>
            </w:r>
          </w:p>
        </w:tc>
        <w:tc>
          <w:tcPr>
            <w:tcW w:w="10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(606)  $</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(1,090)</w:t>
            </w: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tables set forth a summary of changes in fair value of the Company’s derivative liability and warrant liability for which fair value was determined by Level 3 inputs (in thousands):</w:t>
      </w:r>
    </w:p>
    <w:p>
      <w:pPr>
        <w:spacing w:after="0" w:line="123"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56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2020</w:t>
            </w: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2,380</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1,090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September 30, 2021</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3,470</w:t>
            </w:r>
          </w:p>
        </w:tc>
        <w:tc>
          <w:tcPr>
            <w:tcW w:w="260" w:type="dxa"/>
            <w:vAlign w:val="bottom"/>
            <w:gridSpan w:val="4"/>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45"/>
        </w:trPr>
        <w:tc>
          <w:tcPr>
            <w:tcW w:w="458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2021</w:t>
            </w: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0" w:type="dxa"/>
            <w:vAlign w:val="bottom"/>
            <w:tcBorders>
              <w:top w:val="single" w:sz="8" w:color="auto"/>
              <w:bottom w:val="single" w:sz="8" w:color="CCEEFF"/>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Extinguishment of embedded derivative upon conversion of</w:t>
            </w: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convertible note</w:t>
            </w: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(4,094)</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Balance as of September 30, 2022</w:t>
            </w:r>
          </w:p>
        </w:tc>
        <w:tc>
          <w:tcPr>
            <w:tcW w:w="4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gridSpan w:val="2"/>
            <w:vMerge w:val="continue"/>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4"/>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There were no transfers of financial instruments between the three levels of the fair value hierarchy during the nine months ended September 30, 2022. The Company had no other financial assets or liabilities that were required to be measured at fair value on a recurring basis.</w:t>
      </w:r>
    </w:p>
    <w:p>
      <w:pPr>
        <w:spacing w:after="0" w:line="160" w:lineRule="exact"/>
        <w:rPr>
          <w:sz w:val="20"/>
          <w:szCs w:val="20"/>
          <w:color w:val="auto"/>
        </w:rPr>
      </w:pPr>
    </w:p>
    <w:p>
      <w:pPr>
        <w:ind w:left="60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11.</w:t>
        <w:tab/>
        <w:t>PREFERRED STOCK</w:t>
      </w:r>
    </w:p>
    <w:p>
      <w:pPr>
        <w:spacing w:after="0" w:line="15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A summary of the Legacy SoundHound Preferred Stock authorized, issued and outstanding as of the date of the Business Combination is as follows:</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10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05"/>
        </w:trPr>
        <w:tc>
          <w:tcPr>
            <w:tcW w:w="3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Authorized</w:t>
            </w:r>
          </w:p>
        </w:tc>
        <w:tc>
          <w:tcPr>
            <w:tcW w:w="110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45"/>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3"/>
        </w:trPr>
        <w:tc>
          <w:tcPr>
            <w:tcW w:w="380" w:type="dxa"/>
            <w:vAlign w:val="bottom"/>
          </w:tcPr>
          <w:p>
            <w:pPr>
              <w:spacing w:after="0"/>
              <w:rPr>
                <w:sz w:val="20"/>
                <w:szCs w:val="20"/>
                <w:color w:val="auto"/>
              </w:rPr>
            </w:pPr>
          </w:p>
        </w:tc>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A</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19,106,048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19,106,048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4,967</w:t>
            </w:r>
          </w:p>
        </w:tc>
      </w:tr>
      <w:tr>
        <w:trPr>
          <w:trHeight w:val="234"/>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Series B</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33,702,134</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33,702,134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66,360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11,038</w:t>
            </w:r>
          </w:p>
        </w:tc>
      </w:tr>
      <w:tr>
        <w:trPr>
          <w:trHeight w:val="39"/>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5,687,525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5,687,525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38,163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11,837</w:t>
            </w:r>
          </w:p>
        </w:tc>
      </w:tr>
      <w:tr>
        <w:trPr>
          <w:trHeight w:val="234"/>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Series C-1</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4,436,090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4,436,090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89,298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16,061</w:t>
            </w:r>
          </w:p>
        </w:tc>
      </w:tr>
      <w:tr>
        <w:trPr>
          <w:trHeight w:val="39"/>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20,258,299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20,258,299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527,992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85,648</w:t>
            </w:r>
          </w:p>
        </w:tc>
      </w:tr>
      <w:tr>
        <w:trPr>
          <w:trHeight w:val="234"/>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Series D-1</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8,418,535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8,418,535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277,812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49,957</w:t>
            </w:r>
          </w:p>
        </w:tc>
      </w:tr>
      <w:tr>
        <w:trPr>
          <w:trHeight w:val="39"/>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8,418,530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8,418,530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277,811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49,949</w:t>
            </w:r>
          </w:p>
        </w:tc>
      </w:tr>
      <w:tr>
        <w:trPr>
          <w:trHeight w:val="234"/>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Series D-3</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6,922,165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6,922,165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276,887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50,046</w:t>
            </w:r>
          </w:p>
        </w:tc>
      </w:tr>
      <w:tr>
        <w:trPr>
          <w:trHeight w:val="39"/>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D-3A</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20,835,869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33"/>
        </w:trPr>
        <w:tc>
          <w:tcPr>
            <w:tcW w:w="3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127,785,195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106,949,326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1,582,562</w:t>
            </w:r>
          </w:p>
        </w:tc>
        <w:tc>
          <w:tcPr>
            <w:tcW w:w="28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279,503</w:t>
            </w:r>
          </w:p>
        </w:tc>
      </w:tr>
      <w:tr>
        <w:trPr>
          <w:trHeight w:val="20"/>
        </w:trPr>
        <w:tc>
          <w:tcPr>
            <w:tcW w:w="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75"/>
        </w:trPr>
        <w:tc>
          <w:tcPr>
            <w:tcW w:w="3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7"/>
                <w:szCs w:val="17"/>
                <w:color w:val="auto"/>
              </w:rPr>
              <w:t>F-117</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50" w:name="page251"/>
    <w:bookmarkEnd w:id="25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11.</w:t>
        <w:tab/>
        <w:t xml:space="preserve">PREFERRED STOCK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Upon the closing of the Business Combination, the outstanding shares of Series A, B, C, C-1, D, D-1, D-2, and D-3 preferred stock were converted into 106,949,326 shares of SoundHound AI Class A Common Stock at the exchange ratio of 5.5562. Shares Authorized and Shares Issued above have been retroactively adjusted to reflect the exchange. As a result of the conversion of the Legacy SoundHound redeemable convertible preferred stock, the Company reclassified the amount of redeemable convertible preferred stock to additional paid in capital.</w:t>
      </w:r>
    </w:p>
    <w:p>
      <w:pPr>
        <w:spacing w:after="0" w:line="110"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Upon the consummation of the Business Combination, the Company is authorized to issue 1,000,000 shares of preferred stock with a par value of $0.0001 per share. The number of authorized shares of preferred stock may also be increased or decreased by the affirmative vote of the holders of a majority of the voting power of all the then-outstanding shares of capital stock of the Company entitled to vote thereon, without a separate vote of the holders of preferred stock. Any new series of preferred stock may be designated, fixed and determined as provided by the Board without approval of the holders of common stock or preferred stock. The preferred stock holders have the rights to elect one or more directors as per the Company’s restated certificate of incorporation. The Company has no preferred stock outstanding as of September 30, 2022.</w:t>
      </w:r>
    </w:p>
    <w:p>
      <w:pPr>
        <w:spacing w:after="0" w:line="17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12.</w:t>
        <w:tab/>
        <w:t>COMMON STOCK</w:t>
      </w:r>
    </w:p>
    <w:p>
      <w:pPr>
        <w:spacing w:after="0" w:line="14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 had 250,030,433 shares of Legacy SoundHound common stock authorized for issuance prior to the closing of the Business Combination.</w:t>
      </w:r>
    </w:p>
    <w:p>
      <w:pPr>
        <w:spacing w:after="0" w:line="81"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On April 26, 2022, the Company consummated a Business Combination which was accounted for as a reverse recapitalization (refer to Note 3 for additional information). Pursuant to the Company’s restated certificate of incorporation, the Company is authorized to issue 500,000,000 shares of capital stock, consisting of (a) 455,000,000 shares of Class A Common Stock with a par value of $0.0001 per share,</w:t>
      </w:r>
    </w:p>
    <w:p>
      <w:pPr>
        <w:spacing w:after="0" w:line="3" w:lineRule="exact"/>
        <w:rPr>
          <w:sz w:val="20"/>
          <w:szCs w:val="20"/>
          <w:color w:val="auto"/>
        </w:rPr>
      </w:pPr>
    </w:p>
    <w:p>
      <w:pPr>
        <w:jc w:val="both"/>
        <w:ind w:left="1020" w:right="619" w:firstLine="2"/>
        <w:spacing w:after="0" w:line="262" w:lineRule="auto"/>
        <w:tabs>
          <w:tab w:leader="none" w:pos="1265"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44,000,000 shares of Class B Common Stock with a par value of $0.0001 per share, and (c) 1,000,000 shares of preferred stock with a par value of $0.0001 per share. The outstanding shares of the Company’s common stock are fully paid and non-assessable.</w:t>
      </w:r>
    </w:p>
    <w:p>
      <w:pPr>
        <w:spacing w:after="0" w:line="108"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As a result of the Business Combination, 73,561,334 shares of Legacy SoundHound common stock, along with 106,949,326 shares of Legacy SoundHound preferred stock, were converted into 180,510,660 shares of the Company’s common stock, consisting of 140,114,060 shares of Class A Common Stock and 40,396,600 shares of the Company’s Class B Common Stock.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10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Each share of Class B Common Stock shall automatically convert into one fully paid and nonassessable share of Class A Common Stock. Shares of Class B Common Stock will be convertible into shares of Class A Common Stock and will be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1" w:name="page252"/>
    <w:bookmarkEnd w:id="25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STOCK INCENTIVE PLANS</w:t>
      </w:r>
    </w:p>
    <w:p>
      <w:pPr>
        <w:spacing w:after="0" w:line="118"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In April 2016, we adopted the 2016 Equity Incentive Plan (the “2016 Plan”) as a successor and continuation of the 2006 Plan. Under the 2016 Plan, the Company was permitted to grant awards of stock options and RSUs, as well as stock appreciation rights and other stock awards. During the year ended December 31, 2021, the Company amended the 2016 Plan to increase the number of shares of common stock reserved for issuance by 6,667,478 to an aggregate of 48,347,329. As of the Closing Date of the Business Combination, the Company no longer has shares available for issuance under the 2016 Plan.</w:t>
      </w:r>
    </w:p>
    <w:p>
      <w:pPr>
        <w:spacing w:after="0" w:line="8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 RSUs granted generally vest over a four-year period, with 25% cliff vesting after one year and then ratably on a quarterly basis for the remaining three years.</w:t>
      </w:r>
    </w:p>
    <w:p>
      <w:pPr>
        <w:spacing w:after="0" w:line="29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On April 26, 2022, the stockholders of the Company approved the SoundHound AI, Inc. 2022 Incentive Award Plan (the “2022 Incentive Plan”)(collectively, with the 2006 Plan and the 2016 Plan, the “Plans”), which became effective upon the Closing. The Company initially reserved 19,650,371 shares of Class A Common Stock for the issuance of awards under the 2022 Incentive Plan (“Initial Limit”). The Initial Limit represents 10% of the aggregate number of shares of the Company’s common stock outstanding immediately after the Closing and is subject to increase each year over a ten-year period. The Incentive Award Plan provides for the grant of stock options, which may be ISOs or non-statutory stock options (“NSOs”), stock appreciation rights (“SARs”), restricted shares, restricted stock units and other stock or cash-based awards that the Incentive Award Plan Administrator determines are consistent with the purpose of the Incentive Award Plan and the interests of the Combined Company, or collectively, awards. As of September 30, 2022, the Company has 5,601,945 awards remaining for issuance.</w:t>
      </w:r>
    </w:p>
    <w:p>
      <w:pPr>
        <w:spacing w:after="0" w:line="96"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On April 26, 2022, the stockholders of the Company approved the SoundHound AI, Inc. 2022 Employee Stock Purchase Plan (the “ESPP”), which became effective upon the Closing. An aggregate of 3,930,074 shares of the Company’s Class A Common Stock has been reserved for issuance or transfer pursuant to rights granted under the ESPP (“Aggregate Number”). The Aggregate Number represents 2% of the aggregate number of shares of the Company’s common stock outstanding immediately after the Closing and is subject to increase each year over a ten-year period. The ESPP provides eligible employees with an opportunity to purchase common stock from the Company at a discount through accumulated payroll deductions. The ESPP will be implemented through a series of offerings of purchase rights to eligible employees. Under the ESPP, the Company’s Board of Directors may specify offerings but generally provides for a duration of 27 months. The first purchase period had not begun as of September 30, 2022. The purchase price will be specified pursuant to the offering, but cannot, under the terms of the ESPP, be less than 85% of the lower of the fair market value per share of the Company’s common stock on either the offering date or on the purchase date. The ESPP also includes a six-month look-back provision for the purchase price if the stock price on the purchase date is less than the stock price on the offering date.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2" w:name="page253"/>
    <w:bookmarkEnd w:id="25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 xml:space="preserve">STOCK INCENTIVE PLANS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Option Activity</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Stock option activity under the Plans was as follows for the nine months ended September 30, 2022:</w:t>
      </w:r>
    </w:p>
    <w:p>
      <w:pPr>
        <w:spacing w:after="0" w:line="197"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5"/>
        </w:trPr>
        <w:tc>
          <w:tcPr>
            <w:tcW w:w="2620" w:type="dxa"/>
            <w:vAlign w:val="bottom"/>
          </w:tcPr>
          <w:p>
            <w:pPr>
              <w:spacing w:after="0"/>
              <w:rPr>
                <w:sz w:val="17"/>
                <w:szCs w:val="17"/>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 Thousands)</w:t>
            </w:r>
          </w:p>
        </w:tc>
        <w:tc>
          <w:tcPr>
            <w:tcW w:w="0" w:type="dxa"/>
            <w:vAlign w:val="bottom"/>
          </w:tcPr>
          <w:p>
            <w:pPr>
              <w:spacing w:after="0"/>
              <w:rPr>
                <w:sz w:val="1"/>
                <w:szCs w:val="1"/>
                <w:color w:val="auto"/>
              </w:rPr>
            </w:pPr>
          </w:p>
        </w:tc>
      </w:tr>
      <w:tr>
        <w:trPr>
          <w:trHeight w:val="45"/>
        </w:trPr>
        <w:tc>
          <w:tcPr>
            <w:tcW w:w="26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December 31, 2021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30,361,405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168,923</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391,619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(3,139,565)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21,751</w:t>
            </w:r>
          </w:p>
        </w:tc>
        <w:tc>
          <w:tcPr>
            <w:tcW w:w="0" w:type="dxa"/>
            <w:vAlign w:val="bottom"/>
          </w:tcPr>
          <w:p>
            <w:pPr>
              <w:spacing w:after="0"/>
              <w:rPr>
                <w:sz w:val="1"/>
                <w:szCs w:val="1"/>
                <w:color w:val="auto"/>
              </w:rPr>
            </w:pPr>
          </w:p>
        </w:tc>
      </w:tr>
      <w:tr>
        <w:trPr>
          <w:trHeight w:val="247"/>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cancelled</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(663,656)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September 30, 2022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26,949,803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Exercisable, September 30, 2022</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14,511</w:t>
            </w:r>
          </w:p>
        </w:tc>
        <w:tc>
          <w:tcPr>
            <w:tcW w:w="0" w:type="dxa"/>
            <w:vAlign w:val="bottom"/>
          </w:tcPr>
          <w:p>
            <w:pPr>
              <w:spacing w:after="0" w:line="20" w:lineRule="exact"/>
              <w:rPr>
                <w:sz w:val="1"/>
                <w:szCs w:val="1"/>
                <w:color w:val="auto"/>
              </w:rPr>
            </w:pPr>
          </w:p>
        </w:tc>
      </w:tr>
      <w:tr>
        <w:trPr>
          <w:trHeight w:val="216"/>
        </w:trPr>
        <w:tc>
          <w:tcPr>
            <w:tcW w:w="2620" w:type="dxa"/>
            <w:vAlign w:val="bottom"/>
            <w:vMerge w:val="continue"/>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18,698,462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2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Stock option activity under the Plans was as follows for the nine months ended September 30, 2021:</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5"/>
        </w:trPr>
        <w:tc>
          <w:tcPr>
            <w:tcW w:w="2620" w:type="dxa"/>
            <w:vAlign w:val="bottom"/>
          </w:tcPr>
          <w:p>
            <w:pPr>
              <w:spacing w:after="0"/>
              <w:rPr>
                <w:sz w:val="17"/>
                <w:szCs w:val="17"/>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 Thousands)</w:t>
            </w:r>
          </w:p>
        </w:tc>
        <w:tc>
          <w:tcPr>
            <w:tcW w:w="0" w:type="dxa"/>
            <w:vAlign w:val="bottom"/>
          </w:tcPr>
          <w:p>
            <w:pPr>
              <w:spacing w:after="0"/>
              <w:rPr>
                <w:sz w:val="1"/>
                <w:szCs w:val="1"/>
                <w:color w:val="auto"/>
              </w:rPr>
            </w:pPr>
          </w:p>
        </w:tc>
      </w:tr>
      <w:tr>
        <w:trPr>
          <w:trHeight w:val="45"/>
        </w:trPr>
        <w:tc>
          <w:tcPr>
            <w:tcW w:w="26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December 31, 2020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28,772,180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36,987</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5,203,804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(2,178,412)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5,947</w:t>
            </w:r>
          </w:p>
        </w:tc>
        <w:tc>
          <w:tcPr>
            <w:tcW w:w="0" w:type="dxa"/>
            <w:vAlign w:val="bottom"/>
          </w:tcPr>
          <w:p>
            <w:pPr>
              <w:spacing w:after="0"/>
              <w:rPr>
                <w:sz w:val="1"/>
                <w:szCs w:val="1"/>
                <w:color w:val="auto"/>
              </w:rPr>
            </w:pPr>
          </w:p>
        </w:tc>
      </w:tr>
      <w:tr>
        <w:trPr>
          <w:trHeight w:val="247"/>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cancelled</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(1,801,023)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September 30, 2021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29,996,549</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172,816</w:t>
            </w: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Exercisable, September 30, 2021</w:t>
            </w: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119,390</w:t>
            </w:r>
          </w:p>
        </w:tc>
        <w:tc>
          <w:tcPr>
            <w:tcW w:w="0" w:type="dxa"/>
            <w:vAlign w:val="bottom"/>
          </w:tcPr>
          <w:p>
            <w:pPr>
              <w:spacing w:after="0" w:line="20" w:lineRule="exact"/>
              <w:rPr>
                <w:sz w:val="1"/>
                <w:szCs w:val="1"/>
                <w:color w:val="auto"/>
              </w:rPr>
            </w:pPr>
          </w:p>
        </w:tc>
      </w:tr>
      <w:tr>
        <w:trPr>
          <w:trHeight w:val="233"/>
        </w:trPr>
        <w:tc>
          <w:tcPr>
            <w:tcW w:w="2620" w:type="dxa"/>
            <w:vAlign w:val="bottom"/>
            <w:vMerge w:val="continue"/>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17,350,839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2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Options exercised early are subject to the vesting provisions mentioned above, and any unvested shares are subject to repurchase at the original price upon termination of employment, death, or disability. There were no option exercises during the nine months ended September 30, 2022 or year ended December 31, 2021 that were subject to repurchase.</w:t>
      </w:r>
    </w:p>
    <w:p>
      <w:pPr>
        <w:spacing w:after="0" w:line="9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total fair value of options vested was approximately $3.8 million and $7.2 million during the three and nine months ended September 30, 2022, respectively, as compared to $0.9 million and $2.9 million for the three and nine months ended September 30, 2021, respectively.</w:t>
      </w:r>
    </w:p>
    <w:p>
      <w:pPr>
        <w:spacing w:after="0" w:line="9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For the purpose of determining the estimated fair value of share-based payment awards issued in the form of stock options, the Company uses the Black-Scholes option-pricing model as permitted under the provisions for share-based payment awards.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3" w:name="page254"/>
    <w:bookmarkEnd w:id="25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 xml:space="preserve">STOCK INCENTIVE PLANS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assumptions under the Black-Scholes option-pricing model and the weighted average calculated fair value of the options granted to employees during the nine-month periods ended September 30, 2022 and September 30, 2021 are as follows:</w:t>
      </w:r>
    </w:p>
    <w:p>
      <w:pPr>
        <w:spacing w:after="0" w:line="126"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5"/>
        </w:trPr>
        <w:tc>
          <w:tcPr>
            <w:tcW w:w="4980" w:type="dxa"/>
            <w:vAlign w:val="bottom"/>
          </w:tcPr>
          <w:p>
            <w:pPr>
              <w:spacing w:after="0"/>
              <w:rPr>
                <w:sz w:val="17"/>
                <w:szCs w:val="17"/>
                <w:color w:val="auto"/>
              </w:rPr>
            </w:pPr>
          </w:p>
        </w:tc>
        <w:tc>
          <w:tcPr>
            <w:tcW w:w="1120" w:type="dxa"/>
            <w:vAlign w:val="bottom"/>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49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39"/>
        </w:trPr>
        <w:tc>
          <w:tcPr>
            <w:tcW w:w="4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5.88</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6.01</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Risk free interest rate</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bl>
    <w:p>
      <w:pPr>
        <w:spacing w:after="0" w:line="20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As of September 30, 2022, the unamortized expense related to outstanding options was $18.8 million. The weighted average remaining amortization period over which the balance as of September 30, 2022 is to be amortized is 2.54 years. No income tax benefit was recognized for this compensation expense in the condensed consolidated statements of operations and comprehensive loss, as the Company does not anticipate realizing any such benefit in the future.</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Restricted Stock Unit Activity</w:t>
      </w:r>
    </w:p>
    <w:p>
      <w:pPr>
        <w:spacing w:after="0" w:line="144"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Restricted stock unit activity under the Plans was as follows for the nine months ended September 30, 2022:</w:t>
      </w:r>
    </w:p>
    <w:p>
      <w:pPr>
        <w:spacing w:after="0" w:line="383"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4"/>
              </w:rPr>
              <w:t>Weighted</w:t>
            </w:r>
          </w:p>
        </w:tc>
      </w:tr>
      <w:tr>
        <w:trPr>
          <w:trHeight w:val="195"/>
        </w:trPr>
        <w:tc>
          <w:tcPr>
            <w:tcW w:w="5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4"/>
              </w:rPr>
              <w:t>Average</w:t>
            </w:r>
          </w:p>
        </w:tc>
      </w:tr>
      <w:tr>
        <w:trPr>
          <w:trHeight w:val="195"/>
        </w:trPr>
        <w:tc>
          <w:tcPr>
            <w:tcW w:w="50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7"/>
              </w:rPr>
              <w:t>Grant Date</w:t>
            </w:r>
          </w:p>
        </w:tc>
      </w:tr>
      <w:tr>
        <w:trPr>
          <w:trHeight w:val="205"/>
        </w:trPr>
        <w:tc>
          <w:tcPr>
            <w:tcW w:w="5000" w:type="dxa"/>
            <w:vAlign w:val="bottom"/>
          </w:tcPr>
          <w:p>
            <w:pPr>
              <w:spacing w:after="0"/>
              <w:rPr>
                <w:sz w:val="17"/>
                <w:szCs w:val="17"/>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45"/>
        </w:trPr>
        <w:tc>
          <w:tcPr>
            <w:tcW w:w="50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3"/>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December 31, 2021</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15,802,990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r>
      <w:tr>
        <w:trPr>
          <w:trHeight w:val="39"/>
        </w:trPr>
        <w:tc>
          <w:tcPr>
            <w:tcW w:w="5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(631,925)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r>
      <w:tr>
        <w:trPr>
          <w:trHeight w:val="247"/>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(68,772)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w:t>
            </w:r>
          </w:p>
        </w:tc>
      </w:tr>
      <w:tr>
        <w:trPr>
          <w:trHeight w:val="26"/>
        </w:trPr>
        <w:tc>
          <w:tcPr>
            <w:tcW w:w="50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September 30, 2022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15,102,293</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assessed an accounting grant date on June 2, 2022 for the issuance of 2,310,000 RSUs, 870,000 Performance-Based RSUs and 770,000 Market-Based RSUs to certain named executives and other executive offers based on the approval of employment agreements by the Board of Directors or Compensation Committee as respectively authorized which contained the key terms of the equity award agreements.</w:t>
      </w:r>
    </w:p>
    <w:p>
      <w:pPr>
        <w:spacing w:after="0" w:line="10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recorded stock-based compensation expense of $0.2 million related to Performance-Based RSUs during the three and nine months ended September 30, 2022. Unamortized expense related to Performance-Based RSUs was $7.3 million as of September 30, 2022.</w:t>
      </w:r>
    </w:p>
    <w:p>
      <w:pPr>
        <w:spacing w:after="0" w:line="8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To derive the fair value of Market-Based RSUs, the Company applies a Monte Carlo simulation to determine the grant date fair value. Stock-based compensation related to Market RSUs is recognized over the derived service period.</w:t>
      </w:r>
    </w:p>
    <w:p>
      <w:pPr>
        <w:spacing w:after="0" w:line="9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assumptions under the Monte Carlo simulation model and the calculated fair value of the Market-</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Based RSUs granted to employees during the nine months ended September 30, 2022 were as follows:</w:t>
      </w:r>
    </w:p>
    <w:p>
      <w:pPr>
        <w:spacing w:after="0" w:line="165"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5"/>
        </w:trPr>
        <w:tc>
          <w:tcPr>
            <w:tcW w:w="3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980" w:type="dxa"/>
            <w:vAlign w:val="bottom"/>
            <w:gridSpan w:val="2"/>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5"/>
        </w:trPr>
        <w:tc>
          <w:tcPr>
            <w:tcW w:w="2800" w:type="dxa"/>
            <w:vAlign w:val="bottom"/>
            <w:gridSpan w:val="2"/>
          </w:tcPr>
          <w:p>
            <w:pPr>
              <w:spacing w:after="0"/>
              <w:rPr>
                <w:sz w:val="3"/>
                <w:szCs w:val="3"/>
                <w:color w:val="auto"/>
              </w:rPr>
            </w:pPr>
          </w:p>
        </w:tc>
        <w:tc>
          <w:tcPr>
            <w:tcW w:w="37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3"/>
        </w:trPr>
        <w:tc>
          <w:tcPr>
            <w:tcW w:w="380" w:type="dxa"/>
            <w:vAlign w:val="bottom"/>
          </w:tcPr>
          <w:p>
            <w:pPr>
              <w:spacing w:after="0"/>
              <w:rPr>
                <w:sz w:val="20"/>
                <w:szCs w:val="20"/>
                <w:color w:val="auto"/>
              </w:rPr>
            </w:pPr>
          </w:p>
        </w:tc>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76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34"/>
        </w:trPr>
        <w:tc>
          <w:tcPr>
            <w:tcW w:w="28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Expected term (years)</w:t>
            </w:r>
          </w:p>
        </w:tc>
        <w:tc>
          <w:tcPr>
            <w:tcW w:w="498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4</w:t>
            </w:r>
          </w:p>
        </w:tc>
      </w:tr>
      <w:tr>
        <w:trPr>
          <w:trHeight w:val="39"/>
        </w:trPr>
        <w:tc>
          <w:tcPr>
            <w:tcW w:w="2800" w:type="dxa"/>
            <w:vAlign w:val="bottom"/>
            <w:gridSpan w:val="2"/>
          </w:tcPr>
          <w:p>
            <w:pPr>
              <w:spacing w:after="0"/>
              <w:rPr>
                <w:sz w:val="3"/>
                <w:szCs w:val="3"/>
                <w:color w:val="auto"/>
              </w:rPr>
            </w:pPr>
          </w:p>
        </w:tc>
        <w:tc>
          <w:tcPr>
            <w:tcW w:w="37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Drift rate</w:t>
            </w:r>
          </w:p>
        </w:tc>
        <w:tc>
          <w:tcPr>
            <w:tcW w:w="4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390"/>
        </w:trPr>
        <w:tc>
          <w:tcPr>
            <w:tcW w:w="3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2"/>
          </w:tcPr>
          <w:p>
            <w:pPr>
              <w:jc w:val="right"/>
              <w:ind w:right="3598"/>
              <w:spacing w:after="0"/>
              <w:rPr>
                <w:sz w:val="20"/>
                <w:szCs w:val="20"/>
                <w:color w:val="auto"/>
              </w:rPr>
            </w:pPr>
            <w:r>
              <w:rPr>
                <w:rFonts w:ascii="Times New Roman" w:cs="Times New Roman" w:eastAsia="Times New Roman" w:hAnsi="Times New Roman"/>
                <w:sz w:val="17"/>
                <w:szCs w:val="17"/>
                <w:color w:val="auto"/>
              </w:rPr>
              <w:t>F-121</w:t>
            </w:r>
          </w:p>
        </w:tc>
      </w:tr>
    </w:tbl>
    <w:p>
      <w:pPr>
        <w:sectPr>
          <w:pgSz w:w="11900" w:h="16838" w:orient="portrait"/>
          <w:cols w:equalWidth="0" w:num="1">
            <w:col w:w="9019"/>
          </w:cols>
          <w:pgMar w:left="1440" w:top="264" w:right="1440" w:bottom="1440" w:gutter="0" w:footer="0" w:header="0"/>
        </w:sectPr>
      </w:pPr>
    </w:p>
    <w:bookmarkStart w:id="254" w:name="page255"/>
    <w:bookmarkEnd w:id="25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 xml:space="preserve">STOCK INCENTIVE PLANS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weighted average grant date fair value of the Market-Based RSUs was $3.91. The Company recorded $0.6 million in stock-based compensation expense related to Market-Based RSUs during the three and nine months ended September 30, 2022. Unamortized expense related to Market-Based RSUs was $3.0 million as of September 30, 2022.</w:t>
      </w:r>
    </w:p>
    <w:p>
      <w:pPr>
        <w:spacing w:after="0" w:line="105"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During the three and nine months ended September 30, 2022, the fair value of RSUs that vested was $2.7 million and $3.6 million, respectively. During the three and nine months ended September 30, 2022 the Company recorded $7.1 million and $11.6 million, respectively, of stock-based compensation related to RSUs. As of September 30, 2022, the unamortized expense related to RSUs was $56.8 million. The weighted average remaining amortization period over which the balance as of September 30, 2022 is to be amortized is 3.07 years. No income tax benefit was recognized for this compensation expense in the condensed consolidated statements of operations and comprehensive loss, as the Company does not anticipate realizing any such benefit in the future.</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Employee Stock-Based Compensation</w:t>
      </w:r>
    </w:p>
    <w:p>
      <w:pPr>
        <w:spacing w:after="0" w:line="14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Company’s founders held 7,270,503 of Legacy SoundHound common stock pre-conversion prior to the Business Combination. The founders exchanged their shares for Legacy SoundHound Class B common stock immediately prior to the closing of the business combination. Upon the Business Combination, the founders exchanged their Legacy SoundHound Class B shares in exchange for 40,396,600 shares of Class B Common Stock according to the Conversion Ratio. As the Class B Common Stock shares have ten votes per share, the exchange resulted in incremental stock-based compensation expense of $1.0 million which is included in general and administrative expenses on the condensed consolidated statements of operations and comprehensive loss for the nine month period ended September 30, 2022.</w:t>
      </w:r>
    </w:p>
    <w:p>
      <w:pPr>
        <w:spacing w:after="0" w:line="320"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During the three and nine months ended September 30, 2022, the Company’s stock compensation expense was $9.2 million and $19.5 million, respectively, as compared to $1.3 million and $4.0 million for the three and nine months ended September 30, 2021, respectively. Stock-based compensation is classified in the following operating expense accounts on the condensed consolidated statements of operations and comprehensive loss for the three and nine months ended September 30, 2022 and 2021 (in thousands):</w:t>
      </w:r>
    </w:p>
    <w:p>
      <w:pPr>
        <w:spacing w:after="0" w:line="136"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2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4"/>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5"/>
        </w:trPr>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4"/>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4"/>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5"/>
        </w:trPr>
        <w:tc>
          <w:tcPr>
            <w:tcW w:w="2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1"/>
        </w:trPr>
        <w:tc>
          <w:tcPr>
            <w:tcW w:w="2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3"/>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r>
      <w:tr>
        <w:trPr>
          <w:trHeight w:val="39"/>
        </w:trPr>
        <w:tc>
          <w:tcPr>
            <w:tcW w:w="2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3"/>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2,939</w:t>
            </w:r>
          </w:p>
        </w:tc>
      </w:tr>
      <w:tr>
        <w:trPr>
          <w:trHeight w:val="247"/>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w:t>
            </w:r>
          </w:p>
        </w:tc>
      </w:tr>
      <w:tr>
        <w:trPr>
          <w:trHeight w:val="26"/>
        </w:trPr>
        <w:tc>
          <w:tcPr>
            <w:tcW w:w="26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3"/>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9,173</w:t>
            </w:r>
          </w:p>
        </w:tc>
        <w:tc>
          <w:tcPr>
            <w:tcW w:w="3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19,500</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4,049</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14.</w:t>
        <w:tab/>
        <w:t>LEASES</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leases certain facilities under non-cancelable operating leases that expire at various dates through 2026.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5" w:name="page256"/>
    <w:bookmarkEnd w:id="25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LEASES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Aggregate non-cancelable future minimum lease payments under operating and finance leases were as follows as of September 30, 2022:</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1"/>
              </w:rPr>
              <w:t>Lease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1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2022</w:t>
            </w:r>
          </w:p>
        </w:tc>
        <w:tc>
          <w:tcPr>
            <w:tcW w:w="3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2023</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2025</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10,647</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9,517</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(3,281)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(179)</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Lease liabilities, net of current portion</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6,236</w:t>
            </w:r>
          </w:p>
        </w:tc>
        <w:tc>
          <w:tcPr>
            <w:tcW w:w="8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gridSpan w:val="5"/>
            <w:vMerge w:val="restart"/>
          </w:tcPr>
          <w:p>
            <w:pPr>
              <w:ind w:left="20"/>
              <w:spacing w:after="0"/>
              <w:rPr>
                <w:sz w:val="20"/>
                <w:szCs w:val="20"/>
                <w:color w:val="auto"/>
              </w:rPr>
            </w:pPr>
            <w:r>
              <w:rPr>
                <w:rFonts w:ascii="Times New Roman" w:cs="Times New Roman" w:eastAsia="Times New Roman" w:hAnsi="Times New Roman"/>
                <w:sz w:val="17"/>
                <w:szCs w:val="17"/>
                <w:color w:val="auto"/>
              </w:rPr>
              <w:t>The components of lease cost were as follows (in thousands):</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434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5"/>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gridSpan w:val="9"/>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5"/>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9"/>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5"/>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2,466</w:t>
            </w:r>
          </w:p>
        </w:tc>
        <w:tc>
          <w:tcPr>
            <w:tcW w:w="0" w:type="dxa"/>
            <w:vAlign w:val="bottom"/>
          </w:tcPr>
          <w:p>
            <w:pPr>
              <w:spacing w:after="0"/>
              <w:rPr>
                <w:sz w:val="1"/>
                <w:szCs w:val="1"/>
                <w:color w:val="auto"/>
              </w:rPr>
            </w:pPr>
          </w:p>
        </w:tc>
      </w:tr>
      <w:tr>
        <w:trPr>
          <w:trHeight w:val="23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3"/>
              </w:rPr>
              <w:t>321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0" w:type="dxa"/>
            <w:vAlign w:val="bottom"/>
          </w:tcPr>
          <w:p>
            <w:pPr>
              <w:spacing w:after="0"/>
              <w:rPr>
                <w:sz w:val="1"/>
                <w:szCs w:val="1"/>
                <w:color w:val="auto"/>
              </w:rPr>
            </w:pPr>
          </w:p>
        </w:tc>
      </w:tr>
      <w:tr>
        <w:trPr>
          <w:trHeight w:val="39"/>
        </w:trPr>
        <w:tc>
          <w:tcPr>
            <w:tcW w:w="3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lease cost:</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Amortization of finance leased assets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3"/>
              </w:rPr>
              <w:t>946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1,912</w:t>
            </w:r>
          </w:p>
        </w:tc>
        <w:tc>
          <w:tcPr>
            <w:tcW w:w="0" w:type="dxa"/>
            <w:vAlign w:val="bottom"/>
          </w:tcPr>
          <w:p>
            <w:pPr>
              <w:spacing w:after="0"/>
              <w:rPr>
                <w:sz w:val="1"/>
                <w:szCs w:val="1"/>
                <w:color w:val="auto"/>
              </w:rPr>
            </w:pPr>
          </w:p>
        </w:tc>
      </w:tr>
      <w:tr>
        <w:trPr>
          <w:trHeight w:val="39"/>
        </w:trPr>
        <w:tc>
          <w:tcPr>
            <w:tcW w:w="3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of lease liabilities</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table below presents additional information related to our leases as of September 30, 2022:</w:t>
      </w:r>
    </w:p>
    <w:p>
      <w:pPr>
        <w:spacing w:after="0" w:line="197"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220" w:type="dxa"/>
            <w:vAlign w:val="bottom"/>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Financing</w:t>
            </w:r>
          </w:p>
        </w:tc>
      </w:tr>
      <w:tr>
        <w:trPr>
          <w:trHeight w:val="205"/>
        </w:trPr>
        <w:tc>
          <w:tcPr>
            <w:tcW w:w="49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22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45"/>
        </w:trPr>
        <w:tc>
          <w:tcPr>
            <w:tcW w:w="49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11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3.68</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1.96</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1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5.92%</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w:t>
            </w:r>
          </w:p>
        </w:tc>
      </w:tr>
    </w:tbl>
    <w:p>
      <w:pPr>
        <w:spacing w:after="0" w:line="189"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Company’s total rent expense for the three and nine months ended September 30, 2022 was $1.0 million and $2.9 million, respectively. The Company’s total rent expense for the three and nine months ended September 30, 2021 was $0.9 million and $2.9 million, respectively.</w:t>
      </w:r>
    </w:p>
    <w:p>
      <w:pPr>
        <w:spacing w:after="0" w:line="16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15.</w:t>
        <w:tab/>
        <w:t>OTHER INCOME (EXPENSE), NET</w:t>
      </w:r>
    </w:p>
    <w:p>
      <w:pPr>
        <w:spacing w:after="0" w:line="15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Other income (expense), net on the condensed consolidated statements of operations and comprehensive loss is comprised of the following for the three and nine months ended September 30, 2022 and 2021 (in thousands):</w:t>
      </w:r>
    </w:p>
    <w:p>
      <w:pPr>
        <w:spacing w:after="0" w:line="126"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6"/>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6"/>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5"/>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6"/>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6"/>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5"/>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r>
      <w:tr>
        <w:trPr>
          <w:trHeight w:val="45"/>
        </w:trPr>
        <w:tc>
          <w:tcPr>
            <w:tcW w:w="3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46"/>
        </w:trPr>
        <w:tc>
          <w:tcPr>
            <w:tcW w:w="20" w:type="dxa"/>
            <w:vAlign w:val="bottom"/>
          </w:tcPr>
          <w:p>
            <w:pPr>
              <w:spacing w:after="0"/>
              <w:rPr>
                <w:sz w:val="21"/>
                <w:szCs w:val="21"/>
                <w:color w:val="auto"/>
              </w:rPr>
            </w:pPr>
          </w:p>
        </w:tc>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 net</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income</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2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2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20"/>
                <w:szCs w:val="20"/>
                <w:color w:val="auto"/>
              </w:rPr>
            </w:pPr>
          </w:p>
        </w:tc>
      </w:tr>
      <w:tr>
        <w:trPr>
          <w:trHeight w:val="39"/>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0"/>
        </w:trPr>
        <w:tc>
          <w:tcPr>
            <w:tcW w:w="20" w:type="dxa"/>
            <w:vAlign w:val="bottom"/>
          </w:tcPr>
          <w:p>
            <w:pPr>
              <w:spacing w:after="0"/>
              <w:rPr>
                <w:sz w:val="16"/>
                <w:szCs w:val="16"/>
                <w:color w:val="auto"/>
              </w:rPr>
            </w:pPr>
          </w:p>
        </w:tc>
        <w:tc>
          <w:tcPr>
            <w:tcW w:w="31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Change in fair value of derivative and</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warrant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(3,792)</w:t>
            </w:r>
          </w:p>
        </w:tc>
      </w:tr>
      <w:tr>
        <w:trPr>
          <w:trHeight w:val="247"/>
        </w:trPr>
        <w:tc>
          <w:tcPr>
            <w:tcW w:w="20" w:type="dxa"/>
            <w:vAlign w:val="bottom"/>
          </w:tcPr>
          <w:p>
            <w:pPr>
              <w:spacing w:after="0"/>
              <w:rPr>
                <w:sz w:val="21"/>
                <w:szCs w:val="21"/>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expense, net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(337)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(494)</w:t>
            </w:r>
          </w:p>
        </w:tc>
      </w:tr>
      <w:tr>
        <w:trPr>
          <w:trHeight w:val="26"/>
        </w:trPr>
        <w:tc>
          <w:tcPr>
            <w:tcW w:w="20" w:type="dxa"/>
            <w:vAlign w:val="bottom"/>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6" w:name="page257"/>
    <w:bookmarkEnd w:id="25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16.</w:t>
        <w:tab/>
        <w:t>NET LOSS PER SHARE</w:t>
      </w:r>
    </w:p>
    <w:p>
      <w:pPr>
        <w:spacing w:after="0" w:line="144"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 presents the calculation of basic and diluted net loss per share attributable to common stockholders for the three and nine months ended September 30, 2022 and 2021:</w:t>
      </w:r>
    </w:p>
    <w:p>
      <w:pPr>
        <w:sectPr>
          <w:pgSz w:w="11900" w:h="16838" w:orient="portrait"/>
          <w:cols w:equalWidth="0" w:num="1">
            <w:col w:w="9019"/>
          </w:cols>
          <w:pgMar w:left="1440" w:top="2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Numerator:</w:t>
      </w:r>
    </w:p>
    <w:p>
      <w:pPr>
        <w:spacing w:after="0" w:line="7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Net loss (in thousands)</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Denominator:</w:t>
      </w:r>
    </w:p>
    <w:p>
      <w:pPr>
        <w:spacing w:after="0" w:line="51" w:lineRule="exact"/>
        <w:rPr>
          <w:sz w:val="20"/>
          <w:szCs w:val="20"/>
          <w:color w:val="auto"/>
        </w:rPr>
      </w:pPr>
    </w:p>
    <w:p>
      <w:pPr>
        <w:ind w:left="1140" w:hanging="215"/>
        <w:spacing w:after="0" w:line="293" w:lineRule="auto"/>
        <w:rPr>
          <w:sz w:val="20"/>
          <w:szCs w:val="20"/>
          <w:color w:val="auto"/>
        </w:rPr>
      </w:pPr>
      <w:r>
        <w:rPr>
          <w:rFonts w:ascii="Times New Roman" w:cs="Times New Roman" w:eastAsia="Times New Roman" w:hAnsi="Times New Roman"/>
          <w:sz w:val="17"/>
          <w:szCs w:val="17"/>
          <w:color w:val="auto"/>
        </w:rPr>
        <w:t>Weighted average shares outstanding – basic and dilutive</w:t>
      </w:r>
    </w:p>
    <w:p>
      <w:pPr>
        <w:spacing w:after="0" w:line="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Basic and diluted net loss per share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gridSpan w:val="6"/>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7"/>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gridSpan w:val="6"/>
          </w:tcPr>
          <w:p>
            <w:pPr>
              <w:ind w:left="5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7"/>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500"/>
        </w:trPr>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(28,922)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(23,781)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(84,693)</w:t>
            </w:r>
          </w:p>
        </w:tc>
        <w:tc>
          <w:tcPr>
            <w:tcW w:w="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(57,693)</w:t>
            </w:r>
          </w:p>
        </w:tc>
        <w:tc>
          <w:tcPr>
            <w:tcW w:w="0" w:type="dxa"/>
            <w:vAlign w:val="bottom"/>
          </w:tcPr>
          <w:p>
            <w:pPr>
              <w:spacing w:after="0"/>
              <w:rPr>
                <w:sz w:val="1"/>
                <w:szCs w:val="1"/>
                <w:color w:val="auto"/>
              </w:rPr>
            </w:pPr>
          </w:p>
        </w:tc>
      </w:tr>
      <w:tr>
        <w:trPr>
          <w:trHeight w:val="747"/>
        </w:trPr>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197,006,980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67,718,940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143,338,517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67,021,176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(0.59</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(0.86</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-1838325</wp:posOffset>
            </wp:positionH>
            <wp:positionV relativeFrom="paragraph">
              <wp:posOffset>-1005840</wp:posOffset>
            </wp:positionV>
            <wp:extent cx="4752975" cy="1816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752975" cy="18161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-651510</wp:posOffset>
            </wp:positionV>
            <wp:extent cx="4752975" cy="1733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752975" cy="17335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-189230</wp:posOffset>
            </wp:positionV>
            <wp:extent cx="4752975" cy="1733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752975" cy="173355"/>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3620" w:space="200"/>
            <w:col w:w="5199"/>
          </w:cols>
          <w:pgMar w:left="1440" w:top="264" w:right="1440" w:bottom="1440" w:gutter="0" w:footer="0" w:header="0"/>
          <w:type w:val="continuous"/>
        </w:sect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For the three and nine months ended September 30, 2022 and 2021, the diluted earnings per share is equal to the basic earnings per share as the effect of potentially dilutive securities would have been antidilutive.</w:t>
      </w:r>
    </w:p>
    <w:p>
      <w:pPr>
        <w:spacing w:after="0" w:line="81"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following table summarizes the outstanding shares of potentially dilutive securities that were excluded from the calculation of diluted earnings per share because their inclusion would have been anti-dilutive for the three and nine months ended September 30, 2022 and 2021:</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4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5"/>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26,949,803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29,996,549</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Restricted stock units (RSUs)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15,102,293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0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 warrants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745,235</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warrants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3,665,996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1,063,214</w:t>
            </w:r>
          </w:p>
        </w:tc>
        <w:tc>
          <w:tcPr>
            <w:tcW w:w="0" w:type="dxa"/>
            <w:vAlign w:val="bottom"/>
          </w:tcPr>
          <w:p>
            <w:pPr>
              <w:spacing w:after="0"/>
              <w:rPr>
                <w:sz w:val="1"/>
                <w:szCs w:val="1"/>
                <w:color w:val="auto"/>
              </w:rPr>
            </w:pPr>
          </w:p>
        </w:tc>
      </w:tr>
      <w:tr>
        <w:trPr>
          <w:trHeight w:val="39"/>
        </w:trPr>
        <w:tc>
          <w:tcPr>
            <w:tcW w:w="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400" w:type="dxa"/>
            <w:vAlign w:val="bottom"/>
          </w:tcPr>
          <w:p>
            <w:pPr>
              <w:spacing w:after="0"/>
              <w:rPr>
                <w:sz w:val="23"/>
                <w:szCs w:val="23"/>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Redeemable convertible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106,303,970</w:t>
            </w: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45,718,092</w:t>
            </w: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138,108,968</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17.  INCOME TAXES</w:t>
            </w: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33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0" w:type="dxa"/>
            <w:vAlign w:val="bottom"/>
          </w:tcPr>
          <w:p>
            <w:pPr>
              <w:spacing w:after="0"/>
              <w:rPr>
                <w:sz w:val="24"/>
                <w:szCs w:val="24"/>
                <w:color w:val="auto"/>
              </w:rPr>
            </w:pPr>
          </w:p>
        </w:tc>
        <w:tc>
          <w:tcPr>
            <w:tcW w:w="52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The tax expense and the effective tax rate were as follows (in thousands):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2100" w:type="dxa"/>
            <w:vAlign w:val="bottom"/>
            <w:gridSpan w:val="5"/>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5"/>
        </w:trPr>
        <w:tc>
          <w:tcPr>
            <w:tcW w:w="4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5"/>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2100" w:type="dxa"/>
            <w:vAlign w:val="bottom"/>
            <w:gridSpan w:val="5"/>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1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9"/>
                <w:szCs w:val="19"/>
                <w:color w:val="auto"/>
              </w:rPr>
            </w:pPr>
          </w:p>
        </w:tc>
        <w:tc>
          <w:tcPr>
            <w:tcW w:w="900" w:type="dxa"/>
            <w:vAlign w:val="bottom"/>
            <w:gridSpan w:val="2"/>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5"/>
        </w:trPr>
        <w:tc>
          <w:tcPr>
            <w:tcW w:w="336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00" w:type="dxa"/>
            <w:vAlign w:val="bottom"/>
            <w:tcBorders>
              <w:right w:val="single" w:sz="8" w:color="CCEEFF"/>
            </w:tcBorders>
          </w:tcPr>
          <w:p>
            <w:pPr>
              <w:spacing w:after="0"/>
              <w:rPr>
                <w:sz w:val="20"/>
                <w:szCs w:val="20"/>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  (28,058)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(22,591)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(83,088)</w:t>
            </w: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   (56,293)</w:t>
            </w:r>
          </w:p>
        </w:tc>
        <w:tc>
          <w:tcPr>
            <w:tcW w:w="0" w:type="dxa"/>
            <w:vAlign w:val="bottom"/>
          </w:tcPr>
          <w:p>
            <w:pPr>
              <w:spacing w:after="0"/>
              <w:rPr>
                <w:sz w:val="1"/>
                <w:szCs w:val="1"/>
                <w:color w:val="auto"/>
              </w:rPr>
            </w:pPr>
          </w:p>
        </w:tc>
      </w:tr>
      <w:tr>
        <w:trPr>
          <w:trHeight w:val="234"/>
        </w:trPr>
        <w:tc>
          <w:tcPr>
            <w:tcW w:w="33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Income tax expense</w:t>
            </w: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7"/>
                <w:szCs w:val="17"/>
                <w:color w:val="auto"/>
              </w:rPr>
              <w:t>864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1,605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113"/>
              <w:spacing w:after="0"/>
              <w:rPr>
                <w:sz w:val="20"/>
                <w:szCs w:val="20"/>
                <w:color w:val="auto"/>
              </w:rPr>
            </w:pPr>
            <w:r>
              <w:rPr>
                <w:rFonts w:ascii="Times New Roman" w:cs="Times New Roman" w:eastAsia="Times New Roman" w:hAnsi="Times New Roman"/>
                <w:sz w:val="17"/>
                <w:szCs w:val="17"/>
                <w:color w:val="auto"/>
              </w:rPr>
              <w:t>1,400</w:t>
            </w:r>
          </w:p>
        </w:tc>
        <w:tc>
          <w:tcPr>
            <w:tcW w:w="0" w:type="dxa"/>
            <w:vAlign w:val="bottom"/>
          </w:tcPr>
          <w:p>
            <w:pPr>
              <w:spacing w:after="0"/>
              <w:rPr>
                <w:sz w:val="1"/>
                <w:szCs w:val="1"/>
                <w:color w:val="auto"/>
              </w:rPr>
            </w:pPr>
          </w:p>
        </w:tc>
      </w:tr>
      <w:tr>
        <w:trPr>
          <w:trHeight w:val="39"/>
        </w:trPr>
        <w:tc>
          <w:tcPr>
            <w:tcW w:w="336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400" w:type="dxa"/>
            <w:vAlign w:val="bottom"/>
            <w:tcBorders>
              <w:right w:val="single" w:sz="8" w:color="CCEEFF"/>
            </w:tcBorders>
          </w:tcPr>
          <w:p>
            <w:pPr>
              <w:spacing w:after="0"/>
              <w:rPr>
                <w:sz w:val="20"/>
                <w:szCs w:val="20"/>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Effective tax rate</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(5.27)%</w:t>
            </w:r>
          </w:p>
        </w:tc>
        <w:tc>
          <w:tcPr>
            <w:tcW w:w="10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39"/>
        </w:trPr>
        <w:tc>
          <w:tcPr>
            <w:tcW w:w="400" w:type="dxa"/>
            <w:vAlign w:val="bottom"/>
            <w:tcBorders>
              <w:right w:val="single" w:sz="8" w:color="CCEEFF"/>
            </w:tcBorders>
          </w:tcPr>
          <w:p>
            <w:pPr>
              <w:spacing w:after="0"/>
              <w:rPr>
                <w:sz w:val="3"/>
                <w:szCs w:val="3"/>
                <w:color w:val="auto"/>
              </w:rPr>
            </w:pPr>
          </w:p>
        </w:tc>
        <w:tc>
          <w:tcPr>
            <w:tcW w:w="29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pacing w:after="0" w:line="16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18.</w:t>
        <w:tab/>
        <w:t>RELATED PARTY TRANSACTIONS</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entered into revenue contracts to perform professional services for certain companies who are also investors in the Company. These companies are holders of the Company’s Class A Common Stock. As a result of the Business Combination during the second quarter of 2022, each company’s ownership interest in us was reduced to less than 5%. Consequently, considering all aspects of our relationships with the companies, as of June 30, 2022, we no longer consider the companies related parties. Below we provide our disclosures for transactions with the companies through June 30, 2022.</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257" w:name="page258"/>
    <w:bookmarkEnd w:id="25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18.</w:t>
        <w:tab/>
        <w:t xml:space="preserve">RELATED PARTY TRANSACTIONS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During the six months ended June 30, 2022, we recognized revenue from the companies of $5.2 million. During the three and nine months ended September 30, 2021, we recognized revenue from the companies of $1.6 million and $5.2 million, respectively. As of December 31, 2021, we had accounts receivable and deferred revenue balances related to the companies of $0.6 million and $15.2 million, respectively.</w:t>
      </w:r>
    </w:p>
    <w:p>
      <w:pPr>
        <w:spacing w:after="0" w:line="16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19.</w:t>
        <w:tab/>
        <w:t>SUBSEQUENT EVENT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Equity Line of Credit</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On August 16, 2022, the Company entered into a common stock purchase agreement (the “Common Stock Purchase Agreement”) and related registration rights agreement (the “CFPI Registration Rights Agreement”) with CF Principal Investments LLC (“CFPI”). Pursuant to the Common Stock Purchase Agreement, the Company, has the right to sell to CFPI up to the lesser of (i) 25,000,000 shares of Class A common stock and (ii) the Exchange Cap (as defined in the Common Stock Purchase Agreement), subject to certain limitations and conditions set forth in the Common Stock Purchase Agreement. As of November 14, 2022, the Company’s Registration Statement on Form S-1 registering the resale of the ELOC Shares had not yet been declared effective. If declared effective and certain other conditions are met permitting the Commencement (as defined in the Common Stock Purchase Agreement) of the offering, the Company expects to utilize proceeds from the ELOC for working capital and other general corporate purposes.</w:t>
      </w:r>
    </w:p>
    <w:p>
      <w:pPr>
        <w:spacing w:after="0" w:line="30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After the Commencement, the Company will have the right from time to time at its sole discretion until the first day of the month next following the 36-month period from and after the Commencement, to direct CFPI to purchase up to a specified maximum amount of shares of Class A common stock as set forth in the Common Stock Purchase Agreement by delivering written notice to CFPI prior to the commencement of trading on any trading day. The Company will control the timing and amount of any sales of the Class A common stock to CFPI. Actual sales of shares to CFPI under the Common Stock Purchase Agreement will depend on a variety of factors to be determined by the Company from time to time, including, among other things, market conditions, and the trading price of the Common Stock.</w:t>
      </w:r>
    </w:p>
    <w:p>
      <w:pPr>
        <w:spacing w:after="0" w:line="11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purchase price of the shares that the Company elects to sell to CFPI pursuant to the Common Stock Purchase Agreement will be the volume weighted average price of the Common Stock during the applicable purchase date on which the Company has timely delivered written notice to CFPI directing it to purchase the shares under the Common Stock Purchase Agreement. The Company will receive 97% of the volume weighted average price of the Common Stock so sold.</w:t>
      </w:r>
    </w:p>
    <w:p>
      <w:pPr>
        <w:spacing w:after="0" w:line="107" w:lineRule="exact"/>
        <w:rPr>
          <w:sz w:val="20"/>
          <w:szCs w:val="20"/>
          <w:color w:val="auto"/>
        </w:rPr>
      </w:pPr>
    </w:p>
    <w:p>
      <w:pPr>
        <w:jc w:val="both"/>
        <w:ind w:left="1020" w:right="619"/>
        <w:spacing w:after="0" w:line="254" w:lineRule="auto"/>
        <w:rPr>
          <w:sz w:val="20"/>
          <w:szCs w:val="20"/>
          <w:color w:val="auto"/>
        </w:rPr>
      </w:pPr>
      <w:r>
        <w:rPr>
          <w:rFonts w:ascii="Times New Roman" w:cs="Times New Roman" w:eastAsia="Times New Roman" w:hAnsi="Times New Roman"/>
          <w:sz w:val="17"/>
          <w:szCs w:val="17"/>
          <w:color w:val="auto"/>
        </w:rPr>
        <w:t>In connection with the execution of the Common Stock Purchase Agreement, the Company issued CFPI 250,000 shares (the “Commitment Shares”) as consideration for its irrevocable commitment to purchase the shares upon the terms and subject to the satisfaction of the conditions set forth in the Common Stock Purchase Agreement. Pursuant to a separate side letter agreement between the Company and CFPI, the Company and CFPI have agreed that if the net proceeds with respect to Commitment Shares either sold by CFPI by the 121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day after Commencement, subject to an extension under certain circumstances (the “True-Up Date”), or held by CFPI on the True-Up Date (based on the closing price of the Class A common stock on the Nasdaq Global Market on the trading day immediately prior to the True-Up Date), in the aggregate, are less than $1.0 million, the Company will pay to CFPI the difference between $1.0 million and the applicable net proceeds. Alternatively, in the event that such net proceeds exceed $1.0 million, CFPI will pay to the Company the difference between the applicable net proceeds and $1.0 million.</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8" w:name="page259"/>
    <w:bookmarkEnd w:id="25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60960</wp:posOffset>
            </wp:positionV>
            <wp:extent cx="4951095" cy="247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951095" cy="2476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102235</wp:posOffset>
            </wp:positionV>
            <wp:extent cx="4951095" cy="247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951095" cy="2476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SOUNDHOUND AI,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25,250,000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5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620" w:type="dxa"/>
        <w:tblCellMar>
          <w:top w:w="0" w:type="dxa"/>
          <w:left w:w="0" w:type="dxa"/>
          <w:bottom w:w="0" w:type="dxa"/>
          <w:right w:w="0" w:type="dxa"/>
        </w:tblCellMar>
      </w:tblPr>
      <w:tr>
        <w:trPr>
          <w:trHeight w:val="228"/>
        </w:trPr>
        <w:tc>
          <w:tcPr>
            <w:tcW w:w="4740" w:type="dxa"/>
            <w:vAlign w:val="bottom"/>
          </w:tcPr>
          <w:p>
            <w:pPr>
              <w:ind w:left="2300"/>
              <w:spacing w:after="0"/>
              <w:rPr>
                <w:sz w:val="20"/>
                <w:szCs w:val="20"/>
                <w:color w:val="auto"/>
              </w:rPr>
            </w:pPr>
            <w:r>
              <w:rPr>
                <w:rFonts w:ascii="Times New Roman" w:cs="Times New Roman" w:eastAsia="Times New Roman" w:hAnsi="Times New Roman"/>
                <w:sz w:val="17"/>
                <w:szCs w:val="17"/>
                <w:b w:val="1"/>
                <w:bCs w:val="1"/>
                <w:color w:val="auto"/>
              </w:rPr>
              <w:t>The date of this Prospectus is</w:t>
            </w:r>
          </w:p>
        </w:tc>
        <w:tc>
          <w:tcPr>
            <w:tcW w:w="3040" w:type="dxa"/>
            <w:vAlign w:val="bottom"/>
          </w:tcPr>
          <w:p>
            <w:pPr>
              <w:jc w:val="right"/>
              <w:ind w:right="2233"/>
              <w:spacing w:after="0"/>
              <w:rPr>
                <w:sz w:val="20"/>
                <w:szCs w:val="20"/>
                <w:color w:val="auto"/>
              </w:rPr>
            </w:pPr>
            <w:r>
              <w:rPr>
                <w:rFonts w:ascii="Times New Roman" w:cs="Times New Roman" w:eastAsia="Times New Roman" w:hAnsi="Times New Roman"/>
                <w:sz w:val="17"/>
                <w:szCs w:val="17"/>
                <w:b w:val="1"/>
                <w:bCs w:val="1"/>
                <w:color w:val="auto"/>
              </w:rPr>
              <w:t>, 2023</w:t>
            </w:r>
          </w:p>
        </w:tc>
      </w:tr>
      <w:tr>
        <w:trPr>
          <w:trHeight w:val="1033"/>
        </w:trPr>
        <w:tc>
          <w:tcPr>
            <w:tcW w:w="47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r>
        <w:trPr>
          <w:trHeight w:val="45"/>
        </w:trPr>
        <w:tc>
          <w:tcPr>
            <w:tcW w:w="474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r>
      <w:tr>
        <w:trPr>
          <w:trHeight w:val="377"/>
        </w:trPr>
        <w:tc>
          <w:tcPr>
            <w:tcW w:w="47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type w:val="continuous"/>
        </w:sectPr>
      </w:pPr>
    </w:p>
    <w:bookmarkStart w:id="259" w:name="page260"/>
    <w:bookmarkEnd w:id="25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2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Item 13. Other Expenses of Issuance and Distribution</w:t>
      </w:r>
    </w:p>
    <w:p>
      <w:pPr>
        <w:spacing w:after="0" w:line="144" w:lineRule="exact"/>
        <w:rPr>
          <w:sz w:val="20"/>
          <w:szCs w:val="20"/>
          <w:color w:val="auto"/>
        </w:rPr>
      </w:pPr>
    </w:p>
    <w:p>
      <w:pPr>
        <w:jc w:val="both"/>
        <w:ind w:left="600" w:right="639" w:firstLine="416"/>
        <w:spacing w:after="0" w:line="293" w:lineRule="auto"/>
        <w:rPr>
          <w:sz w:val="20"/>
          <w:szCs w:val="20"/>
          <w:color w:val="auto"/>
        </w:rPr>
      </w:pPr>
      <w:r>
        <w:rPr>
          <w:rFonts w:ascii="Times New Roman" w:cs="Times New Roman" w:eastAsia="Times New Roman" w:hAnsi="Times New Roman"/>
          <w:sz w:val="17"/>
          <w:szCs w:val="17"/>
          <w:color w:val="auto"/>
        </w:rPr>
        <w:t>The following is an estimate of the expenses (all of which are to be paid by the registrant) that we may incur in connection with the securities being registered hereby.</w:t>
      </w:r>
    </w:p>
    <w:p>
      <w:pPr>
        <w:spacing w:after="0" w:line="162"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45"/>
        </w:trPr>
        <w:tc>
          <w:tcPr>
            <w:tcW w:w="66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7,279.50</w:t>
            </w: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FINRA fee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12,279.13</w:t>
            </w:r>
          </w:p>
        </w:tc>
        <w:tc>
          <w:tcPr>
            <w:tcW w:w="0" w:type="dxa"/>
            <w:vAlign w:val="bottom"/>
          </w:tcPr>
          <w:p>
            <w:pPr>
              <w:spacing w:after="0"/>
              <w:rPr>
                <w:sz w:val="1"/>
                <w:szCs w:val="1"/>
                <w:color w:val="auto"/>
              </w:rPr>
            </w:pPr>
          </w:p>
        </w:tc>
      </w:tr>
      <w:tr>
        <w:trPr>
          <w:trHeight w:val="39"/>
        </w:trPr>
        <w:tc>
          <w:tcPr>
            <w:tcW w:w="66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0" w:type="dxa"/>
            <w:vAlign w:val="bottom"/>
          </w:tcPr>
          <w:p>
            <w:pPr>
              <w:spacing w:after="0"/>
              <w:rPr>
                <w:sz w:val="1"/>
                <w:szCs w:val="1"/>
                <w:color w:val="auto"/>
              </w:rPr>
            </w:pPr>
          </w:p>
        </w:tc>
      </w:tr>
      <w:tr>
        <w:trPr>
          <w:trHeight w:val="39"/>
        </w:trPr>
        <w:tc>
          <w:tcPr>
            <w:tcW w:w="66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Miscellaneous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30,441.37</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600" w:type="dxa"/>
            <w:vAlign w:val="bottom"/>
            <w:gridSpan w:val="2"/>
            <w:vMerge w:val="continue"/>
          </w:tcPr>
          <w:p>
            <w:pPr>
              <w:spacing w:after="0"/>
              <w:rPr>
                <w:sz w:val="20"/>
                <w:szCs w:val="20"/>
                <w:color w:val="auto"/>
              </w:rPr>
            </w:pPr>
          </w:p>
        </w:tc>
        <w:tc>
          <w:tcPr>
            <w:tcW w:w="220" w:type="dxa"/>
            <w:vAlign w:val="bottom"/>
            <w:tcBorders>
              <w:bottom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Item 14. Indemnification of Directors and Officers</w:t>
      </w:r>
    </w:p>
    <w:p>
      <w:pPr>
        <w:spacing w:after="0" w:line="14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As permitted by Section 102 of the Delaware General Corporation Law, we have adopted provisions in our Amended Charter and our Amended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110" w:lineRule="exact"/>
        <w:rPr>
          <w:sz w:val="20"/>
          <w:szCs w:val="20"/>
          <w:color w:val="auto"/>
        </w:rPr>
      </w:pPr>
    </w:p>
    <w:p>
      <w:pPr>
        <w:ind w:left="1440" w:hanging="418"/>
        <w:spacing w:after="0"/>
        <w:tabs>
          <w:tab w:leader="none" w:pos="144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the director’s duty of loyalty to us or our stockholders;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 or omission not in good faith or that involves intentional misconduct or a knowing violation of law;</w:t>
      </w:r>
    </w:p>
    <w:p>
      <w:pPr>
        <w:spacing w:after="0" w:line="68"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 related to unlawful stock repurchases, redemptions or other distributions or payment of dividends; or</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from which the director derived an improper personal benefit.</w:t>
      </w:r>
    </w:p>
    <w:p>
      <w:pPr>
        <w:spacing w:after="0" w:line="15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These limitations of liability do not affect the availability of equitable remedies such as injunctive relief or rescission. Our Amended Charter also authorizes us to indemnify our officers, directors and other agents to the fullest extent permitted under Delaware law.</w:t>
      </w:r>
    </w:p>
    <w:p>
      <w:pPr>
        <w:spacing w:after="0" w:line="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As permitted by Section 145 of the Delaware General Corporation Law, our Amended Bylaws provide</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that:</w:t>
      </w:r>
    </w:p>
    <w:p>
      <w:pPr>
        <w:spacing w:after="0" w:line="137" w:lineRule="exact"/>
        <w:rPr>
          <w:sz w:val="20"/>
          <w:szCs w:val="20"/>
          <w:color w:val="auto"/>
        </w:rPr>
      </w:pPr>
    </w:p>
    <w:p>
      <w:pPr>
        <w:ind w:left="1440" w:right="619" w:hanging="418"/>
        <w:spacing w:after="0" w:line="293" w:lineRule="auto"/>
        <w:tabs>
          <w:tab w:leader="none" w:pos="1435"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indemnify our directors, officers and employees to the fullest extent permitted by the Delaware General Corporation Law, subject to limited exceptions;</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advance expenses to our directors, officers and employees in connection with a legal proceeding to the fullest extent permitted by the Delaware General Corporation Law, subject to limited exceptions; and</w:t>
      </w:r>
    </w:p>
    <w:p>
      <w:pPr>
        <w:spacing w:after="0" w:line="84"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provided in our Amended Bylaws are not exclusive.</w:t>
      </w:r>
    </w:p>
    <w:p>
      <w:pPr>
        <w:spacing w:after="0" w:line="155"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Our Amended Charter and our Amended Bylaws provide for the indemnification provisions described above and elsewhere herein. We have entered or will enter into, and intend to continue to enter into, separate indemnification agreements with our directors and certain of our officers that may be broader than the specific indemnification provisions contained in the Delaware General Corporation Law.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0" w:name="page261"/>
    <w:bookmarkEnd w:id="26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7" w:lineRule="auto"/>
        <w:rPr>
          <w:sz w:val="20"/>
          <w:szCs w:val="20"/>
          <w:color w:val="auto"/>
        </w:rPr>
      </w:pPr>
      <w:r>
        <w:rPr>
          <w:rFonts w:ascii="Times New Roman" w:cs="Times New Roman" w:eastAsia="Times New Roman" w:hAnsi="Times New Roman"/>
          <w:sz w:val="17"/>
          <w:szCs w:val="17"/>
          <w:color w:val="auto"/>
        </w:rPr>
        <w:t>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or the Securities Act.</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Registrant has purchased and currently intends to maintain insurance on behalf of each and every person who is or was a director or officer of the Registrant against any loss arising from any claim asserted against him or her and incurred by him or her in any such capacity, subject to certain exclusions.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Item 15. Recent Sales of Unregistered Securities</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During the past three years, we sold the following shares of common stock without registration under the Securities Act: On January 4, 2021, we issued 2,875,000 shares of common stock to Archimedes Tech SPAC Sponsors LLC, for $25,000 in cash, at a purchase price of approximately $0.009 per share, in connection with our organization, that include up to 375,000 shares subject to forfeiture to the extent that the underwriters’ over-allotment option is not exercised in full or in part, so that the Initial Stockholders will own 20% (not including the private placement shares and the 350,000 shares held by EarlyBirdCapital described below) of our issued and outstanding shares after this offering. Such shares were issued in connection with our organization pursuant to the exemption from registration contained in Section 4(a)(2) of the Securities Act as the shares were sold to an accredited investor. The shares issued were sold for an aggregate offering price of $25,000 at an average purchase price of approximately $0.009 per share.</w:t>
      </w:r>
    </w:p>
    <w:p>
      <w:pPr>
        <w:spacing w:after="0" w:line="9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January 13, 2021, we also issued an aggregate of 350,000 shares at $0.0001 per share to EarlyBirdCapital and its designees pursuant to the exemption from registration contained in Section 4(a)(2) of the Securities Act as the shares were issued to accredited investors.</w:t>
      </w:r>
    </w:p>
    <w:p>
      <w:pPr>
        <w:spacing w:after="0" w:line="9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On March 15, 2021, simultaneously with the consummation of the IPO, we completed the Private Placement of an aggregate of 390,000 Private Units to the Sponsor and EarlyBirdCapital at a purchase price of $10.00 per Private Unit, generating gross proceeds to the Company of $3,900,000. On March 19, 2021, the underwriters partially exercised the over-allotment option to purchase 1,300,000 Public Units. Simultaneously with the exercise of the over-allotment option, we completed the sale of an aggregate of 26,000 Private Units to the Sponsor and EarlyBirdCapital, at a purchase price of $10.00 per Private Unit, generating gross proceeds to the Company of $260,000. These issuances were made pursuant to the exemption from registration contained in Section 4(a)(2) of the Securities Act.</w:t>
      </w:r>
    </w:p>
    <w:p>
      <w:pPr>
        <w:spacing w:after="0" w:line="11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On April 26, 2022, we consummated the sale of an aggregate of 11,300,000 shares of Class A Common Stock (“PIPE Shares”), for a purchase price of $10.00 per share and an aggregate purchase price of $113,000,000 (the “PIPE Investment”). The PIPE Shares are identical to the shares of ATSP common stock that were held by the Company’s public stockholders at the time of the closing of our Business Combination, except that the PIPE Shares were not entitled to any redemption rights and were not yet registered with the SEC. The PIPE Shares were not registered under the Securities Act in reliance on the exemption from registration provided by Section 4(a)(2) of the Securities Act and/or Regulation D promulgated thereunder as a transaction by an issuer not involving a public offering without any form of general solicitation or general advertising.</w:t>
      </w:r>
    </w:p>
    <w:p>
      <w:pPr>
        <w:spacing w:after="0" w:line="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No underwriting discounts or commissions were paid with respect to such sales.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1" w:name="page262"/>
    <w:bookmarkEnd w:id="26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Item 16. Exhibits and Financial Statement Schedules</w:t>
      </w:r>
    </w:p>
    <w:p>
      <w:pPr>
        <w:spacing w:after="0" w:line="277"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40" w:type="dxa"/>
            <w:vAlign w:val="bottom"/>
          </w:tcPr>
          <w:p>
            <w:pPr>
              <w:spacing w:after="0" w:line="162" w:lineRule="exact"/>
              <w:rPr>
                <w:sz w:val="20"/>
                <w:szCs w:val="20"/>
                <w:color w:val="auto"/>
              </w:rPr>
            </w:pPr>
            <w:r>
              <w:rPr>
                <w:rFonts w:ascii="Times New Roman" w:cs="Times New Roman" w:eastAsia="Times New Roman" w:hAnsi="Times New Roman"/>
                <w:sz w:val="17"/>
                <w:szCs w:val="17"/>
                <w:color w:val="auto"/>
              </w:rPr>
              <w:t>2.1#</w:t>
            </w:r>
          </w:p>
        </w:tc>
        <w:tc>
          <w:tcPr>
            <w:tcW w:w="120" w:type="dxa"/>
            <w:vAlign w:val="bottom"/>
            <w:vMerge w:val="continue"/>
          </w:tcPr>
          <w:p>
            <w:pPr>
              <w:spacing w:after="0"/>
              <w:rPr>
                <w:sz w:val="14"/>
                <w:szCs w:val="14"/>
                <w:color w:val="auto"/>
              </w:rPr>
            </w:pPr>
          </w:p>
        </w:tc>
        <w:tc>
          <w:tcPr>
            <w:tcW w:w="3240" w:type="dxa"/>
            <w:vAlign w:val="bottom"/>
            <w:gridSpan w:val="22"/>
          </w:tcPr>
          <w:p>
            <w:pPr>
              <w:spacing w:after="0" w:line="162" w:lineRule="exact"/>
              <w:rPr>
                <w:rFonts w:ascii="Times New Roman" w:cs="Times New Roman" w:eastAsia="Times New Roman" w:hAnsi="Times New Roman"/>
                <w:sz w:val="17"/>
                <w:szCs w:val="17"/>
                <w:color w:val="0000EE"/>
              </w:rPr>
            </w:pPr>
            <w:hyperlink r:id="rId298">
              <w:r>
                <w:rPr>
                  <w:rFonts w:ascii="Times New Roman" w:cs="Times New Roman" w:eastAsia="Times New Roman" w:hAnsi="Times New Roman"/>
                  <w:sz w:val="17"/>
                  <w:szCs w:val="17"/>
                  <w:color w:val="0000EE"/>
                </w:rPr>
                <w:t>Merger Agreement dated as of November 15,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Borders>
              <w:bottom w:val="single" w:sz="8" w:color="0000EE"/>
            </w:tcBorders>
            <w:gridSpan w:val="22"/>
          </w:tcPr>
          <w:p>
            <w:pPr>
              <w:spacing w:after="0" w:line="188" w:lineRule="exact"/>
              <w:rPr>
                <w:rFonts w:ascii="Times New Roman" w:cs="Times New Roman" w:eastAsia="Times New Roman" w:hAnsi="Times New Roman"/>
                <w:sz w:val="17"/>
                <w:szCs w:val="17"/>
                <w:color w:val="0000EE"/>
              </w:rPr>
            </w:pPr>
            <w:hyperlink r:id="rId298">
              <w:r>
                <w:rPr>
                  <w:rFonts w:ascii="Times New Roman" w:cs="Times New Roman" w:eastAsia="Times New Roman" w:hAnsi="Times New Roman"/>
                  <w:sz w:val="17"/>
                  <w:szCs w:val="17"/>
                  <w:color w:val="0000EE"/>
                </w:rPr>
                <w:t>2021 by and among Archimedes Tech SPAC</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22"/>
          </w:tcPr>
          <w:p>
            <w:pPr>
              <w:spacing w:after="0" w:line="188" w:lineRule="exact"/>
              <w:rPr>
                <w:rFonts w:ascii="Times New Roman" w:cs="Times New Roman" w:eastAsia="Times New Roman" w:hAnsi="Times New Roman"/>
                <w:sz w:val="17"/>
                <w:szCs w:val="17"/>
                <w:color w:val="0000EE"/>
              </w:rPr>
            </w:pPr>
            <w:hyperlink r:id="rId298">
              <w:r>
                <w:rPr>
                  <w:rFonts w:ascii="Times New Roman" w:cs="Times New Roman" w:eastAsia="Times New Roman" w:hAnsi="Times New Roman"/>
                  <w:sz w:val="17"/>
                  <w:szCs w:val="17"/>
                  <w:color w:val="0000EE"/>
                </w:rPr>
                <w:t>Partners Co., ATSPC Merger Sub, Inc. and</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top w:val="single" w:sz="8" w:color="0000EE"/>
              <w:bottom w:val="single" w:sz="8" w:color="0000EE"/>
            </w:tcBorders>
            <w:gridSpan w:val="7"/>
          </w:tcPr>
          <w:p>
            <w:pPr>
              <w:spacing w:after="0" w:line="188" w:lineRule="exact"/>
              <w:rPr>
                <w:rFonts w:ascii="Times New Roman" w:cs="Times New Roman" w:eastAsia="Times New Roman" w:hAnsi="Times New Roman"/>
                <w:sz w:val="17"/>
                <w:szCs w:val="17"/>
                <w:color w:val="0000EE"/>
                <w:w w:val="98"/>
              </w:rPr>
            </w:pPr>
            <w:hyperlink r:id="rId298">
              <w:r>
                <w:rPr>
                  <w:rFonts w:ascii="Times New Roman" w:cs="Times New Roman" w:eastAsia="Times New Roman" w:hAnsi="Times New Roman"/>
                  <w:sz w:val="17"/>
                  <w:szCs w:val="17"/>
                  <w:color w:val="0000EE"/>
                  <w:w w:val="98"/>
                </w:rPr>
                <w:t>SoundHound, Inc.</w:t>
              </w:r>
            </w:hyperlink>
          </w:p>
        </w:tc>
        <w:tc>
          <w:tcPr>
            <w:tcW w:w="820" w:type="dxa"/>
            <w:vAlign w:val="bottom"/>
            <w:tcBorders>
              <w:top w:val="single" w:sz="8" w:color="0000EE"/>
            </w:tcBorders>
            <w:gridSpan w:val="3"/>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9"/>
                <w:szCs w:val="19"/>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299">
              <w:r>
                <w:rPr>
                  <w:rFonts w:ascii="Times New Roman" w:cs="Times New Roman" w:eastAsia="Times New Roman" w:hAnsi="Times New Roman"/>
                  <w:sz w:val="17"/>
                  <w:szCs w:val="17"/>
                  <w:color w:val="0000EE"/>
                </w:rPr>
                <w:t>Second Amended and Restated Certificate of</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Borders>
              <w:top w:val="single" w:sz="8" w:color="0000EE"/>
              <w:bottom w:val="single" w:sz="8" w:color="0000EE"/>
            </w:tcBorders>
            <w:gridSpan w:val="13"/>
          </w:tcPr>
          <w:p>
            <w:pPr>
              <w:spacing w:after="0" w:line="188" w:lineRule="exact"/>
              <w:rPr>
                <w:rFonts w:ascii="Times New Roman" w:cs="Times New Roman" w:eastAsia="Times New Roman" w:hAnsi="Times New Roman"/>
                <w:sz w:val="17"/>
                <w:szCs w:val="17"/>
                <w:color w:val="0000EE"/>
              </w:rPr>
            </w:pPr>
            <w:hyperlink r:id="rId299">
              <w:r>
                <w:rPr>
                  <w:rFonts w:ascii="Times New Roman" w:cs="Times New Roman" w:eastAsia="Times New Roman" w:hAnsi="Times New Roman"/>
                  <w:sz w:val="17"/>
                  <w:szCs w:val="17"/>
                  <w:color w:val="0000EE"/>
                </w:rPr>
                <w:t>Incorporation of SoundHound AI, Inc.</w:t>
              </w:r>
            </w:hyperlink>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9"/>
                <w:szCs w:val="19"/>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300">
              <w:r>
                <w:rPr>
                  <w:rFonts w:ascii="Times New Roman" w:cs="Times New Roman" w:eastAsia="Times New Roman" w:hAnsi="Times New Roman"/>
                  <w:sz w:val="17"/>
                  <w:szCs w:val="17"/>
                  <w:color w:val="0000EE"/>
                </w:rPr>
                <w:t>Amended   and   Restated   Bylaws   of</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top w:val="single" w:sz="8" w:color="0000EE"/>
            </w:tcBorders>
            <w:gridSpan w:val="10"/>
          </w:tcPr>
          <w:p>
            <w:pPr>
              <w:spacing w:after="0" w:line="188" w:lineRule="exact"/>
              <w:rPr>
                <w:rFonts w:ascii="Times New Roman" w:cs="Times New Roman" w:eastAsia="Times New Roman" w:hAnsi="Times New Roman"/>
                <w:sz w:val="17"/>
                <w:szCs w:val="17"/>
                <w:color w:val="0000EE"/>
              </w:rPr>
            </w:pPr>
            <w:hyperlink r:id="rId300">
              <w:r>
                <w:rPr>
                  <w:rFonts w:ascii="Times New Roman" w:cs="Times New Roman" w:eastAsia="Times New Roman" w:hAnsi="Times New Roman"/>
                  <w:sz w:val="17"/>
                  <w:szCs w:val="17"/>
                  <w:color w:val="0000EE"/>
                </w:rPr>
                <w:t>SoundHound AI, Inc.</w:t>
              </w:r>
            </w:hyperlink>
          </w:p>
        </w:tc>
        <w:tc>
          <w:tcPr>
            <w:tcW w:w="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Pr>
          <w:p>
            <w:pPr>
              <w:spacing w:after="0"/>
              <w:rPr>
                <w:sz w:val="19"/>
                <w:szCs w:val="19"/>
                <w:color w:val="auto"/>
              </w:rPr>
            </w:pPr>
          </w:p>
        </w:tc>
        <w:tc>
          <w:tcPr>
            <w:tcW w:w="3240" w:type="dxa"/>
            <w:vAlign w:val="bottom"/>
            <w:tcBorders>
              <w:bottom w:val="single" w:sz="8" w:color="0000EE"/>
            </w:tcBorders>
            <w:gridSpan w:val="22"/>
          </w:tcPr>
          <w:p>
            <w:pPr>
              <w:spacing w:after="0"/>
              <w:rPr>
                <w:rFonts w:ascii="Times New Roman" w:cs="Times New Roman" w:eastAsia="Times New Roman" w:hAnsi="Times New Roman"/>
                <w:sz w:val="17"/>
                <w:szCs w:val="17"/>
                <w:color w:val="0000EE"/>
              </w:rPr>
            </w:pPr>
            <w:hyperlink r:id="rId301">
              <w:r>
                <w:rPr>
                  <w:rFonts w:ascii="Times New Roman" w:cs="Times New Roman" w:eastAsia="Times New Roman" w:hAnsi="Times New Roman"/>
                  <w:sz w:val="17"/>
                  <w:szCs w:val="17"/>
                  <w:color w:val="0000EE"/>
                </w:rPr>
                <w:t>SoundHound   AI,   Inc.   Certificate   of</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22"/>
          </w:tcPr>
          <w:p>
            <w:pPr>
              <w:spacing w:after="0" w:line="188" w:lineRule="exact"/>
              <w:rPr>
                <w:rFonts w:ascii="Times New Roman" w:cs="Times New Roman" w:eastAsia="Times New Roman" w:hAnsi="Times New Roman"/>
                <w:sz w:val="17"/>
                <w:szCs w:val="17"/>
                <w:color w:val="0000EE"/>
              </w:rPr>
            </w:pPr>
            <w:hyperlink r:id="rId301">
              <w:r>
                <w:rPr>
                  <w:rFonts w:ascii="Times New Roman" w:cs="Times New Roman" w:eastAsia="Times New Roman" w:hAnsi="Times New Roman"/>
                  <w:sz w:val="17"/>
                  <w:szCs w:val="17"/>
                  <w:color w:val="0000EE"/>
                </w:rPr>
                <w:t>Designations  of  Preferences,  Rights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22"/>
          </w:tcPr>
          <w:p>
            <w:pPr>
              <w:spacing w:after="0" w:line="188" w:lineRule="exact"/>
              <w:rPr>
                <w:rFonts w:ascii="Times New Roman" w:cs="Times New Roman" w:eastAsia="Times New Roman" w:hAnsi="Times New Roman"/>
                <w:sz w:val="17"/>
                <w:szCs w:val="17"/>
                <w:color w:val="0000EE"/>
              </w:rPr>
            </w:pPr>
            <w:hyperlink r:id="rId301">
              <w:r>
                <w:rPr>
                  <w:rFonts w:ascii="Times New Roman" w:cs="Times New Roman" w:eastAsia="Times New Roman" w:hAnsi="Times New Roman"/>
                  <w:sz w:val="17"/>
                  <w:szCs w:val="17"/>
                  <w:color w:val="0000EE"/>
                </w:rPr>
                <w:t>Limitations of Series A Convertible Preferred</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0000EE"/>
            </w:tcBorders>
            <w:gridSpan w:val="5"/>
          </w:tcPr>
          <w:p>
            <w:pPr>
              <w:spacing w:after="0" w:line="188" w:lineRule="exact"/>
              <w:rPr>
                <w:rFonts w:ascii="Times New Roman" w:cs="Times New Roman" w:eastAsia="Times New Roman" w:hAnsi="Times New Roman"/>
                <w:sz w:val="17"/>
                <w:szCs w:val="17"/>
                <w:color w:val="0000EE"/>
              </w:rPr>
            </w:pPr>
            <w:hyperlink r:id="rId301">
              <w:r>
                <w:rPr>
                  <w:rFonts w:ascii="Times New Roman" w:cs="Times New Roman" w:eastAsia="Times New Roman" w:hAnsi="Times New Roman"/>
                  <w:sz w:val="17"/>
                  <w:szCs w:val="17"/>
                  <w:color w:val="0000EE"/>
                </w:rPr>
                <w:t>Stock.</w:t>
              </w:r>
            </w:hyperlink>
          </w:p>
        </w:tc>
        <w:tc>
          <w:tcPr>
            <w:tcW w:w="2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302">
              <w:r>
                <w:rPr>
                  <w:rFonts w:ascii="Times New Roman" w:cs="Times New Roman" w:eastAsia="Times New Roman" w:hAnsi="Times New Roman"/>
                  <w:sz w:val="17"/>
                  <w:szCs w:val="17"/>
                  <w:color w:val="0000EE"/>
                </w:rPr>
                <w:t>Amended and Restated Warrant Agreement.</w:t>
              </w:r>
            </w:hyperlink>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9"/>
                <w:szCs w:val="19"/>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303">
              <w:r>
                <w:rPr>
                  <w:rFonts w:ascii="Times New Roman" w:cs="Times New Roman" w:eastAsia="Times New Roman" w:hAnsi="Times New Roman"/>
                  <w:sz w:val="17"/>
                  <w:szCs w:val="17"/>
                  <w:color w:val="0000EE"/>
                </w:rPr>
                <w:t>Form of Specimen Class A Common Stock</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0000EE"/>
            </w:tcBorders>
            <w:gridSpan w:val="5"/>
          </w:tcPr>
          <w:p>
            <w:pPr>
              <w:spacing w:after="0" w:line="188" w:lineRule="exact"/>
              <w:rPr>
                <w:rFonts w:ascii="Times New Roman" w:cs="Times New Roman" w:eastAsia="Times New Roman" w:hAnsi="Times New Roman"/>
                <w:sz w:val="17"/>
                <w:szCs w:val="17"/>
                <w:color w:val="0000EE"/>
              </w:rPr>
            </w:pPr>
            <w:hyperlink r:id="rId303">
              <w:r>
                <w:rPr>
                  <w:rFonts w:ascii="Times New Roman" w:cs="Times New Roman" w:eastAsia="Times New Roman" w:hAnsi="Times New Roman"/>
                  <w:sz w:val="17"/>
                  <w:szCs w:val="17"/>
                  <w:color w:val="0000EE"/>
                </w:rPr>
                <w:t>Certificate.</w:t>
              </w:r>
            </w:hyperlink>
          </w:p>
        </w:tc>
        <w:tc>
          <w:tcPr>
            <w:tcW w:w="2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w w:val="99"/>
              </w:rPr>
            </w:pPr>
            <w:hyperlink r:id="rId304">
              <w:r>
                <w:rPr>
                  <w:rFonts w:ascii="Times New Roman" w:cs="Times New Roman" w:eastAsia="Times New Roman" w:hAnsi="Times New Roman"/>
                  <w:sz w:val="17"/>
                  <w:szCs w:val="17"/>
                  <w:color w:val="0000EE"/>
                  <w:w w:val="99"/>
                </w:rPr>
                <w:t>Form of Specimen Warrant Certificate.</w:t>
              </w:r>
            </w:hyperlink>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21"/>
                <w:szCs w:val="21"/>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302">
              <w:r>
                <w:rPr>
                  <w:rFonts w:ascii="Times New Roman" w:cs="Times New Roman" w:eastAsia="Times New Roman" w:hAnsi="Times New Roman"/>
                  <w:sz w:val="17"/>
                  <w:szCs w:val="17"/>
                  <w:color w:val="0000EE"/>
                </w:rPr>
                <w:t>Amended and Restated Warrant Agreement.</w:t>
              </w:r>
            </w:hyperlink>
          </w:p>
        </w:tc>
        <w:tc>
          <w:tcPr>
            <w:tcW w:w="0" w:type="dxa"/>
            <w:vAlign w:val="bottom"/>
          </w:tcPr>
          <w:p>
            <w:pPr>
              <w:spacing w:after="0"/>
              <w:rPr>
                <w:sz w:val="1"/>
                <w:szCs w:val="1"/>
                <w:color w:val="auto"/>
              </w:rPr>
            </w:pPr>
          </w:p>
        </w:tc>
      </w:tr>
      <w:tr>
        <w:trPr>
          <w:trHeight w:val="20"/>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305">
              <w:r>
                <w:rPr>
                  <w:rFonts w:ascii="Times New Roman" w:cs="Times New Roman" w:eastAsia="Times New Roman" w:hAnsi="Times New Roman"/>
                  <w:sz w:val="17"/>
                  <w:szCs w:val="17"/>
                  <w:color w:val="0000EE"/>
                </w:rPr>
                <w:t>Opinion of Ellenoff Grossman &amp; Schole LLP.</w:t>
              </w:r>
            </w:hyperlink>
          </w:p>
        </w:tc>
        <w:tc>
          <w:tcPr>
            <w:tcW w:w="0" w:type="dxa"/>
            <w:vAlign w:val="bottom"/>
          </w:tcPr>
          <w:p>
            <w:pPr>
              <w:spacing w:after="0"/>
              <w:rPr>
                <w:sz w:val="1"/>
                <w:szCs w:val="1"/>
                <w:color w:val="auto"/>
              </w:rPr>
            </w:pPr>
          </w:p>
        </w:tc>
      </w:tr>
      <w:tr>
        <w:trPr>
          <w:trHeight w:val="253"/>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1"/>
                <w:szCs w:val="21"/>
                <w:color w:val="auto"/>
              </w:rPr>
            </w:pPr>
          </w:p>
        </w:tc>
        <w:tc>
          <w:tcPr>
            <w:tcW w:w="3140" w:type="dxa"/>
            <w:vAlign w:val="bottom"/>
            <w:tcBorders>
              <w:top w:val="single" w:sz="8" w:color="0000EE"/>
            </w:tcBorders>
            <w:gridSpan w:val="20"/>
          </w:tcPr>
          <w:p>
            <w:pPr>
              <w:spacing w:after="0"/>
              <w:rPr>
                <w:rFonts w:ascii="Times New Roman" w:cs="Times New Roman" w:eastAsia="Times New Roman" w:hAnsi="Times New Roman"/>
                <w:sz w:val="17"/>
                <w:szCs w:val="17"/>
                <w:color w:val="0000EE"/>
              </w:rPr>
            </w:pPr>
            <w:hyperlink r:id="rId306">
              <w:r>
                <w:rPr>
                  <w:rFonts w:ascii="Times New Roman" w:cs="Times New Roman" w:eastAsia="Times New Roman" w:hAnsi="Times New Roman"/>
                  <w:sz w:val="17"/>
                  <w:szCs w:val="17"/>
                  <w:color w:val="0000EE"/>
                </w:rPr>
                <w:t>Form of PIPE Subscription Agreement.</w:t>
              </w:r>
            </w:hyperlink>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21"/>
                <w:szCs w:val="21"/>
                <w:color w:val="auto"/>
              </w:rPr>
            </w:pPr>
          </w:p>
        </w:tc>
        <w:tc>
          <w:tcPr>
            <w:tcW w:w="206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7"/>
                <w:szCs w:val="17"/>
                <w:color w:val="0000EE"/>
                <w:w w:val="99"/>
              </w:rPr>
            </w:pPr>
            <w:hyperlink r:id="rId307">
              <w:r>
                <w:rPr>
                  <w:rFonts w:ascii="Times New Roman" w:cs="Times New Roman" w:eastAsia="Times New Roman" w:hAnsi="Times New Roman"/>
                  <w:sz w:val="17"/>
                  <w:szCs w:val="17"/>
                  <w:color w:val="0000EE"/>
                  <w:w w:val="99"/>
                </w:rPr>
                <w:t>Form of Lock-Up Agreement.</w:t>
              </w:r>
            </w:hyperlink>
          </w:p>
        </w:tc>
        <w:tc>
          <w:tcPr>
            <w:tcW w:w="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tcPr>
          <w:p>
            <w:pPr>
              <w:spacing w:after="0"/>
              <w:rPr>
                <w:sz w:val="19"/>
                <w:szCs w:val="19"/>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308">
              <w:r>
                <w:rPr>
                  <w:rFonts w:ascii="Times New Roman" w:cs="Times New Roman" w:eastAsia="Times New Roman" w:hAnsi="Times New Roman"/>
                  <w:sz w:val="17"/>
                  <w:szCs w:val="17"/>
                  <w:color w:val="0000EE"/>
                </w:rPr>
                <w:t>Amended and Restated Registration Rights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Borders>
              <w:bottom w:val="single" w:sz="8" w:color="0000EE"/>
            </w:tcBorders>
            <w:gridSpan w:val="22"/>
          </w:tcPr>
          <w:p>
            <w:pPr>
              <w:spacing w:after="0" w:line="188" w:lineRule="exact"/>
              <w:rPr>
                <w:rFonts w:ascii="Times New Roman" w:cs="Times New Roman" w:eastAsia="Times New Roman" w:hAnsi="Times New Roman"/>
                <w:sz w:val="17"/>
                <w:szCs w:val="17"/>
                <w:color w:val="0000EE"/>
              </w:rPr>
            </w:pPr>
            <w:hyperlink r:id="rId308">
              <w:r>
                <w:rPr>
                  <w:rFonts w:ascii="Times New Roman" w:cs="Times New Roman" w:eastAsia="Times New Roman" w:hAnsi="Times New Roman"/>
                  <w:sz w:val="17"/>
                  <w:szCs w:val="17"/>
                  <w:color w:val="0000EE"/>
                </w:rPr>
                <w:t>Agreement, dated April 26, 2022, by and</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Borders>
              <w:bottom w:val="single" w:sz="8" w:color="0000EE"/>
            </w:tcBorders>
            <w:gridSpan w:val="22"/>
          </w:tcPr>
          <w:p>
            <w:pPr>
              <w:spacing w:after="0" w:line="188" w:lineRule="exact"/>
              <w:rPr>
                <w:rFonts w:ascii="Times New Roman" w:cs="Times New Roman" w:eastAsia="Times New Roman" w:hAnsi="Times New Roman"/>
                <w:sz w:val="17"/>
                <w:szCs w:val="17"/>
                <w:color w:val="0000EE"/>
              </w:rPr>
            </w:pPr>
            <w:hyperlink r:id="rId308">
              <w:r>
                <w:rPr>
                  <w:rFonts w:ascii="Times New Roman" w:cs="Times New Roman" w:eastAsia="Times New Roman" w:hAnsi="Times New Roman"/>
                  <w:sz w:val="17"/>
                  <w:szCs w:val="17"/>
                  <w:color w:val="0000EE"/>
                </w:rPr>
                <w:t>between SoundHound AI, Inc. and certain</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14"/>
          </w:tcPr>
          <w:p>
            <w:pPr>
              <w:spacing w:after="0" w:line="188" w:lineRule="exact"/>
              <w:rPr>
                <w:rFonts w:ascii="Times New Roman" w:cs="Times New Roman" w:eastAsia="Times New Roman" w:hAnsi="Times New Roman"/>
                <w:sz w:val="17"/>
                <w:szCs w:val="17"/>
                <w:color w:val="0000EE"/>
              </w:rPr>
            </w:pPr>
            <w:hyperlink r:id="rId308">
              <w:r>
                <w:rPr>
                  <w:rFonts w:ascii="Times New Roman" w:cs="Times New Roman" w:eastAsia="Times New Roman" w:hAnsi="Times New Roman"/>
                  <w:sz w:val="17"/>
                  <w:szCs w:val="17"/>
                  <w:color w:val="0000EE"/>
                </w:rPr>
                <w:t>stockholders of SoundHound AI, Inc.</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19"/>
                <w:szCs w:val="19"/>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309">
              <w:r>
                <w:rPr>
                  <w:rFonts w:ascii="Times New Roman" w:cs="Times New Roman" w:eastAsia="Times New Roman" w:hAnsi="Times New Roman"/>
                  <w:sz w:val="17"/>
                  <w:szCs w:val="17"/>
                  <w:color w:val="0000EE"/>
                </w:rPr>
                <w:t>SoundHound AI, Inc. 2022 Incentive Award</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0000EE"/>
            </w:tcBorders>
            <w:gridSpan w:val="5"/>
          </w:tcPr>
          <w:p>
            <w:pPr>
              <w:spacing w:after="0" w:line="188" w:lineRule="exact"/>
              <w:rPr>
                <w:rFonts w:ascii="Times New Roman" w:cs="Times New Roman" w:eastAsia="Times New Roman" w:hAnsi="Times New Roman"/>
                <w:sz w:val="17"/>
                <w:szCs w:val="17"/>
                <w:color w:val="0000EE"/>
              </w:rPr>
            </w:pPr>
            <w:hyperlink r:id="rId309">
              <w:r>
                <w:rPr>
                  <w:rFonts w:ascii="Times New Roman" w:cs="Times New Roman" w:eastAsia="Times New Roman" w:hAnsi="Times New Roman"/>
                  <w:sz w:val="17"/>
                  <w:szCs w:val="17"/>
                  <w:color w:val="0000EE"/>
                </w:rPr>
                <w:t>Plan.</w:t>
              </w:r>
            </w:hyperlink>
          </w:p>
        </w:tc>
        <w:tc>
          <w:tcPr>
            <w:tcW w:w="2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19"/>
                <w:szCs w:val="19"/>
                <w:color w:val="auto"/>
              </w:rPr>
            </w:pPr>
          </w:p>
        </w:tc>
        <w:tc>
          <w:tcPr>
            <w:tcW w:w="3240" w:type="dxa"/>
            <w:vAlign w:val="bottom"/>
            <w:tcBorders>
              <w:bottom w:val="single" w:sz="8" w:color="0000EE"/>
            </w:tcBorders>
            <w:gridSpan w:val="22"/>
          </w:tcPr>
          <w:p>
            <w:pPr>
              <w:spacing w:after="0"/>
              <w:rPr>
                <w:rFonts w:ascii="Times New Roman" w:cs="Times New Roman" w:eastAsia="Times New Roman" w:hAnsi="Times New Roman"/>
                <w:sz w:val="17"/>
                <w:szCs w:val="17"/>
                <w:color w:val="0000EE"/>
              </w:rPr>
            </w:pPr>
            <w:hyperlink r:id="rId310">
              <w:r>
                <w:rPr>
                  <w:rFonts w:ascii="Times New Roman" w:cs="Times New Roman" w:eastAsia="Times New Roman" w:hAnsi="Times New Roman"/>
                  <w:sz w:val="17"/>
                  <w:szCs w:val="17"/>
                  <w:color w:val="0000EE"/>
                </w:rPr>
                <w:t>SoundHound AI, Inc. 2022 Employee Stock</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0000EE"/>
            </w:tcBorders>
            <w:gridSpan w:val="5"/>
          </w:tcPr>
          <w:p>
            <w:pPr>
              <w:spacing w:after="0" w:line="188" w:lineRule="exact"/>
              <w:rPr>
                <w:rFonts w:ascii="Times New Roman" w:cs="Times New Roman" w:eastAsia="Times New Roman" w:hAnsi="Times New Roman"/>
                <w:sz w:val="17"/>
                <w:szCs w:val="17"/>
                <w:color w:val="0000EE"/>
                <w:w w:val="97"/>
              </w:rPr>
            </w:pPr>
            <w:hyperlink r:id="rId310">
              <w:r>
                <w:rPr>
                  <w:rFonts w:ascii="Times New Roman" w:cs="Times New Roman" w:eastAsia="Times New Roman" w:hAnsi="Times New Roman"/>
                  <w:sz w:val="17"/>
                  <w:szCs w:val="17"/>
                  <w:color w:val="0000EE"/>
                  <w:w w:val="97"/>
                </w:rPr>
                <w:t>Purchase Plan.</w:t>
              </w:r>
            </w:hyperlink>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tcPr>
          <w:p>
            <w:pPr>
              <w:spacing w:after="0"/>
              <w:rPr>
                <w:sz w:val="21"/>
                <w:szCs w:val="21"/>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311">
              <w:r>
                <w:rPr>
                  <w:rFonts w:ascii="Times New Roman" w:cs="Times New Roman" w:eastAsia="Times New Roman" w:hAnsi="Times New Roman"/>
                  <w:sz w:val="17"/>
                  <w:szCs w:val="17"/>
                  <w:color w:val="0000EE"/>
                </w:rPr>
                <w:t>Form of Restricted Stock Unit Agreement.</w:t>
              </w:r>
            </w:hyperlink>
          </w:p>
        </w:tc>
        <w:tc>
          <w:tcPr>
            <w:tcW w:w="0" w:type="dxa"/>
            <w:vAlign w:val="bottom"/>
          </w:tcPr>
          <w:p>
            <w:pPr>
              <w:spacing w:after="0"/>
              <w:rPr>
                <w:sz w:val="1"/>
                <w:szCs w:val="1"/>
                <w:color w:val="auto"/>
              </w:rPr>
            </w:pPr>
          </w:p>
        </w:tc>
      </w:tr>
      <w:tr>
        <w:trPr>
          <w:trHeight w:val="253"/>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Pr>
          <w:p>
            <w:pPr>
              <w:spacing w:after="0"/>
              <w:rPr>
                <w:sz w:val="21"/>
                <w:szCs w:val="21"/>
                <w:color w:val="auto"/>
              </w:rPr>
            </w:pPr>
          </w:p>
        </w:tc>
        <w:tc>
          <w:tcPr>
            <w:tcW w:w="2920" w:type="dxa"/>
            <w:vAlign w:val="bottom"/>
            <w:tcBorders>
              <w:top w:val="single" w:sz="8" w:color="0000EE"/>
            </w:tcBorders>
            <w:gridSpan w:val="18"/>
          </w:tcPr>
          <w:p>
            <w:pPr>
              <w:spacing w:after="0"/>
              <w:rPr>
                <w:rFonts w:ascii="Times New Roman" w:cs="Times New Roman" w:eastAsia="Times New Roman" w:hAnsi="Times New Roman"/>
                <w:sz w:val="17"/>
                <w:szCs w:val="17"/>
                <w:color w:val="0000EE"/>
              </w:rPr>
            </w:pPr>
            <w:hyperlink r:id="rId312">
              <w:r>
                <w:rPr>
                  <w:rFonts w:ascii="Times New Roman" w:cs="Times New Roman" w:eastAsia="Times New Roman" w:hAnsi="Times New Roman"/>
                  <w:sz w:val="17"/>
                  <w:szCs w:val="17"/>
                  <w:color w:val="0000EE"/>
                </w:rPr>
                <w:t>Form of Stock Option Award Agreement.</w:t>
              </w:r>
            </w:hyperlink>
          </w:p>
        </w:tc>
        <w:tc>
          <w:tcPr>
            <w:tcW w:w="32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Pr>
          <w:p>
            <w:pPr>
              <w:spacing w:after="0"/>
              <w:rPr>
                <w:sz w:val="21"/>
                <w:szCs w:val="21"/>
                <w:color w:val="auto"/>
              </w:rPr>
            </w:pPr>
          </w:p>
        </w:tc>
        <w:tc>
          <w:tcPr>
            <w:tcW w:w="2680" w:type="dxa"/>
            <w:vAlign w:val="bottom"/>
            <w:tcBorders>
              <w:top w:val="single" w:sz="8" w:color="0000EE"/>
            </w:tcBorders>
            <w:gridSpan w:val="14"/>
          </w:tcPr>
          <w:p>
            <w:pPr>
              <w:spacing w:after="0"/>
              <w:rPr>
                <w:rFonts w:ascii="Times New Roman" w:cs="Times New Roman" w:eastAsia="Times New Roman" w:hAnsi="Times New Roman"/>
                <w:sz w:val="17"/>
                <w:szCs w:val="17"/>
                <w:color w:val="0000EE"/>
              </w:rPr>
            </w:pPr>
            <w:hyperlink r:id="rId313">
              <w:r>
                <w:rPr>
                  <w:rFonts w:ascii="Times New Roman" w:cs="Times New Roman" w:eastAsia="Times New Roman" w:hAnsi="Times New Roman"/>
                  <w:sz w:val="17"/>
                  <w:szCs w:val="17"/>
                  <w:color w:val="0000EE"/>
                </w:rPr>
                <w:t>Form of Indemnity Agreement.</w:t>
              </w:r>
            </w:hyperlink>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tcPr>
          <w:p>
            <w:pPr>
              <w:spacing w:after="0"/>
              <w:rPr>
                <w:sz w:val="19"/>
                <w:szCs w:val="19"/>
                <w:color w:val="auto"/>
              </w:rPr>
            </w:pPr>
          </w:p>
        </w:tc>
        <w:tc>
          <w:tcPr>
            <w:tcW w:w="1000" w:type="dxa"/>
            <w:vAlign w:val="bottom"/>
            <w:gridSpan w:val="5"/>
          </w:tcPr>
          <w:p>
            <w:pPr>
              <w:spacing w:after="0"/>
              <w:rPr>
                <w:rFonts w:ascii="Times New Roman" w:cs="Times New Roman" w:eastAsia="Times New Roman" w:hAnsi="Times New Roman"/>
                <w:sz w:val="17"/>
                <w:szCs w:val="17"/>
                <w:color w:val="0000EE"/>
              </w:rPr>
            </w:pPr>
            <w:hyperlink r:id="rId314">
              <w:r>
                <w:rPr>
                  <w:rFonts w:ascii="Times New Roman" w:cs="Times New Roman" w:eastAsia="Times New Roman" w:hAnsi="Times New Roman"/>
                  <w:sz w:val="17"/>
                  <w:szCs w:val="17"/>
                  <w:color w:val="0000EE"/>
                </w:rPr>
                <w:t>Employment</w:t>
              </w:r>
            </w:hyperlink>
          </w:p>
        </w:tc>
        <w:tc>
          <w:tcPr>
            <w:tcW w:w="1060" w:type="dxa"/>
            <w:vAlign w:val="bottom"/>
            <w:gridSpan w:val="5"/>
          </w:tcPr>
          <w:p>
            <w:pPr>
              <w:ind w:left="120"/>
              <w:spacing w:after="0"/>
              <w:rPr>
                <w:rFonts w:ascii="Times New Roman" w:cs="Times New Roman" w:eastAsia="Times New Roman" w:hAnsi="Times New Roman"/>
                <w:sz w:val="17"/>
                <w:szCs w:val="17"/>
                <w:color w:val="0000EE"/>
              </w:rPr>
            </w:pPr>
            <w:hyperlink r:id="rId314">
              <w:r>
                <w:rPr>
                  <w:rFonts w:ascii="Times New Roman" w:cs="Times New Roman" w:eastAsia="Times New Roman" w:hAnsi="Times New Roman"/>
                  <w:sz w:val="17"/>
                  <w:szCs w:val="17"/>
                  <w:color w:val="0000EE"/>
                </w:rPr>
                <w:t>Agreement</w:t>
              </w:r>
            </w:hyperlink>
          </w:p>
        </w:tc>
        <w:tc>
          <w:tcPr>
            <w:tcW w:w="620" w:type="dxa"/>
            <w:vAlign w:val="bottom"/>
            <w:gridSpan w:val="4"/>
          </w:tcPr>
          <w:p>
            <w:pPr>
              <w:ind w:left="60"/>
              <w:spacing w:after="0"/>
              <w:rPr>
                <w:rFonts w:ascii="Times New Roman" w:cs="Times New Roman" w:eastAsia="Times New Roman" w:hAnsi="Times New Roman"/>
                <w:sz w:val="17"/>
                <w:szCs w:val="17"/>
                <w:color w:val="0000EE"/>
              </w:rPr>
            </w:pPr>
            <w:hyperlink r:id="rId314">
              <w:r>
                <w:rPr>
                  <w:rFonts w:ascii="Times New Roman" w:cs="Times New Roman" w:eastAsia="Times New Roman" w:hAnsi="Times New Roman"/>
                  <w:sz w:val="17"/>
                  <w:szCs w:val="17"/>
                  <w:color w:val="0000EE"/>
                </w:rPr>
                <w:t>with</w:t>
              </w:r>
            </w:hyperlink>
          </w:p>
        </w:tc>
        <w:tc>
          <w:tcPr>
            <w:tcW w:w="560" w:type="dxa"/>
            <w:vAlign w:val="bottom"/>
            <w:gridSpan w:val="8"/>
          </w:tcPr>
          <w:p>
            <w:pPr>
              <w:jc w:val="right"/>
              <w:ind w:right="20"/>
              <w:spacing w:after="0"/>
              <w:rPr>
                <w:rFonts w:ascii="Times New Roman" w:cs="Times New Roman" w:eastAsia="Times New Roman" w:hAnsi="Times New Roman"/>
                <w:sz w:val="17"/>
                <w:szCs w:val="17"/>
                <w:color w:val="0000EE"/>
                <w:w w:val="98"/>
              </w:rPr>
            </w:pPr>
            <w:hyperlink r:id="rId314">
              <w:r>
                <w:rPr>
                  <w:rFonts w:ascii="Times New Roman" w:cs="Times New Roman" w:eastAsia="Times New Roman" w:hAnsi="Times New Roman"/>
                  <w:sz w:val="17"/>
                  <w:szCs w:val="17"/>
                  <w:color w:val="0000EE"/>
                  <w:w w:val="98"/>
                </w:rPr>
                <w:t>Keyvan</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top w:val="single" w:sz="8" w:color="0000EE"/>
              <w:bottom w:val="single" w:sz="8" w:color="0000EE"/>
            </w:tcBorders>
            <w:gridSpan w:val="10"/>
          </w:tcPr>
          <w:p>
            <w:pPr>
              <w:spacing w:after="0" w:line="188" w:lineRule="exact"/>
              <w:rPr>
                <w:rFonts w:ascii="Times New Roman" w:cs="Times New Roman" w:eastAsia="Times New Roman" w:hAnsi="Times New Roman"/>
                <w:sz w:val="17"/>
                <w:szCs w:val="17"/>
                <w:color w:val="0000EE"/>
              </w:rPr>
            </w:pPr>
            <w:hyperlink r:id="rId314">
              <w:r>
                <w:rPr>
                  <w:rFonts w:ascii="Times New Roman" w:cs="Times New Roman" w:eastAsia="Times New Roman" w:hAnsi="Times New Roman"/>
                  <w:sz w:val="17"/>
                  <w:szCs w:val="17"/>
                  <w:color w:val="0000EE"/>
                </w:rPr>
                <w:t>Mohajer,  Chief  Executive</w:t>
              </w:r>
            </w:hyperlink>
          </w:p>
        </w:tc>
        <w:tc>
          <w:tcPr>
            <w:tcW w:w="80" w:type="dxa"/>
            <w:vAlign w:val="bottom"/>
            <w:tcBorders>
              <w:top w:val="single" w:sz="8" w:color="0000EE"/>
              <w:bottom w:val="single" w:sz="8" w:color="0000EE"/>
            </w:tcBorders>
          </w:tcPr>
          <w:p>
            <w:pPr>
              <w:spacing w:after="0"/>
              <w:rPr>
                <w:sz w:val="16"/>
                <w:szCs w:val="16"/>
                <w:color w:val="auto"/>
              </w:rPr>
            </w:pPr>
          </w:p>
        </w:tc>
        <w:tc>
          <w:tcPr>
            <w:tcW w:w="540" w:type="dxa"/>
            <w:vAlign w:val="bottom"/>
            <w:tcBorders>
              <w:top w:val="single" w:sz="8" w:color="0000EE"/>
              <w:bottom w:val="single" w:sz="8" w:color="0000EE"/>
            </w:tcBorders>
            <w:gridSpan w:val="3"/>
          </w:tcPr>
          <w:p>
            <w:pPr>
              <w:ind w:left="20"/>
              <w:spacing w:after="0" w:line="188" w:lineRule="exact"/>
              <w:rPr>
                <w:rFonts w:ascii="Times New Roman" w:cs="Times New Roman" w:eastAsia="Times New Roman" w:hAnsi="Times New Roman"/>
                <w:sz w:val="17"/>
                <w:szCs w:val="17"/>
                <w:color w:val="0000EE"/>
                <w:w w:val="93"/>
              </w:rPr>
            </w:pPr>
            <w:hyperlink r:id="rId314">
              <w:r>
                <w:rPr>
                  <w:rFonts w:ascii="Times New Roman" w:cs="Times New Roman" w:eastAsia="Times New Roman" w:hAnsi="Times New Roman"/>
                  <w:sz w:val="17"/>
                  <w:szCs w:val="17"/>
                  <w:color w:val="0000EE"/>
                  <w:w w:val="93"/>
                </w:rPr>
                <w:t>Officer,</w:t>
              </w:r>
            </w:hyperlink>
          </w:p>
        </w:tc>
        <w:tc>
          <w:tcPr>
            <w:tcW w:w="20" w:type="dxa"/>
            <w:vAlign w:val="bottom"/>
            <w:tcBorders>
              <w:top w:val="single" w:sz="8" w:color="0000EE"/>
              <w:bottom w:val="single" w:sz="8" w:color="0000EE"/>
            </w:tcBorders>
          </w:tcPr>
          <w:p>
            <w:pPr>
              <w:spacing w:after="0"/>
              <w:rPr>
                <w:sz w:val="16"/>
                <w:szCs w:val="16"/>
                <w:color w:val="auto"/>
              </w:rPr>
            </w:pPr>
          </w:p>
        </w:tc>
        <w:tc>
          <w:tcPr>
            <w:tcW w:w="40" w:type="dxa"/>
            <w:vAlign w:val="bottom"/>
            <w:tcBorders>
              <w:top w:val="single" w:sz="8" w:color="0000EE"/>
              <w:bottom w:val="single" w:sz="8" w:color="0000EE"/>
            </w:tcBorders>
          </w:tcPr>
          <w:p>
            <w:pPr>
              <w:spacing w:after="0"/>
              <w:rPr>
                <w:sz w:val="16"/>
                <w:szCs w:val="16"/>
                <w:color w:val="auto"/>
              </w:rPr>
            </w:pPr>
          </w:p>
        </w:tc>
        <w:tc>
          <w:tcPr>
            <w:tcW w:w="480" w:type="dxa"/>
            <w:vAlign w:val="bottom"/>
            <w:tcBorders>
              <w:top w:val="single" w:sz="8" w:color="0000EE"/>
              <w:bottom w:val="single" w:sz="8" w:color="0000EE"/>
            </w:tcBorders>
            <w:gridSpan w:val="5"/>
          </w:tcPr>
          <w:p>
            <w:pPr>
              <w:jc w:val="right"/>
              <w:spacing w:after="0" w:line="188" w:lineRule="exact"/>
              <w:rPr>
                <w:rFonts w:ascii="Times New Roman" w:cs="Times New Roman" w:eastAsia="Times New Roman" w:hAnsi="Times New Roman"/>
                <w:sz w:val="17"/>
                <w:szCs w:val="17"/>
                <w:color w:val="0000EE"/>
              </w:rPr>
            </w:pPr>
            <w:hyperlink r:id="rId314">
              <w:r>
                <w:rPr>
                  <w:rFonts w:ascii="Times New Roman" w:cs="Times New Roman" w:eastAsia="Times New Roman" w:hAnsi="Times New Roman"/>
                  <w:sz w:val="17"/>
                  <w:szCs w:val="17"/>
                  <w:color w:val="0000EE"/>
                </w:rPr>
                <w:t>dated</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0000EE"/>
            </w:tcBorders>
            <w:gridSpan w:val="4"/>
          </w:tcPr>
          <w:p>
            <w:pPr>
              <w:spacing w:after="0" w:line="188" w:lineRule="exact"/>
              <w:rPr>
                <w:rFonts w:ascii="Times New Roman" w:cs="Times New Roman" w:eastAsia="Times New Roman" w:hAnsi="Times New Roman"/>
                <w:sz w:val="17"/>
                <w:szCs w:val="17"/>
                <w:color w:val="0000EE"/>
                <w:w w:val="97"/>
              </w:rPr>
            </w:pPr>
            <w:hyperlink r:id="rId314">
              <w:r>
                <w:rPr>
                  <w:rFonts w:ascii="Times New Roman" w:cs="Times New Roman" w:eastAsia="Times New Roman" w:hAnsi="Times New Roman"/>
                  <w:sz w:val="17"/>
                  <w:szCs w:val="17"/>
                  <w:color w:val="0000EE"/>
                  <w:w w:val="97"/>
                </w:rPr>
                <w:t>June 2, 2022.</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10.10</w:t>
            </w:r>
          </w:p>
        </w:tc>
        <w:tc>
          <w:tcPr>
            <w:tcW w:w="120" w:type="dxa"/>
            <w:vAlign w:val="bottom"/>
          </w:tcPr>
          <w:p>
            <w:pPr>
              <w:spacing w:after="0"/>
              <w:rPr>
                <w:sz w:val="19"/>
                <w:szCs w:val="19"/>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315">
              <w:r>
                <w:rPr>
                  <w:rFonts w:ascii="Times New Roman" w:cs="Times New Roman" w:eastAsia="Times New Roman" w:hAnsi="Times New Roman"/>
                  <w:sz w:val="17"/>
                  <w:szCs w:val="17"/>
                  <w:color w:val="0000EE"/>
                </w:rPr>
                <w:t>Employment Agreement with Nitesh Sharan,</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tcBorders>
              <w:top w:val="single" w:sz="8" w:color="0000EE"/>
            </w:tcBorders>
            <w:gridSpan w:val="21"/>
          </w:tcPr>
          <w:p>
            <w:pPr>
              <w:spacing w:after="0" w:line="188" w:lineRule="exact"/>
              <w:rPr>
                <w:rFonts w:ascii="Times New Roman" w:cs="Times New Roman" w:eastAsia="Times New Roman" w:hAnsi="Times New Roman"/>
                <w:sz w:val="17"/>
                <w:szCs w:val="17"/>
                <w:color w:val="0000EE"/>
              </w:rPr>
            </w:pPr>
            <w:hyperlink r:id="rId315">
              <w:r>
                <w:rPr>
                  <w:rFonts w:ascii="Times New Roman" w:cs="Times New Roman" w:eastAsia="Times New Roman" w:hAnsi="Times New Roman"/>
                  <w:sz w:val="17"/>
                  <w:szCs w:val="17"/>
                  <w:color w:val="0000EE"/>
                </w:rPr>
                <w:t>Chief Financial Officer, dated June 2, 2022.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10.11</w:t>
            </w:r>
          </w:p>
        </w:tc>
        <w:tc>
          <w:tcPr>
            <w:tcW w:w="120" w:type="dxa"/>
            <w:vAlign w:val="bottom"/>
          </w:tcPr>
          <w:p>
            <w:pPr>
              <w:spacing w:after="0"/>
              <w:rPr>
                <w:sz w:val="19"/>
                <w:szCs w:val="19"/>
                <w:color w:val="auto"/>
              </w:rPr>
            </w:pPr>
          </w:p>
        </w:tc>
        <w:tc>
          <w:tcPr>
            <w:tcW w:w="1000" w:type="dxa"/>
            <w:vAlign w:val="bottom"/>
            <w:gridSpan w:val="5"/>
          </w:tcPr>
          <w:p>
            <w:pPr>
              <w:spacing w:after="0"/>
              <w:rPr>
                <w:rFonts w:ascii="Times New Roman" w:cs="Times New Roman" w:eastAsia="Times New Roman" w:hAnsi="Times New Roman"/>
                <w:sz w:val="17"/>
                <w:szCs w:val="17"/>
                <w:color w:val="0000EE"/>
              </w:rPr>
            </w:pPr>
            <w:hyperlink r:id="rId316">
              <w:r>
                <w:rPr>
                  <w:rFonts w:ascii="Times New Roman" w:cs="Times New Roman" w:eastAsia="Times New Roman" w:hAnsi="Times New Roman"/>
                  <w:sz w:val="17"/>
                  <w:szCs w:val="17"/>
                  <w:color w:val="0000EE"/>
                </w:rPr>
                <w:t>Employment</w:t>
              </w:r>
            </w:hyperlink>
          </w:p>
        </w:tc>
        <w:tc>
          <w:tcPr>
            <w:tcW w:w="1060" w:type="dxa"/>
            <w:vAlign w:val="bottom"/>
            <w:gridSpan w:val="5"/>
          </w:tcPr>
          <w:p>
            <w:pPr>
              <w:ind w:left="100"/>
              <w:spacing w:after="0"/>
              <w:rPr>
                <w:rFonts w:ascii="Times New Roman" w:cs="Times New Roman" w:eastAsia="Times New Roman" w:hAnsi="Times New Roman"/>
                <w:sz w:val="17"/>
                <w:szCs w:val="17"/>
                <w:color w:val="0000EE"/>
              </w:rPr>
            </w:pPr>
            <w:hyperlink r:id="rId316">
              <w:r>
                <w:rPr>
                  <w:rFonts w:ascii="Times New Roman" w:cs="Times New Roman" w:eastAsia="Times New Roman" w:hAnsi="Times New Roman"/>
                  <w:sz w:val="17"/>
                  <w:szCs w:val="17"/>
                  <w:color w:val="0000EE"/>
                </w:rPr>
                <w:t>Agreement</w:t>
              </w:r>
            </w:hyperlink>
          </w:p>
        </w:tc>
        <w:tc>
          <w:tcPr>
            <w:tcW w:w="1180" w:type="dxa"/>
            <w:vAlign w:val="bottom"/>
            <w:gridSpan w:val="12"/>
          </w:tcPr>
          <w:p>
            <w:pPr>
              <w:jc w:val="right"/>
              <w:ind w:right="20"/>
              <w:spacing w:after="0"/>
              <w:rPr>
                <w:rFonts w:ascii="Times New Roman" w:cs="Times New Roman" w:eastAsia="Times New Roman" w:hAnsi="Times New Roman"/>
                <w:sz w:val="17"/>
                <w:szCs w:val="17"/>
                <w:color w:val="0000EE"/>
              </w:rPr>
            </w:pPr>
            <w:hyperlink r:id="rId316">
              <w:r>
                <w:rPr>
                  <w:rFonts w:ascii="Times New Roman" w:cs="Times New Roman" w:eastAsia="Times New Roman" w:hAnsi="Times New Roman"/>
                  <w:sz w:val="17"/>
                  <w:szCs w:val="17"/>
                  <w:color w:val="0000EE"/>
                </w:rPr>
                <w:t>with   Timothy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740" w:type="dxa"/>
            <w:vAlign w:val="bottom"/>
            <w:gridSpan w:val="7"/>
            <w:shd w:val="clear" w:color="auto" w:fill="0000EE"/>
          </w:tcPr>
          <w:p>
            <w:pPr>
              <w:spacing w:after="0" w:line="20" w:lineRule="exact"/>
              <w:rPr>
                <w:sz w:val="1"/>
                <w:szCs w:val="1"/>
                <w:color w:val="auto"/>
              </w:rPr>
            </w:pPr>
          </w:p>
        </w:tc>
        <w:tc>
          <w:tcPr>
            <w:tcW w:w="48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Borders>
              <w:bottom w:val="single" w:sz="8" w:color="0000EE"/>
            </w:tcBorders>
            <w:gridSpan w:val="22"/>
          </w:tcPr>
          <w:p>
            <w:pPr>
              <w:spacing w:after="0" w:line="188" w:lineRule="exact"/>
              <w:rPr>
                <w:rFonts w:ascii="Times New Roman" w:cs="Times New Roman" w:eastAsia="Times New Roman" w:hAnsi="Times New Roman"/>
                <w:sz w:val="17"/>
                <w:szCs w:val="17"/>
                <w:color w:val="0000EE"/>
              </w:rPr>
            </w:pPr>
            <w:hyperlink r:id="rId316">
              <w:r>
                <w:rPr>
                  <w:rFonts w:ascii="Times New Roman" w:cs="Times New Roman" w:eastAsia="Times New Roman" w:hAnsi="Times New Roman"/>
                  <w:sz w:val="17"/>
                  <w:szCs w:val="17"/>
                  <w:color w:val="0000EE"/>
                </w:rPr>
                <w:t>Stonehocker, Chief Technology Officer, dated</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0000EE"/>
            </w:tcBorders>
            <w:gridSpan w:val="4"/>
          </w:tcPr>
          <w:p>
            <w:pPr>
              <w:spacing w:after="0" w:line="188" w:lineRule="exact"/>
              <w:rPr>
                <w:rFonts w:ascii="Times New Roman" w:cs="Times New Roman" w:eastAsia="Times New Roman" w:hAnsi="Times New Roman"/>
                <w:sz w:val="17"/>
                <w:szCs w:val="17"/>
                <w:color w:val="0000EE"/>
                <w:w w:val="97"/>
              </w:rPr>
            </w:pPr>
            <w:hyperlink r:id="rId316">
              <w:r>
                <w:rPr>
                  <w:rFonts w:ascii="Times New Roman" w:cs="Times New Roman" w:eastAsia="Times New Roman" w:hAnsi="Times New Roman"/>
                  <w:sz w:val="17"/>
                  <w:szCs w:val="17"/>
                  <w:color w:val="0000EE"/>
                  <w:w w:val="97"/>
                </w:rPr>
                <w:t>June 2, 2022.</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10.12</w:t>
            </w:r>
          </w:p>
        </w:tc>
        <w:tc>
          <w:tcPr>
            <w:tcW w:w="120" w:type="dxa"/>
            <w:vAlign w:val="bottom"/>
          </w:tcPr>
          <w:p>
            <w:pPr>
              <w:spacing w:after="0"/>
              <w:rPr>
                <w:sz w:val="21"/>
                <w:szCs w:val="21"/>
                <w:color w:val="auto"/>
              </w:rPr>
            </w:pPr>
          </w:p>
        </w:tc>
        <w:tc>
          <w:tcPr>
            <w:tcW w:w="3220" w:type="dxa"/>
            <w:vAlign w:val="bottom"/>
            <w:tcBorders>
              <w:bottom w:val="single" w:sz="8" w:color="0000EE"/>
            </w:tcBorders>
            <w:gridSpan w:val="21"/>
          </w:tcPr>
          <w:p>
            <w:pPr>
              <w:spacing w:after="0"/>
              <w:rPr>
                <w:rFonts w:ascii="Times New Roman" w:cs="Times New Roman" w:eastAsia="Times New Roman" w:hAnsi="Times New Roman"/>
                <w:sz w:val="17"/>
                <w:szCs w:val="17"/>
                <w:color w:val="0000EE"/>
                <w:w w:val="99"/>
              </w:rPr>
            </w:pPr>
            <w:hyperlink r:id="rId317">
              <w:r>
                <w:rPr>
                  <w:rFonts w:ascii="Times New Roman" w:cs="Times New Roman" w:eastAsia="Times New Roman" w:hAnsi="Times New Roman"/>
                  <w:sz w:val="17"/>
                  <w:szCs w:val="17"/>
                  <w:color w:val="0000EE"/>
                  <w:w w:val="99"/>
                </w:rPr>
                <w:t>Non-Employee Director Compensation Policy.</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10.13</w:t>
            </w:r>
          </w:p>
        </w:tc>
        <w:tc>
          <w:tcPr>
            <w:tcW w:w="120" w:type="dxa"/>
            <w:vAlign w:val="bottom"/>
          </w:tcPr>
          <w:p>
            <w:pPr>
              <w:spacing w:after="0"/>
              <w:rPr>
                <w:sz w:val="19"/>
                <w:szCs w:val="19"/>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318">
              <w:r>
                <w:rPr>
                  <w:rFonts w:ascii="Times New Roman" w:cs="Times New Roman" w:eastAsia="Times New Roman" w:hAnsi="Times New Roman"/>
                  <w:sz w:val="17"/>
                  <w:szCs w:val="17"/>
                  <w:color w:val="0000EE"/>
                </w:rPr>
                <w:t>Common Stock Purchase Agreement, dated as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5"/>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740" w:type="dxa"/>
            <w:vAlign w:val="bottom"/>
            <w:gridSpan w:val="7"/>
            <w:shd w:val="clear" w:color="auto" w:fill="0000EE"/>
          </w:tcPr>
          <w:p>
            <w:pPr>
              <w:spacing w:after="0" w:line="20" w:lineRule="exact"/>
              <w:rPr>
                <w:sz w:val="1"/>
                <w:szCs w:val="1"/>
                <w:color w:val="auto"/>
              </w:rPr>
            </w:pPr>
          </w:p>
        </w:tc>
        <w:tc>
          <w:tcPr>
            <w:tcW w:w="48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22"/>
          </w:tcPr>
          <w:p>
            <w:pPr>
              <w:spacing w:after="0" w:line="188" w:lineRule="exact"/>
              <w:rPr>
                <w:rFonts w:ascii="Times New Roman" w:cs="Times New Roman" w:eastAsia="Times New Roman" w:hAnsi="Times New Roman"/>
                <w:sz w:val="17"/>
                <w:szCs w:val="17"/>
                <w:color w:val="0000EE"/>
              </w:rPr>
            </w:pPr>
            <w:hyperlink r:id="rId318">
              <w:r>
                <w:rPr>
                  <w:rFonts w:ascii="Times New Roman" w:cs="Times New Roman" w:eastAsia="Times New Roman" w:hAnsi="Times New Roman"/>
                  <w:sz w:val="17"/>
                  <w:szCs w:val="17"/>
                  <w:color w:val="0000EE"/>
                </w:rPr>
                <w:t>of  August  16,  2022,  by  and  between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5"/>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740" w:type="dxa"/>
            <w:vAlign w:val="bottom"/>
            <w:gridSpan w:val="7"/>
            <w:shd w:val="clear" w:color="auto" w:fill="0000EE"/>
          </w:tcPr>
          <w:p>
            <w:pPr>
              <w:spacing w:after="0" w:line="20" w:lineRule="exact"/>
              <w:rPr>
                <w:sz w:val="1"/>
                <w:szCs w:val="1"/>
                <w:color w:val="auto"/>
              </w:rPr>
            </w:pPr>
          </w:p>
        </w:tc>
        <w:tc>
          <w:tcPr>
            <w:tcW w:w="48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22"/>
          </w:tcPr>
          <w:p>
            <w:pPr>
              <w:spacing w:after="0" w:line="188" w:lineRule="exact"/>
              <w:rPr>
                <w:rFonts w:ascii="Times New Roman" w:cs="Times New Roman" w:eastAsia="Times New Roman" w:hAnsi="Times New Roman"/>
                <w:sz w:val="17"/>
                <w:szCs w:val="17"/>
                <w:color w:val="0000EE"/>
              </w:rPr>
            </w:pPr>
            <w:hyperlink r:id="rId318">
              <w:r>
                <w:rPr>
                  <w:rFonts w:ascii="Times New Roman" w:cs="Times New Roman" w:eastAsia="Times New Roman" w:hAnsi="Times New Roman"/>
                  <w:sz w:val="17"/>
                  <w:szCs w:val="17"/>
                  <w:color w:val="0000EE"/>
                </w:rPr>
                <w:t>SoundHound  AI,  Inc.  and  CF  Principal</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top w:val="single" w:sz="8" w:color="0000EE"/>
            </w:tcBorders>
            <w:gridSpan w:val="10"/>
          </w:tcPr>
          <w:p>
            <w:pPr>
              <w:spacing w:after="0" w:line="188" w:lineRule="exact"/>
              <w:rPr>
                <w:rFonts w:ascii="Times New Roman" w:cs="Times New Roman" w:eastAsia="Times New Roman" w:hAnsi="Times New Roman"/>
                <w:sz w:val="17"/>
                <w:szCs w:val="17"/>
                <w:color w:val="0000EE"/>
              </w:rPr>
            </w:pPr>
            <w:hyperlink r:id="rId318">
              <w:r>
                <w:rPr>
                  <w:rFonts w:ascii="Times New Roman" w:cs="Times New Roman" w:eastAsia="Times New Roman" w:hAnsi="Times New Roman"/>
                  <w:sz w:val="17"/>
                  <w:szCs w:val="17"/>
                  <w:color w:val="0000EE"/>
                </w:rPr>
                <w:t>Investments LLC.</w:t>
              </w:r>
            </w:hyperlink>
          </w:p>
        </w:tc>
        <w:tc>
          <w:tcPr>
            <w:tcW w:w="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5"/>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10.14</w:t>
            </w:r>
          </w:p>
        </w:tc>
        <w:tc>
          <w:tcPr>
            <w:tcW w:w="120" w:type="dxa"/>
            <w:vAlign w:val="bottom"/>
          </w:tcPr>
          <w:p>
            <w:pPr>
              <w:spacing w:after="0"/>
              <w:rPr>
                <w:sz w:val="19"/>
                <w:szCs w:val="19"/>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319">
              <w:r>
                <w:rPr>
                  <w:rFonts w:ascii="Times New Roman" w:cs="Times New Roman" w:eastAsia="Times New Roman" w:hAnsi="Times New Roman"/>
                  <w:sz w:val="17"/>
                  <w:szCs w:val="17"/>
                  <w:color w:val="0000EE"/>
                </w:rPr>
                <w:t>Registration Rights Agreement, dated as of</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80" w:type="dxa"/>
            <w:vAlign w:val="bottom"/>
            <w:tcBorders>
              <w:left w:val="single" w:sz="8" w:color="0000EE"/>
            </w:tcBorders>
            <w:gridSpan w:val="8"/>
            <w:shd w:val="clear" w:color="auto" w:fill="0000EE"/>
          </w:tcPr>
          <w:p>
            <w:pPr>
              <w:spacing w:after="0" w:line="20" w:lineRule="exact"/>
              <w:rPr>
                <w:sz w:val="1"/>
                <w:szCs w:val="1"/>
                <w:color w:val="auto"/>
              </w:rPr>
            </w:pPr>
          </w:p>
        </w:tc>
        <w:tc>
          <w:tcPr>
            <w:tcW w:w="740" w:type="dxa"/>
            <w:vAlign w:val="bottom"/>
            <w:gridSpan w:val="7"/>
            <w:shd w:val="clear" w:color="auto" w:fill="0000EE"/>
          </w:tcPr>
          <w:p>
            <w:pPr>
              <w:spacing w:after="0" w:line="20" w:lineRule="exact"/>
              <w:rPr>
                <w:sz w:val="1"/>
                <w:szCs w:val="1"/>
                <w:color w:val="auto"/>
              </w:rPr>
            </w:pPr>
          </w:p>
        </w:tc>
        <w:tc>
          <w:tcPr>
            <w:tcW w:w="48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Borders>
              <w:bottom w:val="single" w:sz="8" w:color="0000EE"/>
            </w:tcBorders>
            <w:gridSpan w:val="22"/>
          </w:tcPr>
          <w:p>
            <w:pPr>
              <w:spacing w:after="0" w:line="188" w:lineRule="exact"/>
              <w:rPr>
                <w:rFonts w:ascii="Times New Roman" w:cs="Times New Roman" w:eastAsia="Times New Roman" w:hAnsi="Times New Roman"/>
                <w:sz w:val="17"/>
                <w:szCs w:val="17"/>
                <w:color w:val="0000EE"/>
              </w:rPr>
            </w:pPr>
            <w:hyperlink r:id="rId319">
              <w:r>
                <w:rPr>
                  <w:rFonts w:ascii="Times New Roman" w:cs="Times New Roman" w:eastAsia="Times New Roman" w:hAnsi="Times New Roman"/>
                  <w:sz w:val="17"/>
                  <w:szCs w:val="17"/>
                  <w:color w:val="0000EE"/>
                </w:rPr>
                <w:t>August   16,   2022,   by   and   between</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22"/>
          </w:tcPr>
          <w:p>
            <w:pPr>
              <w:spacing w:after="0" w:line="188" w:lineRule="exact"/>
              <w:rPr>
                <w:rFonts w:ascii="Times New Roman" w:cs="Times New Roman" w:eastAsia="Times New Roman" w:hAnsi="Times New Roman"/>
                <w:sz w:val="17"/>
                <w:szCs w:val="17"/>
                <w:color w:val="0000EE"/>
              </w:rPr>
            </w:pPr>
            <w:hyperlink r:id="rId319">
              <w:r>
                <w:rPr>
                  <w:rFonts w:ascii="Times New Roman" w:cs="Times New Roman" w:eastAsia="Times New Roman" w:hAnsi="Times New Roman"/>
                  <w:sz w:val="17"/>
                  <w:szCs w:val="17"/>
                  <w:color w:val="0000EE"/>
                </w:rPr>
                <w:t>SoundHound  AI,  Inc.  and  CF  Principal</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top w:val="single" w:sz="8" w:color="0000EE"/>
            </w:tcBorders>
            <w:gridSpan w:val="10"/>
          </w:tcPr>
          <w:p>
            <w:pPr>
              <w:spacing w:after="0" w:line="188" w:lineRule="exact"/>
              <w:rPr>
                <w:rFonts w:ascii="Times New Roman" w:cs="Times New Roman" w:eastAsia="Times New Roman" w:hAnsi="Times New Roman"/>
                <w:sz w:val="17"/>
                <w:szCs w:val="17"/>
                <w:color w:val="0000EE"/>
              </w:rPr>
            </w:pPr>
            <w:hyperlink r:id="rId319">
              <w:r>
                <w:rPr>
                  <w:rFonts w:ascii="Times New Roman" w:cs="Times New Roman" w:eastAsia="Times New Roman" w:hAnsi="Times New Roman"/>
                  <w:sz w:val="17"/>
                  <w:szCs w:val="17"/>
                  <w:color w:val="0000EE"/>
                </w:rPr>
                <w:t>Investments LLC.</w:t>
              </w:r>
            </w:hyperlink>
          </w:p>
        </w:tc>
        <w:tc>
          <w:tcPr>
            <w:tcW w:w="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5"/>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10.15*</w:t>
            </w:r>
          </w:p>
        </w:tc>
        <w:tc>
          <w:tcPr>
            <w:tcW w:w="120" w:type="dxa"/>
            <w:vAlign w:val="bottom"/>
          </w:tcPr>
          <w:p>
            <w:pPr>
              <w:spacing w:after="0"/>
              <w:rPr>
                <w:sz w:val="19"/>
                <w:szCs w:val="19"/>
                <w:color w:val="auto"/>
              </w:rPr>
            </w:pPr>
          </w:p>
        </w:tc>
        <w:tc>
          <w:tcPr>
            <w:tcW w:w="3240" w:type="dxa"/>
            <w:vAlign w:val="bottom"/>
            <w:gridSpan w:val="22"/>
          </w:tcPr>
          <w:p>
            <w:pPr>
              <w:spacing w:after="0"/>
              <w:rPr>
                <w:sz w:val="20"/>
                <w:szCs w:val="20"/>
                <w:color w:val="auto"/>
              </w:rPr>
            </w:pPr>
            <w:r>
              <w:rPr>
                <w:rFonts w:ascii="Times New Roman" w:cs="Times New Roman" w:eastAsia="Times New Roman" w:hAnsi="Times New Roman"/>
                <w:sz w:val="17"/>
                <w:szCs w:val="17"/>
                <w:color w:val="0000EE"/>
              </w:rPr>
              <w:t>Form of Amended and Restated Side Letter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80" w:type="dxa"/>
            <w:vAlign w:val="bottom"/>
            <w:tcBorders>
              <w:left w:val="single" w:sz="8" w:color="0000EE"/>
            </w:tcBorders>
            <w:gridSpan w:val="8"/>
            <w:shd w:val="clear" w:color="auto" w:fill="0000EE"/>
          </w:tcPr>
          <w:p>
            <w:pPr>
              <w:spacing w:after="0" w:line="20" w:lineRule="exact"/>
              <w:rPr>
                <w:sz w:val="1"/>
                <w:szCs w:val="1"/>
                <w:color w:val="auto"/>
              </w:rPr>
            </w:pPr>
          </w:p>
        </w:tc>
        <w:tc>
          <w:tcPr>
            <w:tcW w:w="740" w:type="dxa"/>
            <w:vAlign w:val="bottom"/>
            <w:gridSpan w:val="7"/>
            <w:shd w:val="clear" w:color="auto" w:fill="0000EE"/>
          </w:tcPr>
          <w:p>
            <w:pPr>
              <w:spacing w:after="0" w:line="20" w:lineRule="exact"/>
              <w:rPr>
                <w:sz w:val="1"/>
                <w:szCs w:val="1"/>
                <w:color w:val="auto"/>
              </w:rPr>
            </w:pPr>
          </w:p>
        </w:tc>
        <w:tc>
          <w:tcPr>
            <w:tcW w:w="48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22"/>
          </w:tcPr>
          <w:p>
            <w:pPr>
              <w:spacing w:after="0" w:line="188" w:lineRule="exact"/>
              <w:rPr>
                <w:sz w:val="20"/>
                <w:szCs w:val="20"/>
                <w:color w:val="auto"/>
              </w:rPr>
            </w:pPr>
            <w:r>
              <w:rPr>
                <w:rFonts w:ascii="Times New Roman" w:cs="Times New Roman" w:eastAsia="Times New Roman" w:hAnsi="Times New Roman"/>
                <w:sz w:val="17"/>
                <w:szCs w:val="17"/>
                <w:color w:val="0000EE"/>
              </w:rPr>
              <w:t>Agreement by and between SoundHound AI,</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tcBorders>
              <w:top w:val="single" w:sz="8" w:color="0000EE"/>
            </w:tcBorders>
            <w:gridSpan w:val="21"/>
          </w:tcPr>
          <w:p>
            <w:pPr>
              <w:spacing w:after="0" w:line="188" w:lineRule="exact"/>
              <w:rPr>
                <w:sz w:val="20"/>
                <w:szCs w:val="20"/>
                <w:color w:val="auto"/>
              </w:rPr>
            </w:pPr>
            <w:r>
              <w:rPr>
                <w:rFonts w:ascii="Times New Roman" w:cs="Times New Roman" w:eastAsia="Times New Roman" w:hAnsi="Times New Roman"/>
                <w:sz w:val="17"/>
                <w:szCs w:val="17"/>
                <w:color w:val="0000EE"/>
              </w:rPr>
              <w:t>Inc. and CF Principal Investments LLC.</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10.16</w:t>
            </w: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80" w:type="dxa"/>
            <w:vAlign w:val="bottom"/>
            <w:tcBorders>
              <w:left w:val="single" w:sz="8" w:color="0000EE"/>
            </w:tcBorders>
            <w:gridSpan w:val="8"/>
            <w:shd w:val="clear" w:color="auto" w:fill="0000EE"/>
          </w:tcPr>
          <w:p>
            <w:pPr>
              <w:spacing w:after="0" w:line="20" w:lineRule="exact"/>
              <w:rPr>
                <w:sz w:val="1"/>
                <w:szCs w:val="1"/>
                <w:color w:val="auto"/>
              </w:rPr>
            </w:pPr>
          </w:p>
        </w:tc>
        <w:tc>
          <w:tcPr>
            <w:tcW w:w="740" w:type="dxa"/>
            <w:vAlign w:val="bottom"/>
            <w:gridSpan w:val="7"/>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320">
              <w:r>
                <w:rPr>
                  <w:rFonts w:ascii="Times New Roman" w:cs="Times New Roman" w:eastAsia="Times New Roman" w:hAnsi="Times New Roman"/>
                  <w:sz w:val="17"/>
                  <w:szCs w:val="17"/>
                  <w:color w:val="0000EE"/>
                </w:rPr>
                <w:t>Form of Preferred Stock Purchase Agreement.</w:t>
              </w:r>
            </w:hyperlink>
          </w:p>
        </w:tc>
        <w:tc>
          <w:tcPr>
            <w:tcW w:w="0" w:type="dxa"/>
            <w:vAlign w:val="bottom"/>
          </w:tcPr>
          <w:p>
            <w:pPr>
              <w:spacing w:after="0"/>
              <w:rPr>
                <w:sz w:val="1"/>
                <w:szCs w:val="1"/>
                <w:color w:val="auto"/>
              </w:rPr>
            </w:pPr>
          </w:p>
        </w:tc>
      </w:tr>
      <w:tr>
        <w:trPr>
          <w:trHeight w:val="253"/>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21.1</w:t>
            </w:r>
          </w:p>
        </w:tc>
        <w:tc>
          <w:tcPr>
            <w:tcW w:w="120" w:type="dxa"/>
            <w:vAlign w:val="bottom"/>
          </w:tcPr>
          <w:p>
            <w:pPr>
              <w:spacing w:after="0"/>
              <w:rPr>
                <w:sz w:val="21"/>
                <w:szCs w:val="21"/>
                <w:color w:val="auto"/>
              </w:rPr>
            </w:pPr>
          </w:p>
        </w:tc>
        <w:tc>
          <w:tcPr>
            <w:tcW w:w="2060" w:type="dxa"/>
            <w:vAlign w:val="bottom"/>
            <w:tcBorders>
              <w:top w:val="single" w:sz="8" w:color="0000EE"/>
            </w:tcBorders>
            <w:gridSpan w:val="10"/>
          </w:tcPr>
          <w:p>
            <w:pPr>
              <w:spacing w:after="0"/>
              <w:rPr>
                <w:rFonts w:ascii="Times New Roman" w:cs="Times New Roman" w:eastAsia="Times New Roman" w:hAnsi="Times New Roman"/>
                <w:sz w:val="17"/>
                <w:szCs w:val="17"/>
                <w:color w:val="0000EE"/>
              </w:rPr>
            </w:pPr>
            <w:hyperlink r:id="rId321">
              <w:r>
                <w:rPr>
                  <w:rFonts w:ascii="Times New Roman" w:cs="Times New Roman" w:eastAsia="Times New Roman" w:hAnsi="Times New Roman"/>
                  <w:sz w:val="17"/>
                  <w:szCs w:val="17"/>
                  <w:color w:val="0000EE"/>
                </w:rPr>
                <w:t>Subsidiaries of the Company.</w:t>
              </w:r>
            </w:hyperlink>
          </w:p>
        </w:tc>
        <w:tc>
          <w:tcPr>
            <w:tcW w:w="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80" w:type="dxa"/>
            <w:vAlign w:val="bottom"/>
            <w:tcBorders>
              <w:left w:val="single" w:sz="8" w:color="0000EE"/>
            </w:tcBorders>
            <w:gridSpan w:val="8"/>
            <w:shd w:val="clear" w:color="auto" w:fill="0000EE"/>
          </w:tcPr>
          <w:p>
            <w:pPr>
              <w:spacing w:after="0" w:line="20" w:lineRule="exact"/>
              <w:rPr>
                <w:sz w:val="1"/>
                <w:szCs w:val="1"/>
                <w:color w:val="auto"/>
              </w:rPr>
            </w:pPr>
          </w:p>
        </w:tc>
        <w:tc>
          <w:tcPr>
            <w:tcW w:w="12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tcPr>
          <w:p>
            <w:pPr>
              <w:spacing w:after="0"/>
              <w:rPr>
                <w:sz w:val="19"/>
                <w:szCs w:val="19"/>
                <w:color w:val="auto"/>
              </w:rPr>
            </w:pPr>
          </w:p>
        </w:tc>
        <w:tc>
          <w:tcPr>
            <w:tcW w:w="32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7"/>
                <w:szCs w:val="17"/>
                <w:color w:val="0000EE"/>
              </w:rPr>
              <w:t>Consent of UHY LLP dated February 10,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7"/>
                <w:szCs w:val="17"/>
                <w:color w:val="0000EE"/>
                <w:w w:val="78"/>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900" w:type="dxa"/>
            <w:vAlign w:val="bottom"/>
            <w:tcBorders>
              <w:left w:val="single" w:sz="8" w:color="0000EE"/>
            </w:tcBorders>
            <w:gridSpan w:val="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23.2*</w:t>
            </w:r>
          </w:p>
        </w:tc>
        <w:tc>
          <w:tcPr>
            <w:tcW w:w="120" w:type="dxa"/>
            <w:vAlign w:val="bottom"/>
          </w:tcPr>
          <w:p>
            <w:pPr>
              <w:spacing w:after="0"/>
              <w:rPr>
                <w:sz w:val="19"/>
                <w:szCs w:val="19"/>
                <w:color w:val="auto"/>
              </w:rPr>
            </w:pPr>
          </w:p>
        </w:tc>
        <w:tc>
          <w:tcPr>
            <w:tcW w:w="3240" w:type="dxa"/>
            <w:vAlign w:val="bottom"/>
            <w:gridSpan w:val="22"/>
          </w:tcPr>
          <w:p>
            <w:pPr>
              <w:spacing w:after="0"/>
              <w:rPr>
                <w:sz w:val="20"/>
                <w:szCs w:val="20"/>
                <w:color w:val="auto"/>
              </w:rPr>
            </w:pPr>
            <w:r>
              <w:rPr>
                <w:rFonts w:ascii="Times New Roman" w:cs="Times New Roman" w:eastAsia="Times New Roman" w:hAnsi="Times New Roman"/>
                <w:sz w:val="17"/>
                <w:szCs w:val="17"/>
                <w:color w:val="0000EE"/>
              </w:rPr>
              <w:t>Consent of Armanino LLP dated February 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7"/>
                <w:szCs w:val="17"/>
                <w:color w:val="0000EE"/>
                <w:w w:val="78"/>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-8382635</wp:posOffset>
            </wp:positionV>
            <wp:extent cx="4951095" cy="5613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2">
                      <a:extLst>
                        <a:ext uri="{28A0092B-C50C-407E-A947-70E740481C1C}"/>
                      </a:extLst>
                    </a:blip>
                    <a:srcRect/>
                    <a:stretch>
                      <a:fillRect/>
                    </a:stretch>
                  </pic:blipFill>
                  <pic:spPr bwMode="auto">
                    <a:xfrm>
                      <a:off x="0" y="0"/>
                      <a:ext cx="4951095" cy="561340"/>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-7533005</wp:posOffset>
            </wp:positionV>
            <wp:extent cx="4951095" cy="2889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3">
                      <a:extLst>
                        <a:ext uri="{28A0092B-C50C-407E-A947-70E740481C1C}"/>
                      </a:extLst>
                    </a:blip>
                    <a:srcRect/>
                    <a:stretch>
                      <a:fillRect/>
                    </a:stretch>
                  </pic:blipFill>
                  <pic:spPr bwMode="auto">
                    <a:xfrm>
                      <a:off x="0" y="0"/>
                      <a:ext cx="4951095" cy="28892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-6690995</wp:posOffset>
            </wp:positionV>
            <wp:extent cx="4951095" cy="1733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4">
                      <a:extLst>
                        <a:ext uri="{28A0092B-C50C-407E-A947-70E740481C1C}"/>
                      </a:extLst>
                    </a:blip>
                    <a:srcRect/>
                    <a:stretch>
                      <a:fillRect/>
                    </a:stretch>
                  </pic:blipFill>
                  <pic:spPr bwMode="auto">
                    <a:xfrm>
                      <a:off x="0" y="0"/>
                      <a:ext cx="4951095" cy="17335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-6229350</wp:posOffset>
            </wp:positionV>
            <wp:extent cx="4951095" cy="1733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5">
                      <a:extLst>
                        <a:ext uri="{28A0092B-C50C-407E-A947-70E740481C1C}"/>
                      </a:extLst>
                    </a:blip>
                    <a:srcRect/>
                    <a:stretch>
                      <a:fillRect/>
                    </a:stretch>
                  </pic:blipFill>
                  <pic:spPr bwMode="auto">
                    <a:xfrm>
                      <a:off x="0" y="0"/>
                      <a:ext cx="4951095" cy="17335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-5882640</wp:posOffset>
            </wp:positionV>
            <wp:extent cx="4951095" cy="1733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6">
                      <a:extLst>
                        <a:ext uri="{28A0092B-C50C-407E-A947-70E740481C1C}"/>
                      </a:extLst>
                    </a:blip>
                    <a:srcRect/>
                    <a:stretch>
                      <a:fillRect/>
                    </a:stretch>
                  </pic:blipFill>
                  <pic:spPr bwMode="auto">
                    <a:xfrm>
                      <a:off x="0" y="0"/>
                      <a:ext cx="4951095" cy="17335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-5535930</wp:posOffset>
            </wp:positionV>
            <wp:extent cx="4951095" cy="1733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7">
                      <a:extLst>
                        <a:ext uri="{28A0092B-C50C-407E-A947-70E740481C1C}"/>
                      </a:extLst>
                    </a:blip>
                    <a:srcRect/>
                    <a:stretch>
                      <a:fillRect/>
                    </a:stretch>
                  </pic:blipFill>
                  <pic:spPr bwMode="auto">
                    <a:xfrm>
                      <a:off x="0" y="0"/>
                      <a:ext cx="4951095" cy="17335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-4810125</wp:posOffset>
            </wp:positionV>
            <wp:extent cx="4951095" cy="2889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8">
                      <a:extLst>
                        <a:ext uri="{28A0092B-C50C-407E-A947-70E740481C1C}"/>
                      </a:extLst>
                    </a:blip>
                    <a:srcRect/>
                    <a:stretch>
                      <a:fillRect/>
                    </a:stretch>
                  </pic:blipFill>
                  <pic:spPr bwMode="auto">
                    <a:xfrm>
                      <a:off x="0" y="0"/>
                      <a:ext cx="4951095" cy="28892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-4232275</wp:posOffset>
            </wp:positionV>
            <wp:extent cx="4951095" cy="1733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9">
                      <a:extLst>
                        <a:ext uri="{28A0092B-C50C-407E-A947-70E740481C1C}"/>
                      </a:extLst>
                    </a:blip>
                    <a:srcRect/>
                    <a:stretch>
                      <a:fillRect/>
                    </a:stretch>
                  </pic:blipFill>
                  <pic:spPr bwMode="auto">
                    <a:xfrm>
                      <a:off x="0" y="0"/>
                      <a:ext cx="4951095" cy="17335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-3885565</wp:posOffset>
            </wp:positionV>
            <wp:extent cx="4951095" cy="1733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0">
                      <a:extLst>
                        <a:ext uri="{28A0092B-C50C-407E-A947-70E740481C1C}"/>
                      </a:extLst>
                    </a:blip>
                    <a:srcRect/>
                    <a:stretch>
                      <a:fillRect/>
                    </a:stretch>
                  </pic:blipFill>
                  <pic:spPr bwMode="auto">
                    <a:xfrm>
                      <a:off x="0" y="0"/>
                      <a:ext cx="4951095" cy="17335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-3291840</wp:posOffset>
            </wp:positionV>
            <wp:extent cx="4951095" cy="2889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1">
                      <a:extLst>
                        <a:ext uri="{28A0092B-C50C-407E-A947-70E740481C1C}"/>
                      </a:extLst>
                    </a:blip>
                    <a:srcRect/>
                    <a:stretch>
                      <a:fillRect/>
                    </a:stretch>
                  </pic:blipFill>
                  <pic:spPr bwMode="auto">
                    <a:xfrm>
                      <a:off x="0" y="0"/>
                      <a:ext cx="4951095" cy="28892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-2581910</wp:posOffset>
            </wp:positionV>
            <wp:extent cx="4951095" cy="1733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2">
                      <a:extLst>
                        <a:ext uri="{28A0092B-C50C-407E-A947-70E740481C1C}"/>
                      </a:extLst>
                    </a:blip>
                    <a:srcRect/>
                    <a:stretch>
                      <a:fillRect/>
                    </a:stretch>
                  </pic:blipFill>
                  <pic:spPr bwMode="auto">
                    <a:xfrm>
                      <a:off x="0" y="0"/>
                      <a:ext cx="4951095" cy="17335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-1856105</wp:posOffset>
            </wp:positionV>
            <wp:extent cx="4951095" cy="5530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3">
                      <a:extLst>
                        <a:ext uri="{28A0092B-C50C-407E-A947-70E740481C1C}"/>
                      </a:extLst>
                    </a:blip>
                    <a:srcRect/>
                    <a:stretch>
                      <a:fillRect/>
                    </a:stretch>
                  </pic:blipFill>
                  <pic:spPr bwMode="auto">
                    <a:xfrm>
                      <a:off x="0" y="0"/>
                      <a:ext cx="4951095" cy="55308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-882015</wp:posOffset>
            </wp:positionV>
            <wp:extent cx="4951095" cy="1733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4">
                      <a:extLst>
                        <a:ext uri="{28A0092B-C50C-407E-A947-70E740481C1C}"/>
                      </a:extLst>
                    </a:blip>
                    <a:srcRect/>
                    <a:stretch>
                      <a:fillRect/>
                    </a:stretch>
                  </pic:blipFill>
                  <pic:spPr bwMode="auto">
                    <a:xfrm>
                      <a:off x="0" y="0"/>
                      <a:ext cx="4951095" cy="17335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-535940</wp:posOffset>
            </wp:positionV>
            <wp:extent cx="4951095" cy="2889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5">
                      <a:extLst>
                        <a:ext uri="{28A0092B-C50C-407E-A947-70E740481C1C}"/>
                      </a:extLst>
                    </a:blip>
                    <a:srcRect/>
                    <a:stretch>
                      <a:fillRect/>
                    </a:stretch>
                  </pic:blipFill>
                  <pic:spPr bwMode="auto">
                    <a:xfrm>
                      <a:off x="0" y="0"/>
                      <a:ext cx="4951095" cy="288925"/>
                    </a:xfrm>
                    <a:prstGeom prst="rect">
                      <a:avLst/>
                    </a:prstGeom>
                    <a:noFill/>
                  </pic:spPr>
                </pic:pic>
              </a:graphicData>
            </a:graphic>
          </wp:anchor>
        </w:drawing>
      </w:r>
    </w:p>
    <w:p>
      <w:pPr>
        <w:spacing w:after="0" w:line="19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41910</wp:posOffset>
            </wp:positionV>
            <wp:extent cx="22853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7">
                      <a:extLst>
                        <a:ext uri="{28A0092B-C50C-407E-A947-70E740481C1C}"/>
                      </a:extLst>
                    </a:blip>
                    <a:srcRect/>
                    <a:stretch>
                      <a:fillRect/>
                    </a:stretch>
                  </pic:blipFill>
                  <pic:spPr bwMode="auto">
                    <a:xfrm>
                      <a:off x="0" y="0"/>
                      <a:ext cx="2285365" cy="8255"/>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Exhibit</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Filing Date</w:t>
            </w:r>
          </w:p>
        </w:tc>
        <w:tc>
          <w:tcPr>
            <w:tcW w:w="0" w:type="dxa"/>
            <w:vAlign w:val="bottom"/>
          </w:tcPr>
          <w:p>
            <w:pPr>
              <w:spacing w:after="0"/>
              <w:rPr>
                <w:sz w:val="1"/>
                <w:szCs w:val="1"/>
                <w:color w:val="auto"/>
              </w:rPr>
            </w:pPr>
          </w:p>
        </w:tc>
      </w:tr>
      <w:tr>
        <w:trPr>
          <w:trHeight w:val="45"/>
        </w:trPr>
        <w:tc>
          <w:tcPr>
            <w:tcW w:w="116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80" w:type="dxa"/>
            <w:vAlign w:val="bottom"/>
            <w:vMerge w:val="continue"/>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vMerge w:val="continue"/>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16, 2021</w:t>
            </w:r>
          </w:p>
        </w:tc>
        <w:tc>
          <w:tcPr>
            <w:tcW w:w="0" w:type="dxa"/>
            <w:vAlign w:val="bottom"/>
          </w:tcPr>
          <w:p>
            <w:pPr>
              <w:spacing w:after="0"/>
              <w:rPr>
                <w:sz w:val="1"/>
                <w:szCs w:val="1"/>
                <w:color w:val="auto"/>
              </w:rPr>
            </w:pPr>
          </w:p>
        </w:tc>
      </w:tr>
      <w:tr>
        <w:trPr>
          <w:trHeight w:val="852"/>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455"/>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455"/>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January 24, 2023</w:t>
            </w:r>
          </w:p>
        </w:tc>
        <w:tc>
          <w:tcPr>
            <w:tcW w:w="0" w:type="dxa"/>
            <w:vAlign w:val="bottom"/>
          </w:tcPr>
          <w:p>
            <w:pPr>
              <w:spacing w:after="0"/>
              <w:rPr>
                <w:sz w:val="1"/>
                <w:szCs w:val="1"/>
                <w:color w:val="auto"/>
              </w:rPr>
            </w:pPr>
          </w:p>
        </w:tc>
      </w:tr>
      <w:tr>
        <w:trPr>
          <w:trHeight w:val="871"/>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S-1</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16, 2022</w:t>
            </w:r>
          </w:p>
        </w:tc>
        <w:tc>
          <w:tcPr>
            <w:tcW w:w="0" w:type="dxa"/>
            <w:vAlign w:val="bottom"/>
          </w:tcPr>
          <w:p>
            <w:pPr>
              <w:spacing w:after="0"/>
              <w:rPr>
                <w:sz w:val="1"/>
                <w:szCs w:val="1"/>
                <w:color w:val="auto"/>
              </w:rPr>
            </w:pPr>
          </w:p>
        </w:tc>
      </w:tr>
      <w:tr>
        <w:trPr>
          <w:trHeight w:val="455"/>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S-1</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16, 2022</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S-1</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September 19, 2022</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16, 2021</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16, 2021</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S-1</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16, 2022</w:t>
            </w:r>
          </w:p>
        </w:tc>
        <w:tc>
          <w:tcPr>
            <w:tcW w:w="0" w:type="dxa"/>
            <w:vAlign w:val="bottom"/>
          </w:tcPr>
          <w:p>
            <w:pPr>
              <w:spacing w:after="0"/>
              <w:rPr>
                <w:sz w:val="1"/>
                <w:szCs w:val="1"/>
                <w:color w:val="auto"/>
              </w:rPr>
            </w:pPr>
          </w:p>
        </w:tc>
      </w:tr>
      <w:tr>
        <w:trPr>
          <w:trHeight w:val="852"/>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Proxy</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Annex D</w:t>
            </w: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8, 2022</w:t>
            </w:r>
          </w:p>
        </w:tc>
        <w:tc>
          <w:tcPr>
            <w:tcW w:w="0" w:type="dxa"/>
            <w:vAlign w:val="bottom"/>
          </w:tcPr>
          <w:p>
            <w:pPr>
              <w:spacing w:after="0"/>
              <w:rPr>
                <w:sz w:val="1"/>
                <w:szCs w:val="1"/>
                <w:color w:val="auto"/>
              </w:rPr>
            </w:pPr>
          </w:p>
        </w:tc>
      </w:tr>
      <w:tr>
        <w:trPr>
          <w:trHeight w:val="226"/>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Statement</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Proxy</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Annex E</w:t>
            </w: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8, 2022</w:t>
            </w:r>
          </w:p>
        </w:tc>
        <w:tc>
          <w:tcPr>
            <w:tcW w:w="0" w:type="dxa"/>
            <w:vAlign w:val="bottom"/>
          </w:tcPr>
          <w:p>
            <w:pPr>
              <w:spacing w:after="0"/>
              <w:rPr>
                <w:sz w:val="1"/>
                <w:szCs w:val="1"/>
                <w:color w:val="auto"/>
              </w:rPr>
            </w:pPr>
          </w:p>
        </w:tc>
      </w:tr>
      <w:tr>
        <w:trPr>
          <w:trHeight w:val="226"/>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Statement</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10.10</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8, 2022</w:t>
            </w:r>
          </w:p>
        </w:tc>
        <w:tc>
          <w:tcPr>
            <w:tcW w:w="0" w:type="dxa"/>
            <w:vAlign w:val="bottom"/>
          </w:tcPr>
          <w:p>
            <w:pPr>
              <w:spacing w:after="0"/>
              <w:rPr>
                <w:sz w:val="1"/>
                <w:szCs w:val="1"/>
                <w:color w:val="auto"/>
              </w:rPr>
            </w:pPr>
          </w:p>
        </w:tc>
      </w:tr>
      <w:tr>
        <w:trPr>
          <w:trHeight w:val="66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8, 2022</w:t>
            </w:r>
          </w:p>
        </w:tc>
        <w:tc>
          <w:tcPr>
            <w:tcW w:w="0" w:type="dxa"/>
            <w:vAlign w:val="bottom"/>
          </w:tcPr>
          <w:p>
            <w:pPr>
              <w:spacing w:after="0"/>
              <w:rPr>
                <w:sz w:val="1"/>
                <w:szCs w:val="1"/>
                <w:color w:val="auto"/>
              </w:rPr>
            </w:pPr>
          </w:p>
        </w:tc>
      </w:tr>
      <w:tr>
        <w:trPr>
          <w:trHeight w:val="455"/>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8, 2022</w:t>
            </w:r>
          </w:p>
        </w:tc>
        <w:tc>
          <w:tcPr>
            <w:tcW w:w="0" w:type="dxa"/>
            <w:vAlign w:val="bottom"/>
          </w:tcPr>
          <w:p>
            <w:pPr>
              <w:spacing w:after="0"/>
              <w:rPr>
                <w:sz w:val="1"/>
                <w:szCs w:val="1"/>
                <w:color w:val="auto"/>
              </w:rPr>
            </w:pPr>
          </w:p>
        </w:tc>
      </w:tr>
      <w:tr>
        <w:trPr>
          <w:trHeight w:val="66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8, 2022</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August 16, 2022</w:t>
            </w:r>
          </w:p>
        </w:tc>
        <w:tc>
          <w:tcPr>
            <w:tcW w:w="0" w:type="dxa"/>
            <w:vAlign w:val="bottom"/>
          </w:tcPr>
          <w:p>
            <w:pPr>
              <w:spacing w:after="0"/>
              <w:rPr>
                <w:sz w:val="1"/>
                <w:szCs w:val="1"/>
                <w:color w:val="auto"/>
              </w:rPr>
            </w:pPr>
          </w:p>
        </w:tc>
      </w:tr>
      <w:tr>
        <w:trPr>
          <w:trHeight w:val="871"/>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August 16, 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440" w:type="dxa"/>
        <w:tblCellMar>
          <w:top w:w="0" w:type="dxa"/>
          <w:left w:w="0" w:type="dxa"/>
          <w:bottom w:w="0" w:type="dxa"/>
          <w:right w:w="0" w:type="dxa"/>
        </w:tblCellMar>
      </w:tblPr>
      <w:tr>
        <w:trPr>
          <w:trHeight w:val="226"/>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3.1</w:t>
            </w:r>
          </w:p>
        </w:tc>
        <w:tc>
          <w:tcPr>
            <w:tcW w:w="1420" w:type="dxa"/>
            <w:vAlign w:val="bottom"/>
          </w:tcPr>
          <w:p>
            <w:pPr>
              <w:jc w:val="center"/>
              <w:ind w:left="153"/>
              <w:spacing w:after="0"/>
              <w:rPr>
                <w:sz w:val="20"/>
                <w:szCs w:val="20"/>
                <w:color w:val="auto"/>
              </w:rPr>
            </w:pPr>
            <w:r>
              <w:rPr>
                <w:rFonts w:ascii="Times New Roman" w:cs="Times New Roman" w:eastAsia="Times New Roman" w:hAnsi="Times New Roman"/>
                <w:sz w:val="17"/>
                <w:szCs w:val="17"/>
                <w:color w:val="auto"/>
              </w:rPr>
              <w:t>January 24, 2023</w:t>
            </w:r>
          </w:p>
        </w:tc>
      </w:tr>
      <w:tr>
        <w:trPr>
          <w:trHeight w:val="273"/>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9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21.1</w:t>
            </w:r>
          </w:p>
        </w:tc>
        <w:tc>
          <w:tcPr>
            <w:tcW w:w="142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rPr>
              <w:t>May 2, 2022</w:t>
            </w:r>
          </w:p>
        </w:tc>
      </w:tr>
    </w:tbl>
    <w:p>
      <w:pPr>
        <w:sectPr>
          <w:pgSz w:w="11900" w:h="16838" w:orient="portrait"/>
          <w:cols w:equalWidth="0" w:num="2">
            <w:col w:w="4720" w:space="80"/>
            <w:col w:w="4219"/>
          </w:cols>
          <w:pgMar w:left="1440" w:top="264" w:right="1440" w:bottom="1065" w:gutter="0" w:footer="0" w:header="0"/>
        </w:sectPr>
      </w:pPr>
    </w:p>
    <w:bookmarkStart w:id="262" w:name="page263"/>
    <w:bookmarkEnd w:id="26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4"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0" w:type="dxa"/>
            <w:vAlign w:val="bottom"/>
          </w:tcPr>
          <w:p>
            <w:pPr>
              <w:spacing w:after="0"/>
              <w:rPr>
                <w:sz w:val="1"/>
                <w:szCs w:val="1"/>
                <w:color w:val="auto"/>
              </w:rPr>
            </w:pPr>
          </w:p>
        </w:tc>
      </w:tr>
      <w:tr>
        <w:trPr>
          <w:trHeight w:val="45"/>
        </w:trPr>
        <w:tc>
          <w:tcPr>
            <w:tcW w:w="7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4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center"/>
              <w:ind w:left="216"/>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Exhibit</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Filing Date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8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99.1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0000EE"/>
            </w:tcBorders>
            <w:shd w:val="clear" w:color="auto" w:fill="CCEEFF"/>
          </w:tcPr>
          <w:p>
            <w:pPr>
              <w:spacing w:after="0"/>
              <w:rPr>
                <w:sz w:val="20"/>
                <w:szCs w:val="20"/>
                <w:color w:val="auto"/>
              </w:rPr>
            </w:pPr>
          </w:p>
        </w:tc>
        <w:tc>
          <w:tcPr>
            <w:tcW w:w="2480" w:type="dxa"/>
            <w:vAlign w:val="bottom"/>
            <w:tcBorders>
              <w:bottom w:val="single" w:sz="8" w:color="0000EE"/>
            </w:tcBorders>
            <w:gridSpan w:val="3"/>
            <w:shd w:val="clear" w:color="auto" w:fill="CCEEFF"/>
          </w:tcPr>
          <w:p>
            <w:pPr>
              <w:spacing w:after="0" w:line="175" w:lineRule="exact"/>
              <w:rPr>
                <w:rFonts w:ascii="Times New Roman" w:cs="Times New Roman" w:eastAsia="Times New Roman" w:hAnsi="Times New Roman"/>
                <w:sz w:val="17"/>
                <w:szCs w:val="17"/>
                <w:color w:val="0000EE"/>
                <w:w w:val="99"/>
              </w:rPr>
            </w:pPr>
            <w:hyperlink r:id="rId338">
              <w:r>
                <w:rPr>
                  <w:rFonts w:ascii="Times New Roman" w:cs="Times New Roman" w:eastAsia="Times New Roman" w:hAnsi="Times New Roman"/>
                  <w:sz w:val="17"/>
                  <w:szCs w:val="17"/>
                  <w:color w:val="0000EE"/>
                  <w:w w:val="99"/>
                </w:rPr>
                <w:t>Press Release, dated April 27, 2022.</w:t>
              </w:r>
            </w:hyperlink>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center"/>
              <w:ind w:left="216"/>
              <w:spacing w:after="0" w:line="175" w:lineRule="exact"/>
              <w:rPr>
                <w:sz w:val="20"/>
                <w:szCs w:val="20"/>
                <w:color w:val="auto"/>
              </w:rPr>
            </w:pPr>
            <w:r>
              <w:rPr>
                <w:rFonts w:ascii="Times New Roman" w:cs="Times New Roman" w:eastAsia="Times New Roman" w:hAnsi="Times New Roman"/>
                <w:sz w:val="17"/>
                <w:szCs w:val="17"/>
                <w:color w:val="auto"/>
                <w:w w:val="98"/>
              </w:rPr>
              <w:t>8-K</w:t>
            </w: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7"/>
                <w:szCs w:val="17"/>
                <w:color w:val="auto"/>
              </w:rPr>
              <w:t>99.1</w:t>
            </w:r>
          </w:p>
        </w:tc>
        <w:tc>
          <w:tcPr>
            <w:tcW w:w="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Borders>
              <w:top w:val="single" w:sz="8" w:color="CCEEFF"/>
            </w:tcBorders>
          </w:tcPr>
          <w:p>
            <w:pPr>
              <w:spacing w:after="0" w:line="169" w:lineRule="exact"/>
              <w:rPr>
                <w:sz w:val="20"/>
                <w:szCs w:val="20"/>
                <w:color w:val="auto"/>
              </w:rPr>
            </w:pPr>
            <w:r>
              <w:rPr>
                <w:rFonts w:ascii="Times New Roman" w:cs="Times New Roman" w:eastAsia="Times New Roman" w:hAnsi="Times New Roman"/>
                <w:sz w:val="17"/>
                <w:szCs w:val="17"/>
                <w:color w:val="auto"/>
              </w:rPr>
              <w:t>99.2</w:t>
            </w:r>
          </w:p>
        </w:tc>
        <w:tc>
          <w:tcPr>
            <w:tcW w:w="100" w:type="dxa"/>
            <w:vAlign w:val="bottom"/>
            <w:tcBorders>
              <w:top w:val="single" w:sz="8" w:color="CCEEFF"/>
            </w:tcBorders>
          </w:tcPr>
          <w:p>
            <w:pPr>
              <w:spacing w:after="0"/>
              <w:rPr>
                <w:sz w:val="14"/>
                <w:szCs w:val="14"/>
                <w:color w:val="auto"/>
              </w:rPr>
            </w:pPr>
          </w:p>
        </w:tc>
        <w:tc>
          <w:tcPr>
            <w:tcW w:w="3260" w:type="dxa"/>
            <w:vAlign w:val="bottom"/>
            <w:tcBorders>
              <w:top w:val="single" w:sz="8" w:color="CCEEFF"/>
              <w:bottom w:val="single" w:sz="8" w:color="0000EE"/>
            </w:tcBorders>
            <w:gridSpan w:val="6"/>
          </w:tcPr>
          <w:p>
            <w:pPr>
              <w:spacing w:after="0" w:line="169" w:lineRule="exact"/>
              <w:rPr>
                <w:rFonts w:ascii="Times New Roman" w:cs="Times New Roman" w:eastAsia="Times New Roman" w:hAnsi="Times New Roman"/>
                <w:sz w:val="17"/>
                <w:szCs w:val="17"/>
                <w:color w:val="0000EE"/>
              </w:rPr>
            </w:pPr>
            <w:hyperlink r:id="rId339">
              <w:r>
                <w:rPr>
                  <w:rFonts w:ascii="Times New Roman" w:cs="Times New Roman" w:eastAsia="Times New Roman" w:hAnsi="Times New Roman"/>
                  <w:sz w:val="17"/>
                  <w:szCs w:val="17"/>
                  <w:color w:val="0000EE"/>
                </w:rPr>
                <w:t>Unaudited Pro Forma Condensed Combined</w:t>
              </w:r>
            </w:hyperlink>
          </w:p>
        </w:tc>
        <w:tc>
          <w:tcPr>
            <w:tcW w:w="80" w:type="dxa"/>
            <w:vAlign w:val="bottom"/>
            <w:tcBorders>
              <w:top w:val="single" w:sz="8" w:color="CCEEFF"/>
            </w:tcBorders>
            <w:gridSpan w:val="2"/>
          </w:tcPr>
          <w:p>
            <w:pPr>
              <w:spacing w:after="0"/>
              <w:rPr>
                <w:sz w:val="14"/>
                <w:szCs w:val="14"/>
                <w:color w:val="auto"/>
              </w:rPr>
            </w:pPr>
          </w:p>
        </w:tc>
        <w:tc>
          <w:tcPr>
            <w:tcW w:w="840" w:type="dxa"/>
            <w:vAlign w:val="bottom"/>
            <w:tcBorders>
              <w:top w:val="single" w:sz="8" w:color="CCEEFF"/>
            </w:tcBorders>
          </w:tcPr>
          <w:p>
            <w:pPr>
              <w:jc w:val="center"/>
              <w:ind w:left="216"/>
              <w:spacing w:after="0" w:line="169" w:lineRule="exact"/>
              <w:rPr>
                <w:sz w:val="20"/>
                <w:szCs w:val="20"/>
                <w:color w:val="auto"/>
              </w:rPr>
            </w:pPr>
            <w:r>
              <w:rPr>
                <w:rFonts w:ascii="Times New Roman" w:cs="Times New Roman" w:eastAsia="Times New Roman" w:hAnsi="Times New Roman"/>
                <w:sz w:val="17"/>
                <w:szCs w:val="17"/>
                <w:color w:val="auto"/>
                <w:w w:val="98"/>
              </w:rPr>
              <w:t>8-K</w:t>
            </w:r>
          </w:p>
        </w:tc>
        <w:tc>
          <w:tcPr>
            <w:tcW w:w="1060" w:type="dxa"/>
            <w:vAlign w:val="bottom"/>
            <w:tcBorders>
              <w:top w:val="single" w:sz="8" w:color="CCEEFF"/>
            </w:tcBorders>
            <w:gridSpan w:val="3"/>
          </w:tcPr>
          <w:p>
            <w:pPr>
              <w:jc w:val="center"/>
              <w:ind w:left="318"/>
              <w:spacing w:after="0" w:line="169" w:lineRule="exact"/>
              <w:rPr>
                <w:sz w:val="20"/>
                <w:szCs w:val="20"/>
                <w:color w:val="auto"/>
              </w:rPr>
            </w:pPr>
            <w:r>
              <w:rPr>
                <w:rFonts w:ascii="Times New Roman" w:cs="Times New Roman" w:eastAsia="Times New Roman" w:hAnsi="Times New Roman"/>
                <w:sz w:val="17"/>
                <w:szCs w:val="17"/>
                <w:color w:val="auto"/>
              </w:rPr>
              <w:t>99.2</w:t>
            </w:r>
          </w:p>
        </w:tc>
        <w:tc>
          <w:tcPr>
            <w:tcW w:w="8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jc w:val="center"/>
              <w:spacing w:after="0" w:line="169" w:lineRule="exact"/>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40" w:type="dxa"/>
            <w:vAlign w:val="bottom"/>
            <w:gridSpan w:val="8"/>
          </w:tcPr>
          <w:p>
            <w:pPr>
              <w:spacing w:after="0" w:line="188" w:lineRule="exact"/>
              <w:rPr>
                <w:rFonts w:ascii="Times New Roman" w:cs="Times New Roman" w:eastAsia="Times New Roman" w:hAnsi="Times New Roman"/>
                <w:sz w:val="17"/>
                <w:szCs w:val="17"/>
                <w:color w:val="0000EE"/>
              </w:rPr>
            </w:pPr>
            <w:hyperlink r:id="rId339">
              <w:r>
                <w:rPr>
                  <w:rFonts w:ascii="Times New Roman" w:cs="Times New Roman" w:eastAsia="Times New Roman" w:hAnsi="Times New Roman"/>
                  <w:sz w:val="17"/>
                  <w:szCs w:val="17"/>
                  <w:color w:val="0000EE"/>
                </w:rPr>
                <w:t>Financial Statements of the Company.</w:t>
              </w:r>
            </w:hyperlink>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101.INS</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101.SCH</w:t>
            </w:r>
          </w:p>
        </w:tc>
        <w:tc>
          <w:tcPr>
            <w:tcW w:w="100" w:type="dxa"/>
            <w:vAlign w:val="bottom"/>
          </w:tcPr>
          <w:p>
            <w:pPr>
              <w:spacing w:after="0"/>
              <w:rPr>
                <w:sz w:val="16"/>
                <w:szCs w:val="16"/>
                <w:color w:val="auto"/>
              </w:rPr>
            </w:pPr>
          </w:p>
        </w:tc>
        <w:tc>
          <w:tcPr>
            <w:tcW w:w="3340" w:type="dxa"/>
            <w:vAlign w:val="bottom"/>
            <w:gridSpan w:val="8"/>
          </w:tcPr>
          <w:p>
            <w:pPr>
              <w:spacing w:after="0" w:line="189" w:lineRule="exact"/>
              <w:rPr>
                <w:sz w:val="20"/>
                <w:szCs w:val="20"/>
                <w:color w:val="auto"/>
              </w:rPr>
            </w:pPr>
            <w:r>
              <w:rPr>
                <w:rFonts w:ascii="Times New Roman" w:cs="Times New Roman" w:eastAsia="Times New Roman" w:hAnsi="Times New Roman"/>
                <w:sz w:val="17"/>
                <w:szCs w:val="17"/>
                <w:color w:val="auto"/>
              </w:rPr>
              <w:t>Inline XBRL Taxonomy Extension Schema</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Document.</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7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101.CAL</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Inline</w:t>
            </w:r>
          </w:p>
        </w:tc>
        <w:tc>
          <w:tcPr>
            <w:tcW w:w="9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XBRL</w:t>
            </w:r>
          </w:p>
        </w:tc>
        <w:tc>
          <w:tcPr>
            <w:tcW w:w="104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7"/>
                <w:szCs w:val="17"/>
                <w:color w:val="auto"/>
              </w:rPr>
              <w:t>Taxonomy</w:t>
            </w:r>
          </w:p>
        </w:tc>
        <w:tc>
          <w:tcPr>
            <w:tcW w:w="840" w:type="dxa"/>
            <w:vAlign w:val="bottom"/>
            <w:gridSpan w:val="4"/>
            <w:shd w:val="clear" w:color="auto" w:fill="CCEEFF"/>
          </w:tcPr>
          <w:p>
            <w:pPr>
              <w:ind w:left="60"/>
              <w:spacing w:after="0" w:line="189" w:lineRule="exact"/>
              <w:rPr>
                <w:sz w:val="20"/>
                <w:szCs w:val="20"/>
                <w:color w:val="auto"/>
              </w:rPr>
            </w:pPr>
            <w:r>
              <w:rPr>
                <w:rFonts w:ascii="Times New Roman" w:cs="Times New Roman" w:eastAsia="Times New Roman" w:hAnsi="Times New Roman"/>
                <w:sz w:val="17"/>
                <w:szCs w:val="17"/>
                <w:color w:val="auto"/>
              </w:rPr>
              <w:t>Extension</w:t>
            </w: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Calculation Linkbase Document.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101.DEF</w:t>
            </w:r>
          </w:p>
        </w:tc>
        <w:tc>
          <w:tcPr>
            <w:tcW w:w="100" w:type="dxa"/>
            <w:vAlign w:val="bottom"/>
          </w:tcPr>
          <w:p>
            <w:pPr>
              <w:spacing w:after="0"/>
              <w:rPr>
                <w:sz w:val="16"/>
                <w:szCs w:val="16"/>
                <w:color w:val="auto"/>
              </w:rPr>
            </w:pPr>
          </w:p>
        </w:tc>
        <w:tc>
          <w:tcPr>
            <w:tcW w:w="3340" w:type="dxa"/>
            <w:vAlign w:val="bottom"/>
            <w:gridSpan w:val="8"/>
          </w:tcPr>
          <w:p>
            <w:pPr>
              <w:spacing w:after="0" w:line="189" w:lineRule="exact"/>
              <w:rPr>
                <w:sz w:val="20"/>
                <w:szCs w:val="20"/>
                <w:color w:val="auto"/>
              </w:rPr>
            </w:pPr>
            <w:r>
              <w:rPr>
                <w:rFonts w:ascii="Times New Roman" w:cs="Times New Roman" w:eastAsia="Times New Roman" w:hAnsi="Times New Roman"/>
                <w:sz w:val="17"/>
                <w:szCs w:val="17"/>
                <w:color w:val="auto"/>
              </w:rPr>
              <w:t>Inline XBRL Taxonomy Extension Definition</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Linkbase Document.</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0" w:type="dxa"/>
            <w:vAlign w:val="bottom"/>
            <w:gridSpan w:val="4"/>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7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101.LAB</w:t>
            </w:r>
          </w:p>
        </w:tc>
        <w:tc>
          <w:tcPr>
            <w:tcW w:w="100" w:type="dxa"/>
            <w:vAlign w:val="bottom"/>
            <w:shd w:val="clear" w:color="auto" w:fill="CCEEFF"/>
          </w:tcPr>
          <w:p>
            <w:pPr>
              <w:spacing w:after="0"/>
              <w:rPr>
                <w:sz w:val="16"/>
                <w:szCs w:val="16"/>
                <w:color w:val="auto"/>
              </w:rPr>
            </w:pPr>
          </w:p>
        </w:tc>
        <w:tc>
          <w:tcPr>
            <w:tcW w:w="334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Inline  XBRL  Taxonomy  Extension  Label</w:t>
            </w: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Linkbase Document.</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10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Inline</w:t>
            </w:r>
          </w:p>
        </w:tc>
        <w:tc>
          <w:tcPr>
            <w:tcW w:w="9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XBRL</w:t>
            </w:r>
          </w:p>
        </w:tc>
        <w:tc>
          <w:tcPr>
            <w:tcW w:w="10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Taxonomy</w:t>
            </w: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Extension</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460"/>
        <w:spacing w:after="0"/>
        <w:rPr>
          <w:sz w:val="20"/>
          <w:szCs w:val="20"/>
          <w:color w:val="auto"/>
        </w:rPr>
      </w:pPr>
      <w:r>
        <w:rPr>
          <w:rFonts w:ascii="Times New Roman" w:cs="Times New Roman" w:eastAsia="Times New Roman" w:hAnsi="Times New Roman"/>
          <w:sz w:val="17"/>
          <w:szCs w:val="17"/>
          <w:color w:val="auto"/>
        </w:rPr>
        <w:t>Presentation Linkbase Document.</w:t>
      </w:r>
    </w:p>
    <w:p>
      <w:pPr>
        <w:spacing w:after="0" w:line="31" w:lineRule="exact"/>
        <w:rPr>
          <w:sz w:val="20"/>
          <w:szCs w:val="20"/>
          <w:color w:val="auto"/>
        </w:rPr>
      </w:pPr>
    </w:p>
    <w:p>
      <w:pPr>
        <w:ind w:left="1460" w:right="4319" w:hanging="854"/>
        <w:spacing w:after="0" w:line="279" w:lineRule="auto"/>
        <w:tabs>
          <w:tab w:leader="none" w:pos="146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-276225</wp:posOffset>
            </wp:positionV>
            <wp:extent cx="4951095" cy="2889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0">
                      <a:extLst>
                        <a:ext uri="{28A0092B-C50C-407E-A947-70E740481C1C}"/>
                      </a:extLst>
                    </a:blip>
                    <a:srcRect/>
                    <a:stretch>
                      <a:fillRect/>
                    </a:stretch>
                  </pic:blipFill>
                  <pic:spPr bwMode="auto">
                    <a:xfrm>
                      <a:off x="0" y="0"/>
                      <a:ext cx="4951095" cy="288925"/>
                    </a:xfrm>
                    <a:prstGeom prst="rect">
                      <a:avLst/>
                    </a:prstGeom>
                    <a:noFill/>
                  </pic:spPr>
                </pic:pic>
              </a:graphicData>
            </a:graphic>
          </wp:anchor>
        </w:drawing>
      </w:r>
    </w:p>
    <w:p>
      <w:pPr>
        <w:ind w:left="600"/>
        <w:spacing w:after="0"/>
        <w:tabs>
          <w:tab w:leader="none" w:pos="14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107**</w:t>
      </w:r>
      <w:r>
        <w:rPr>
          <w:sz w:val="20"/>
          <w:szCs w:val="20"/>
          <w:color w:val="auto"/>
        </w:rPr>
        <w:tab/>
      </w:r>
      <w:hyperlink r:id="rId341">
        <w:r>
          <w:rPr>
            <w:rFonts w:ascii="Times New Roman" w:cs="Times New Roman" w:eastAsia="Times New Roman" w:hAnsi="Times New Roman"/>
            <w:sz w:val="17"/>
            <w:szCs w:val="17"/>
            <w:u w:val="single" w:color="auto"/>
            <w:color w:val="0000EE"/>
          </w:rPr>
          <w:t>Calculation of Filing Fees Table.</w:t>
        </w:r>
      </w:hyperlink>
    </w:p>
    <w:p>
      <w:pPr>
        <w:spacing w:after="0" w:line="1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____________</w:t>
      </w:r>
    </w:p>
    <w:p>
      <w:pPr>
        <w:spacing w:after="0" w:line="102" w:lineRule="exact"/>
        <w:rPr>
          <w:sz w:val="20"/>
          <w:szCs w:val="20"/>
          <w:color w:val="auto"/>
        </w:rPr>
      </w:pPr>
    </w:p>
    <w:p>
      <w:pPr>
        <w:ind w:left="600" w:right="6279" w:firstLine="6"/>
        <w:spacing w:after="0" w:line="259" w:lineRule="auto"/>
        <w:tabs>
          <w:tab w:leader="none" w:pos="99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or furnished herewith. ** Previously filed.</w:t>
      </w:r>
    </w:p>
    <w:p>
      <w:pPr>
        <w:ind w:left="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Management contract or compensatory plan or arrangement.</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Item 17. Undertakings</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undersigned registrant hereby undertakes:</w:t>
      </w:r>
    </w:p>
    <w:p>
      <w:pPr>
        <w:spacing w:after="0" w:line="155" w:lineRule="exact"/>
        <w:rPr>
          <w:sz w:val="20"/>
          <w:szCs w:val="20"/>
          <w:color w:val="auto"/>
        </w:rPr>
      </w:pPr>
    </w:p>
    <w:p>
      <w:pPr>
        <w:ind w:left="1440" w:right="619" w:hanging="418"/>
        <w:spacing w:after="0" w:line="293" w:lineRule="auto"/>
        <w:tabs>
          <w:tab w:leader="none" w:pos="1414"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81" w:lineRule="exact"/>
        <w:rPr>
          <w:rFonts w:ascii="Times New Roman" w:cs="Times New Roman" w:eastAsia="Times New Roman" w:hAnsi="Times New Roman"/>
          <w:sz w:val="17"/>
          <w:szCs w:val="17"/>
          <w:color w:val="auto"/>
        </w:rPr>
      </w:pPr>
    </w:p>
    <w:p>
      <w:pPr>
        <w:ind w:left="1820" w:hanging="383"/>
        <w:spacing w:after="0"/>
        <w:tabs>
          <w:tab w:leader="none" w:pos="1820"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 of 1933;</w:t>
      </w:r>
    </w:p>
    <w:p>
      <w:pPr>
        <w:spacing w:after="0" w:line="142" w:lineRule="exact"/>
        <w:rPr>
          <w:rFonts w:ascii="Times New Roman" w:cs="Times New Roman" w:eastAsia="Times New Roman" w:hAnsi="Times New Roman"/>
          <w:sz w:val="17"/>
          <w:szCs w:val="17"/>
          <w:color w:val="auto"/>
        </w:rPr>
      </w:pPr>
    </w:p>
    <w:p>
      <w:pPr>
        <w:jc w:val="both"/>
        <w:ind w:left="1860" w:right="619" w:hanging="423"/>
        <w:spacing w:after="0" w:line="259" w:lineRule="auto"/>
        <w:tabs>
          <w:tab w:leader="none" w:pos="1825"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12"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34"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97" w:lineRule="exact"/>
        <w:rPr>
          <w:rFonts w:ascii="Times New Roman" w:cs="Times New Roman" w:eastAsia="Times New Roman" w:hAnsi="Times New Roman"/>
          <w:sz w:val="17"/>
          <w:szCs w:val="17"/>
          <w:color w:val="auto"/>
        </w:rPr>
      </w:pPr>
    </w:p>
    <w:p>
      <w:pPr>
        <w:jc w:val="both"/>
        <w:ind w:left="1440" w:right="619" w:hanging="418"/>
        <w:spacing w:after="0" w:line="267" w:lineRule="auto"/>
        <w:tabs>
          <w:tab w:leader="none" w:pos="1414"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9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14"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81" w:lineRule="exact"/>
        <w:rPr>
          <w:rFonts w:ascii="Times New Roman" w:cs="Times New Roman" w:eastAsia="Times New Roman" w:hAnsi="Times New Roman"/>
          <w:sz w:val="17"/>
          <w:szCs w:val="17"/>
          <w:color w:val="auto"/>
        </w:rPr>
      </w:pPr>
    </w:p>
    <w:p>
      <w:pPr>
        <w:ind w:left="1420" w:hanging="398"/>
        <w:spacing w:after="0"/>
        <w:tabs>
          <w:tab w:leader="none" w:pos="142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liability under the Securities Act of 1933 to any purchaser: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3" w:name="page264"/>
    <w:bookmarkEnd w:id="26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820" w:hanging="383"/>
        <w:spacing w:after="0"/>
        <w:tabs>
          <w:tab w:leader="none" w:pos="182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registrant is relying on Rule 430B:</w:t>
      </w:r>
    </w:p>
    <w:p>
      <w:pPr>
        <w:spacing w:after="0" w:line="155" w:lineRule="exact"/>
        <w:rPr>
          <w:rFonts w:ascii="Times New Roman" w:cs="Times New Roman" w:eastAsia="Times New Roman" w:hAnsi="Times New Roman"/>
          <w:sz w:val="17"/>
          <w:szCs w:val="17"/>
          <w:color w:val="auto"/>
        </w:rPr>
      </w:pPr>
    </w:p>
    <w:p>
      <w:pPr>
        <w:jc w:val="both"/>
        <w:ind w:left="2260" w:right="619" w:hanging="407"/>
        <w:spacing w:after="0" w:line="274" w:lineRule="auto"/>
        <w:tabs>
          <w:tab w:leader="none" w:pos="2257"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7" w:lineRule="exact"/>
        <w:rPr>
          <w:rFonts w:ascii="Times New Roman" w:cs="Times New Roman" w:eastAsia="Times New Roman" w:hAnsi="Times New Roman"/>
          <w:sz w:val="17"/>
          <w:szCs w:val="17"/>
          <w:color w:val="auto"/>
        </w:rPr>
      </w:pPr>
    </w:p>
    <w:p>
      <w:pPr>
        <w:jc w:val="both"/>
        <w:ind w:left="2260" w:right="619" w:hanging="407"/>
        <w:spacing w:after="0" w:line="257" w:lineRule="auto"/>
        <w:tabs>
          <w:tab w:leader="none" w:pos="2215"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04" w:lineRule="exact"/>
        <w:rPr>
          <w:sz w:val="20"/>
          <w:szCs w:val="20"/>
          <w:color w:val="auto"/>
        </w:rPr>
      </w:pPr>
    </w:p>
    <w:p>
      <w:pPr>
        <w:jc w:val="both"/>
        <w:ind w:left="2260" w:right="619" w:hanging="407"/>
        <w:spacing w:after="0" w:line="259" w:lineRule="auto"/>
        <w:tabs>
          <w:tab w:leader="none" w:pos="2225" w:val="left"/>
        </w:tabs>
        <w:numPr>
          <w:ilvl w:val="2"/>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09" w:lineRule="exact"/>
        <w:rPr>
          <w:rFonts w:ascii="Times New Roman" w:cs="Times New Roman" w:eastAsia="Times New Roman" w:hAnsi="Times New Roman"/>
          <w:sz w:val="17"/>
          <w:szCs w:val="17"/>
          <w:color w:val="auto"/>
        </w:rPr>
      </w:pPr>
    </w:p>
    <w:p>
      <w:pPr>
        <w:jc w:val="both"/>
        <w:ind w:left="1440" w:right="619" w:hanging="418"/>
        <w:spacing w:after="0" w:line="262" w:lineRule="auto"/>
        <w:tabs>
          <w:tab w:leader="none" w:pos="1414"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determining liability under the Securities Act of 1933 to any purchaser in the initial distributions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9" w:lineRule="exact"/>
        <w:rPr>
          <w:rFonts w:ascii="Times New Roman" w:cs="Times New Roman" w:eastAsia="Times New Roman" w:hAnsi="Times New Roman"/>
          <w:sz w:val="17"/>
          <w:szCs w:val="17"/>
          <w:color w:val="auto"/>
        </w:rPr>
      </w:pPr>
    </w:p>
    <w:p>
      <w:pPr>
        <w:ind w:left="1860" w:right="619" w:hanging="423"/>
        <w:spacing w:after="0" w:line="293" w:lineRule="auto"/>
        <w:tabs>
          <w:tab w:leader="none" w:pos="1828"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 Rule 424;</w:t>
      </w:r>
    </w:p>
    <w:p>
      <w:pPr>
        <w:spacing w:after="0" w:line="68" w:lineRule="exact"/>
        <w:rPr>
          <w:rFonts w:ascii="Times New Roman" w:cs="Times New Roman" w:eastAsia="Times New Roman" w:hAnsi="Times New Roman"/>
          <w:sz w:val="17"/>
          <w:szCs w:val="17"/>
          <w:color w:val="auto"/>
        </w:rPr>
      </w:pPr>
    </w:p>
    <w:p>
      <w:pPr>
        <w:ind w:left="1860" w:right="619" w:hanging="423"/>
        <w:spacing w:after="0" w:line="293" w:lineRule="auto"/>
        <w:tabs>
          <w:tab w:leader="none" w:pos="1825"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 registrant;</w:t>
      </w:r>
    </w:p>
    <w:p>
      <w:pPr>
        <w:spacing w:after="0" w:line="81"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34"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97" w:lineRule="exact"/>
        <w:rPr>
          <w:rFonts w:ascii="Times New Roman" w:cs="Times New Roman" w:eastAsia="Times New Roman" w:hAnsi="Times New Roman"/>
          <w:sz w:val="17"/>
          <w:szCs w:val="17"/>
          <w:color w:val="auto"/>
        </w:rPr>
      </w:pPr>
    </w:p>
    <w:p>
      <w:pPr>
        <w:ind w:left="1860" w:right="619" w:hanging="423"/>
        <w:spacing w:after="0" w:line="293" w:lineRule="auto"/>
        <w:tabs>
          <w:tab w:leader="none" w:pos="1824"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communication that is an offer in the offering made by the undersigned registrant to the purchaser.</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4" w:name="page265"/>
    <w:bookmarkEnd w:id="26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1440" w:right="619" w:hanging="418"/>
        <w:spacing w:after="0" w:line="274" w:lineRule="auto"/>
        <w:tabs>
          <w:tab w:leader="none" w:pos="1414"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97" w:lineRule="exact"/>
        <w:rPr>
          <w:rFonts w:ascii="Times New Roman" w:cs="Times New Roman" w:eastAsia="Times New Roman" w:hAnsi="Times New Roman"/>
          <w:sz w:val="17"/>
          <w:szCs w:val="17"/>
          <w:color w:val="auto"/>
        </w:rPr>
      </w:pPr>
    </w:p>
    <w:p>
      <w:pPr>
        <w:ind w:left="1420" w:hanging="398"/>
        <w:spacing w:after="0"/>
        <w:tabs>
          <w:tab w:leader="none" w:pos="142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that:</w:t>
      </w:r>
    </w:p>
    <w:p>
      <w:pPr>
        <w:spacing w:after="0" w:line="155" w:lineRule="exact"/>
        <w:rPr>
          <w:rFonts w:ascii="Times New Roman" w:cs="Times New Roman" w:eastAsia="Times New Roman" w:hAnsi="Times New Roman"/>
          <w:sz w:val="17"/>
          <w:szCs w:val="17"/>
          <w:color w:val="auto"/>
        </w:rPr>
      </w:pPr>
    </w:p>
    <w:p>
      <w:pPr>
        <w:jc w:val="both"/>
        <w:ind w:left="1860" w:right="619" w:hanging="423"/>
        <w:spacing w:after="0" w:line="264" w:lineRule="auto"/>
        <w:tabs>
          <w:tab w:leader="none" w:pos="1828"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94" w:lineRule="exact"/>
        <w:rPr>
          <w:rFonts w:ascii="Times New Roman" w:cs="Times New Roman" w:eastAsia="Times New Roman" w:hAnsi="Times New Roman"/>
          <w:sz w:val="17"/>
          <w:szCs w:val="17"/>
          <w:color w:val="auto"/>
        </w:rPr>
      </w:pPr>
    </w:p>
    <w:p>
      <w:pPr>
        <w:jc w:val="both"/>
        <w:ind w:left="1860" w:right="619" w:hanging="423"/>
        <w:spacing w:after="0" w:line="267" w:lineRule="auto"/>
        <w:tabs>
          <w:tab w:leader="none" w:pos="1825"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our directors, officers and controlling persons pursuant to the provisions above,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one of our directors, officers, or controlling persons in the successful defense of any action, suit or proceeding, is asserted by one of our directors, officers, or controlling persons in connection with the securities being registered, we will, unless in the opinion of our counsel the matter has been settled by controlling precedent, submit to a court of appropriate jurisdiction the question of whether such indemnification is against public policy as expressed in the Securities Act, and we will be governed by the final adjudication of such issue.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5" w:name="page266"/>
    <w:bookmarkEnd w:id="26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44" w:lineRule="exact"/>
        <w:rPr>
          <w:sz w:val="20"/>
          <w:szCs w:val="20"/>
          <w:color w:val="auto"/>
        </w:rPr>
      </w:pPr>
    </w:p>
    <w:p>
      <w:pPr>
        <w:jc w:val="both"/>
        <w:ind w:left="600" w:right="619" w:firstLine="416"/>
        <w:spacing w:after="0" w:line="278"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has duly caused this registration statement to be signed on its behalf by the undersigned, thereunto duly authorized, in the City of Santa Clara, State of California, on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of February, 2023.</w:t>
      </w:r>
    </w:p>
    <w:p>
      <w:pPr>
        <w:spacing w:after="0" w:line="11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18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color w:val="auto"/>
        </w:rPr>
        <w:t>/s/ Dr. Keyvan Mohajer</w:t>
      </w:r>
    </w:p>
    <w:p>
      <w:pPr>
        <w:spacing w:after="0" w:line="7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color w:val="auto"/>
        </w:rPr>
        <w:t>Name: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-120015</wp:posOffset>
            </wp:positionV>
            <wp:extent cx="19227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5">
                      <a:extLst>
                        <a:ext uri="{28A0092B-C50C-407E-A947-70E740481C1C}"/>
                      </a:extLst>
                    </a:blip>
                    <a:srcRect/>
                    <a:stretch>
                      <a:fillRect/>
                    </a:stretch>
                  </pic:blipFill>
                  <pic:spPr bwMode="auto">
                    <a:xfrm>
                      <a:off x="0" y="0"/>
                      <a:ext cx="1922780" cy="8255"/>
                    </a:xfrm>
                    <a:prstGeom prst="rect">
                      <a:avLst/>
                    </a:prstGeom>
                    <a:noFill/>
                  </pic:spPr>
                </pic:pic>
              </a:graphicData>
            </a:graphic>
          </wp:anchor>
        </w:drawing>
      </w:r>
    </w:p>
    <w:p>
      <w:pPr>
        <w:spacing w:after="0" w:line="57" w:lineRule="exact"/>
        <w:rPr>
          <w:sz w:val="20"/>
          <w:szCs w:val="20"/>
          <w:color w:val="auto"/>
        </w:rPr>
      </w:pPr>
    </w:p>
    <w:p>
      <w:pPr>
        <w:ind w:left="5380"/>
        <w:spacing w:after="0"/>
        <w:tabs>
          <w:tab w:leader="none" w:pos="592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46"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gridSpan w:val="2"/>
          </w:tcPr>
          <w:p>
            <w:pPr>
              <w:ind w:left="138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 Dr. Keyvan Mohajer</w:t>
            </w: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10, 2023</w:t>
            </w:r>
          </w:p>
        </w:tc>
        <w:tc>
          <w:tcPr>
            <w:tcW w:w="0" w:type="dxa"/>
            <w:vAlign w:val="bottom"/>
          </w:tcPr>
          <w:p>
            <w:pPr>
              <w:spacing w:after="0"/>
              <w:rPr>
                <w:sz w:val="1"/>
                <w:szCs w:val="1"/>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5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Dr. Keyvan Mohajer</w:t>
            </w:r>
          </w:p>
        </w:tc>
        <w:tc>
          <w:tcPr>
            <w:tcW w:w="3500" w:type="dxa"/>
            <w:vAlign w:val="bottom"/>
            <w:gridSpan w:val="3"/>
            <w:vMerge w:val="continue"/>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 Nitesh Sharan</w:t>
            </w: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Chief Financial Officer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10, 2023</w:t>
            </w:r>
          </w:p>
        </w:tc>
        <w:tc>
          <w:tcPr>
            <w:tcW w:w="0" w:type="dxa"/>
            <w:vAlign w:val="bottom"/>
          </w:tcPr>
          <w:p>
            <w:pPr>
              <w:spacing w:after="0"/>
              <w:rPr>
                <w:sz w:val="1"/>
                <w:szCs w:val="1"/>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5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Nitesh Sharan</w:t>
            </w:r>
          </w:p>
        </w:tc>
        <w:tc>
          <w:tcPr>
            <w:tcW w:w="3500" w:type="dxa"/>
            <w:vAlign w:val="bottom"/>
            <w:gridSpan w:val="3"/>
            <w:vMerge w:val="continue"/>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10, 2023</w:t>
            </w:r>
          </w:p>
        </w:tc>
        <w:tc>
          <w:tcPr>
            <w:tcW w:w="0" w:type="dxa"/>
            <w:vAlign w:val="bottom"/>
          </w:tcPr>
          <w:p>
            <w:pPr>
              <w:spacing w:after="0"/>
              <w:rPr>
                <w:sz w:val="1"/>
                <w:szCs w:val="1"/>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James Hom</w:t>
            </w:r>
          </w:p>
        </w:tc>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10, 2023</w:t>
            </w:r>
          </w:p>
        </w:tc>
        <w:tc>
          <w:tcPr>
            <w:tcW w:w="0" w:type="dxa"/>
            <w:vAlign w:val="bottom"/>
          </w:tcPr>
          <w:p>
            <w:pPr>
              <w:spacing w:after="0"/>
              <w:rPr>
                <w:sz w:val="1"/>
                <w:szCs w:val="1"/>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Dr. Eric Ball</w:t>
            </w:r>
          </w:p>
        </w:tc>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10, 2023</w:t>
            </w:r>
          </w:p>
        </w:tc>
        <w:tc>
          <w:tcPr>
            <w:tcW w:w="0" w:type="dxa"/>
            <w:vAlign w:val="bottom"/>
          </w:tcPr>
          <w:p>
            <w:pPr>
              <w:spacing w:after="0"/>
              <w:rPr>
                <w:sz w:val="1"/>
                <w:szCs w:val="1"/>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Larry Marcus</w:t>
            </w:r>
          </w:p>
        </w:tc>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10, 2023</w:t>
            </w:r>
          </w:p>
        </w:tc>
        <w:tc>
          <w:tcPr>
            <w:tcW w:w="0" w:type="dxa"/>
            <w:vAlign w:val="bottom"/>
          </w:tcPr>
          <w:p>
            <w:pPr>
              <w:spacing w:after="0"/>
              <w:rPr>
                <w:sz w:val="1"/>
                <w:szCs w:val="1"/>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Diana Sroka</w:t>
            </w:r>
          </w:p>
        </w:tc>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By:</w:t>
            </w:r>
          </w:p>
        </w:tc>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Dr. Keyvan Mohajer</w:t>
            </w:r>
          </w:p>
        </w:tc>
        <w:tc>
          <w:tcPr>
            <w:tcW w:w="1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Name:</w:t>
            </w:r>
          </w:p>
        </w:tc>
        <w:tc>
          <w:tcPr>
            <w:tcW w:w="1840" w:type="dxa"/>
            <w:vAlign w:val="bottom"/>
            <w:tcBorders>
              <w:bottom w:val="single" w:sz="8" w:color="auto"/>
            </w:tcBorders>
          </w:tcPr>
          <w:p>
            <w:pPr>
              <w:spacing w:after="0"/>
              <w:rPr>
                <w:sz w:val="4"/>
                <w:szCs w:val="4"/>
                <w:color w:val="auto"/>
              </w:rPr>
            </w:pPr>
          </w:p>
        </w:tc>
        <w:tc>
          <w:tcPr>
            <w:tcW w:w="4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40" w:type="dxa"/>
            <w:vAlign w:val="bottom"/>
            <w:gridSpan w:val="2"/>
            <w:vMerge w:val="continue"/>
          </w:tcPr>
          <w:p>
            <w:pPr>
              <w:spacing w:after="0"/>
              <w:rPr>
                <w:sz w:val="15"/>
                <w:szCs w:val="15"/>
                <w:color w:val="auto"/>
              </w:rPr>
            </w:pPr>
          </w:p>
        </w:tc>
        <w:tc>
          <w:tcPr>
            <w:tcW w:w="18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Dr. Keyvan Mohajer</w:t>
            </w:r>
          </w:p>
        </w:tc>
        <w:tc>
          <w:tcPr>
            <w:tcW w:w="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Attorney-in-fact</w:t>
            </w:r>
          </w:p>
        </w:tc>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CF Principal Investments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499 Park Avenue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New York, NY 10022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SoundHound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5400 Betsy Ross Drive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Santa Clara, CA 95054</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Chief Financial Officer</w:t>
      </w:r>
    </w:p>
    <w:p>
      <w:pPr>
        <w:spacing w:after="0" w:line="20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____________, 2023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Reference is made to the Common Stock Purchase Agreement dated as of August 16, 2022 (the “</w:t>
      </w:r>
      <w:r>
        <w:rPr>
          <w:rFonts w:ascii="Times New Roman" w:cs="Times New Roman" w:eastAsia="Times New Roman" w:hAnsi="Times New Roman"/>
          <w:sz w:val="17"/>
          <w:szCs w:val="17"/>
          <w:b w:val="1"/>
          <w:bCs w:val="1"/>
          <w:i w:val="1"/>
          <w:iCs w:val="1"/>
          <w:color w:val="auto"/>
        </w:rPr>
        <w:t>Purchase Agreement</w:t>
      </w:r>
      <w:r>
        <w:rPr>
          <w:rFonts w:ascii="Times New Roman" w:cs="Times New Roman" w:eastAsia="Times New Roman" w:hAnsi="Times New Roman"/>
          <w:sz w:val="17"/>
          <w:szCs w:val="17"/>
          <w:color w:val="auto"/>
        </w:rPr>
        <w:t>”) by and between CF Principal Investments LLC, a Delaware limited liability company (the “</w:t>
      </w:r>
      <w:r>
        <w:rPr>
          <w:rFonts w:ascii="Times New Roman" w:cs="Times New Roman" w:eastAsia="Times New Roman" w:hAnsi="Times New Roman"/>
          <w:sz w:val="17"/>
          <w:szCs w:val="17"/>
          <w:b w:val="1"/>
          <w:bCs w:val="1"/>
          <w:i w:val="1"/>
          <w:iCs w:val="1"/>
          <w:color w:val="auto"/>
        </w:rPr>
        <w:t>Investor</w:t>
      </w:r>
      <w:r>
        <w:rPr>
          <w:rFonts w:ascii="Times New Roman" w:cs="Times New Roman" w:eastAsia="Times New Roman" w:hAnsi="Times New Roman"/>
          <w:sz w:val="17"/>
          <w:szCs w:val="17"/>
          <w:color w:val="auto"/>
        </w:rPr>
        <w:t>), and SoundHound AI,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that certain letter agreement dated as of November 22, 2022 by and between the Investor and the Company (the “</w:t>
      </w:r>
      <w:r>
        <w:rPr>
          <w:rFonts w:ascii="Times New Roman" w:cs="Times New Roman" w:eastAsia="Times New Roman" w:hAnsi="Times New Roman"/>
          <w:sz w:val="17"/>
          <w:szCs w:val="17"/>
          <w:b w:val="1"/>
          <w:bCs w:val="1"/>
          <w:i w:val="1"/>
          <w:iCs w:val="1"/>
          <w:color w:val="auto"/>
        </w:rPr>
        <w:t>Amendment Letter Agreement</w:t>
      </w:r>
      <w:r>
        <w:rPr>
          <w:rFonts w:ascii="Times New Roman" w:cs="Times New Roman" w:eastAsia="Times New Roman" w:hAnsi="Times New Roman"/>
          <w:sz w:val="17"/>
          <w:szCs w:val="17"/>
          <w:color w:val="auto"/>
        </w:rPr>
        <w:t>”). Capitalized terms used in this letter agreement without definition have the meanings ascribed to them in the Purchase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Notwithstanding anything to the contrary set forth in the Purchase Agreement, each of the Investor and the Company hereby agree as follows:</w:t>
      </w:r>
    </w:p>
    <w:p>
      <w:pPr>
        <w:spacing w:after="0" w:line="220" w:lineRule="exact"/>
        <w:rPr>
          <w:sz w:val="20"/>
          <w:szCs w:val="20"/>
          <w:color w:val="auto"/>
        </w:rPr>
      </w:pPr>
    </w:p>
    <w:p>
      <w:pPr>
        <w:ind w:left="180" w:hanging="176"/>
        <w:spacing w:after="0"/>
        <w:tabs>
          <w:tab w:leader="none" w:pos="18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Amendment Letter Agreement is null and void, and replaced in its entirety by this letter agreement.</w:t>
      </w:r>
    </w:p>
    <w:p>
      <w:pPr>
        <w:spacing w:after="0" w:line="220" w:lineRule="exact"/>
        <w:rPr>
          <w:rFonts w:ascii="Times New Roman" w:cs="Times New Roman" w:eastAsia="Times New Roman" w:hAnsi="Times New Roman"/>
          <w:sz w:val="17"/>
          <w:szCs w:val="17"/>
          <w:color w:val="auto"/>
        </w:rPr>
      </w:pPr>
    </w:p>
    <w:p>
      <w:pPr>
        <w:ind w:left="180" w:hanging="176"/>
        <w:spacing w:after="0"/>
        <w:tabs>
          <w:tab w:leader="none" w:pos="18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10.1(ii) of the Purchase Agreement shall be considered to read as follows:</w:t>
      </w:r>
    </w:p>
    <w:p>
      <w:pPr>
        <w:spacing w:after="0" w:line="220" w:lineRule="exact"/>
        <w:rPr>
          <w:sz w:val="20"/>
          <w:szCs w:val="20"/>
          <w:color w:val="auto"/>
        </w:rPr>
      </w:pPr>
    </w:p>
    <w:p>
      <w:pPr>
        <w:jc w:val="both"/>
        <w:ind w:left="620" w:right="620"/>
        <w:spacing w:after="0" w:line="263" w:lineRule="auto"/>
        <w:rPr>
          <w:sz w:val="20"/>
          <w:szCs w:val="20"/>
          <w:color w:val="auto"/>
        </w:rPr>
      </w:pPr>
      <w:r>
        <w:rPr>
          <w:rFonts w:ascii="Times New Roman" w:cs="Times New Roman" w:eastAsia="Times New Roman" w:hAnsi="Times New Roman"/>
          <w:sz w:val="17"/>
          <w:szCs w:val="17"/>
          <w:color w:val="auto"/>
        </w:rPr>
        <w:t>“In consideration for the Investor’s execution and delivery of this Agreement, the Company shall issue to the Investor the Upfront Commitment Fee on the Commencement Date, by transfer of the Commitment Shares to an account designated by the Investor, and will provide Investor, not later than 4:00 P.M. New York City time on the Trading Date immediately prior to the Commencement Date, one or more book-entry statement(s) representing the Commitment Shares in the name of the Investor or its designee. Further, the Company agrees to pay to the Investor an amount equal to $250,000.00 in immediately available funds no later than the 120th day following the Commencement Date (“Cash Commitment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535940</wp:posOffset>
            </wp:positionV>
            <wp:extent cx="7137400" cy="165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67" w:name="page268"/>
    <w:bookmarkEnd w:id="267"/>
    <w:p>
      <w:pPr>
        <w:jc w:val="both"/>
        <w:ind w:firstLine="4"/>
        <w:spacing w:after="0" w:line="267" w:lineRule="auto"/>
        <w:tabs>
          <w:tab w:leader="none" w:pos="173"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Investor and the Company agree that notwithstanding Section 7.2(i) of the Purchase Agreement, the Upfront Commitment Fee shall not be payable in the event that (i) the Commencement does not occur due to the failure of the condition in Section 7.2(xx) of the Purchase Agreement or (ii) notwithstanding compliance with the provisions of the Registration Rights Agreement, dated as of August 16, 2022, between the Investor and the Company, the Registration Statement is not declared effective by the Commission within 180 days of the initial filing of the Registration Statement by the Company.</w:t>
      </w:r>
    </w:p>
    <w:p>
      <w:pPr>
        <w:spacing w:after="0" w:line="169" w:lineRule="exact"/>
        <w:rPr>
          <w:rFonts w:ascii="Times New Roman" w:cs="Times New Roman" w:eastAsia="Times New Roman" w:hAnsi="Times New Roman"/>
          <w:sz w:val="17"/>
          <w:szCs w:val="17"/>
          <w:color w:val="auto"/>
        </w:rPr>
      </w:pPr>
    </w:p>
    <w:p>
      <w:pPr>
        <w:ind w:left="180" w:hanging="176"/>
        <w:spacing w:after="0"/>
        <w:tabs>
          <w:tab w:leader="none" w:pos="18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Investor and the Company agree that either party has the right to terminate the Purchase Agreement in the event of either paragraph 3(i) or (ii) above.</w:t>
      </w:r>
    </w:p>
    <w:p>
      <w:pPr>
        <w:spacing w:after="0" w:line="220" w:lineRule="exact"/>
        <w:rPr>
          <w:rFonts w:ascii="Times New Roman" w:cs="Times New Roman" w:eastAsia="Times New Roman" w:hAnsi="Times New Roman"/>
          <w:sz w:val="17"/>
          <w:szCs w:val="17"/>
          <w:color w:val="auto"/>
        </w:rPr>
      </w:pPr>
    </w:p>
    <w:p>
      <w:pPr>
        <w:ind w:firstLine="4"/>
        <w:spacing w:after="0" w:line="293" w:lineRule="auto"/>
        <w:tabs>
          <w:tab w:leader="none" w:pos="186"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letter agreement will be governed by and construed in accordance with the internal procedural and substantive laws of the State of New York, without giving effect to the choice of law provisions of such state that would cause the application of the laws of any other jurisdiction.</w:t>
      </w:r>
    </w:p>
    <w:p>
      <w:pPr>
        <w:spacing w:after="0" w:line="146" w:lineRule="exact"/>
        <w:rPr>
          <w:rFonts w:ascii="Times New Roman" w:cs="Times New Roman" w:eastAsia="Times New Roman" w:hAnsi="Times New Roman"/>
          <w:sz w:val="17"/>
          <w:szCs w:val="17"/>
          <w:color w:val="auto"/>
        </w:rPr>
      </w:pPr>
    </w:p>
    <w:p>
      <w:pPr>
        <w:jc w:val="both"/>
        <w:ind w:firstLine="4"/>
        <w:spacing w:after="0" w:line="264" w:lineRule="auto"/>
        <w:tabs>
          <w:tab w:leader="none" w:pos="173"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letter agreement may be executed in two or more identical counterparts, all of which shall be considered one and the same agreement and will become effective when counterparts have been signed by each party and delivered to the other party; provided that a facsimile signature or signature delivered by e-mail in a “.pdf” format data file, including any electronic signature complying with the U.S. federal ESIGN Act of 2000, e.g., www.docusign.com, www.echosign.adobe.com, etc., will be considered due execution and will be binding upon the signatory thereto with the same force and effect as if the signature were an original signature.</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Each of the Investor and the Company further agree that all other terms and conditions of the Purchase Agreement remain in full force and effect and the Purchase Agreement will be read and construed as if the terms of this letter agreement were included therein by way of addition or substitution, as the case may be. In the event of a conflict between the terms and provisions of the Purchase Agreement and this letter agreement, the provisions of this letter agreement will govern. To evidence your agreement with the foregoing, please sign and return a copy of this letter agreement to our attention as provided in the Purchase Agreement.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7137400" cy="165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7"/>
          <w:szCs w:val="17"/>
          <w:b w:val="1"/>
          <w:bCs w:val="1"/>
          <w:color w:val="auto"/>
        </w:rPr>
        <w:t>CF PRINCIPAL INVESTMENTS LLC</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19685</wp:posOffset>
            </wp:positionV>
            <wp:extent cx="2549525" cy="165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9">
                      <a:extLst>
                        <a:ext uri="{28A0092B-C50C-407E-A947-70E740481C1C}"/>
                      </a:extLst>
                    </a:blip>
                    <a:srcRect/>
                    <a:stretch>
                      <a:fillRect/>
                    </a:stretch>
                  </pic:blipFill>
                  <pic:spPr bwMode="auto">
                    <a:xfrm>
                      <a:off x="0" y="0"/>
                      <a:ext cx="2549525" cy="1651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/s/ Steven Bisgay</w:t>
      </w:r>
    </w:p>
    <w:p>
      <w:pPr>
        <w:spacing w:after="0" w:line="3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Title:</w:t>
        <w:tab/>
        <w:t>Executive Managing Director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ACCEPTED as of the date first-above written: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19685</wp:posOffset>
            </wp:positionV>
            <wp:extent cx="2549525" cy="165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0">
                      <a:extLst>
                        <a:ext uri="{28A0092B-C50C-407E-A947-70E740481C1C}"/>
                      </a:extLst>
                    </a:blip>
                    <a:srcRect/>
                    <a:stretch>
                      <a:fillRect/>
                    </a:stretch>
                  </pic:blipFill>
                  <pic:spPr bwMode="auto">
                    <a:xfrm>
                      <a:off x="0" y="0"/>
                      <a:ext cx="2549525" cy="1651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Keyvan Mohajer</w:t>
      </w:r>
    </w:p>
    <w:p>
      <w:pPr>
        <w:spacing w:after="0" w:line="3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Title:</w:t>
        <w:tab/>
        <w:t>CEO</w:t>
      </w:r>
    </w:p>
    <w:p>
      <w:pPr>
        <w:spacing w:after="0" w:line="200" w:lineRule="exact"/>
        <w:rPr>
          <w:sz w:val="20"/>
          <w:szCs w:val="20"/>
          <w:color w:val="auto"/>
        </w:rPr>
      </w:pPr>
    </w:p>
    <w:p>
      <w:pPr>
        <w:spacing w:after="0" w:line="210"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0139"/>
          </w:cols>
          <w:pgMar w:left="320" w:top="873" w:right="1440"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CONSENT OF INDEPENDENT REGISTERED PUBLIC ACCOUNTING FIRM</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hereby consent to the inclusion in this Registration Statement of SoundHound AI, Inc. (formerly known as Archimedes Tech SPAC Partners Co.) on Form S-1/A of our report dated March 9, 2022, with respect to our audit of the Archimedes Tech SPAC Partners Co. (the “Company”) financial statements as of December 31, 2021 and 2020, and for the year ended December 31, 2021 and the period September 15, 2020 (inception) through December 31, 2020, which appears in this Registration Statement. Our report contained an explanatory paragraph regarding substantial doubt about the Company’s ability to continue as a going concern.</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consent to the reference to our Firm under the caption “Experts” in such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UHY LLP</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10, 2023</w:t>
      </w:r>
    </w:p>
    <w:p>
      <w:pPr>
        <w:sectPr>
          <w:pgSz w:w="11900" w:h="16838" w:orient="portrait"/>
          <w:cols w:equalWidth="0" w:num="1">
            <w:col w:w="11240"/>
          </w:cols>
          <w:pgMar w:left="320" w:top="119" w:right="33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21"/>
          <w:szCs w:val="21"/>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5927090</wp:posOffset>
            </wp:positionH>
            <wp:positionV relativeFrom="paragraph">
              <wp:posOffset>146050</wp:posOffset>
            </wp:positionV>
            <wp:extent cx="1188085" cy="3467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2">
                      <a:extLst>
                        <a:ext uri="{28A0092B-C50C-407E-A947-70E740481C1C}"/>
                      </a:extLst>
                    </a:blip>
                    <a:srcRect/>
                    <a:stretch>
                      <a:fillRect/>
                    </a:stretch>
                  </pic:blipFill>
                  <pic:spPr bwMode="auto">
                    <a:xfrm>
                      <a:off x="0" y="0"/>
                      <a:ext cx="1188085" cy="34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consent to the use in this Registration Statement on Amendment No. 3 to Form S-1 of our audit report dated March 9, 2022 relating to the consolidated financial statements of SoundHound, Inc. for the years ended December 31, 2021 and 2020, which report appears in the Registration Statement. We also consent to the reference to us under the heading “Experts” in such Registration Statement.</w:t>
      </w:r>
    </w:p>
    <w:p>
      <w:pPr>
        <w:spacing w:after="0" w:line="16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/s/ Armanino LLP</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San Jose, California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3319780</wp:posOffset>
            </wp:positionV>
            <wp:extent cx="791845" cy="4705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3">
                      <a:extLst>
                        <a:ext uri="{28A0092B-C50C-407E-A947-70E740481C1C}"/>
                      </a:extLst>
                    </a:blip>
                    <a:srcRect/>
                    <a:stretch>
                      <a:fillRect/>
                    </a:stretch>
                  </pic:blipFill>
                  <pic:spPr bwMode="auto">
                    <a:xfrm>
                      <a:off x="0" y="0"/>
                      <a:ext cx="791845" cy="470535"/>
                    </a:xfrm>
                    <a:prstGeom prst="rect">
                      <a:avLst/>
                    </a:prstGeom>
                    <a:noFill/>
                  </pic:spPr>
                </pic:pic>
              </a:graphicData>
            </a:graphic>
          </wp:anchor>
        </w:drawing>
      </w:r>
    </w:p>
    <w:sectPr>
      <w:pgSz w:w="11900" w:h="16838" w:orient="portrait"/>
      <w:cols w:equalWidth="0" w:num="1">
        <w:col w:w="11240"/>
      </w:cols>
      <w:pgMar w:left="320" w:top="1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330624"/>
    <w:multiLevelType w:val="hybridMultilevel"/>
    <w:lvl w:ilvl="0">
      <w:lvlJc w:val="left"/>
      <w:lvlText w:val="•"/>
      <w:numFmt w:val="bullet"/>
      <w:start w:val="1"/>
    </w:lvl>
  </w:abstractNum>
  <w:abstractNum w:abstractNumId="1">
    <w:nsid w:val="7FFFCA11"/>
    <w:multiLevelType w:val="hybridMultilevel"/>
    <w:lvl w:ilvl="0">
      <w:lvlJc w:val="left"/>
      <w:lvlText w:val="•"/>
      <w:numFmt w:val="bullet"/>
      <w:start w:val="1"/>
    </w:lvl>
  </w:abstractNum>
  <w:abstractNum w:abstractNumId="2">
    <w:nsid w:val="1A27709E"/>
    <w:multiLevelType w:val="hybridMultilevel"/>
    <w:lvl w:ilvl="0">
      <w:lvlJc w:val="left"/>
      <w:lvlText w:val="•"/>
      <w:numFmt w:val="bullet"/>
      <w:start w:val="1"/>
    </w:lvl>
  </w:abstractNum>
  <w:abstractNum w:abstractNumId="3">
    <w:nsid w:val="71EA1109"/>
    <w:multiLevelType w:val="hybridMultilevel"/>
    <w:lvl w:ilvl="0">
      <w:lvlJc w:val="left"/>
      <w:lvlText w:val="•"/>
      <w:numFmt w:val="bullet"/>
      <w:start w:val="1"/>
    </w:lvl>
  </w:abstractNum>
  <w:abstractNum w:abstractNumId="4">
    <w:nsid w:val="100F59DC"/>
    <w:multiLevelType w:val="hybridMultilevel"/>
    <w:lvl w:ilvl="0">
      <w:lvlJc w:val="left"/>
      <w:lvlText w:val="(%1)"/>
      <w:numFmt w:val="lowerRoman"/>
      <w:start w:val="1"/>
    </w:lvl>
  </w:abstractNum>
  <w:abstractNum w:abstractNumId="5">
    <w:nsid w:val="7FB7E0AA"/>
    <w:multiLevelType w:val="hybridMultilevel"/>
    <w:lvl w:ilvl="0">
      <w:lvlJc w:val="left"/>
      <w:lvlText w:val="•"/>
      <w:numFmt w:val="bullet"/>
      <w:start w:val="1"/>
    </w:lvl>
  </w:abstractNum>
  <w:abstractNum w:abstractNumId="6">
    <w:nsid w:val="6EB5BD4"/>
    <w:multiLevelType w:val="hybridMultilevel"/>
    <w:lvl w:ilvl="0">
      <w:lvlJc w:val="left"/>
      <w:lvlText w:val="•"/>
      <w:numFmt w:val="bullet"/>
      <w:start w:val="1"/>
    </w:lvl>
  </w:abstractNum>
  <w:abstractNum w:abstractNumId="7">
    <w:nsid w:val="6F6DD9AC"/>
    <w:multiLevelType w:val="hybridMultilevel"/>
    <w:lvl w:ilvl="0">
      <w:lvlJc w:val="left"/>
      <w:lvlText w:val="•"/>
      <w:numFmt w:val="bullet"/>
      <w:start w:val="1"/>
    </w:lvl>
  </w:abstractNum>
  <w:abstractNum w:abstractNumId="8">
    <w:nsid w:val="94211F2"/>
    <w:multiLevelType w:val="hybridMultilevel"/>
    <w:lvl w:ilvl="0">
      <w:lvlJc w:val="left"/>
      <w:lvlText w:val="•"/>
      <w:numFmt w:val="bullet"/>
      <w:start w:val="1"/>
    </w:lvl>
  </w:abstractNum>
  <w:abstractNum w:abstractNumId="9">
    <w:nsid w:val="885E1B"/>
    <w:multiLevelType w:val="hybridMultilevel"/>
    <w:lvl w:ilvl="0">
      <w:lvlJc w:val="left"/>
      <w:lvlText w:val="•"/>
      <w:numFmt w:val="bullet"/>
      <w:start w:val="1"/>
    </w:lvl>
  </w:abstractNum>
  <w:abstractNum w:abstractNumId="10">
    <w:nsid w:val="76272110"/>
    <w:multiLevelType w:val="hybridMultilevel"/>
    <w:lvl w:ilvl="0">
      <w:lvlJc w:val="left"/>
      <w:lvlText w:val="•"/>
      <w:numFmt w:val="bullet"/>
      <w:start w:val="1"/>
    </w:lvl>
  </w:abstractNum>
  <w:abstractNum w:abstractNumId="11">
    <w:nsid w:val="4C04A8AF"/>
    <w:multiLevelType w:val="hybridMultilevel"/>
    <w:lvl w:ilvl="0">
      <w:lvlJc w:val="left"/>
      <w:lvlText w:val="•"/>
      <w:numFmt w:val="bullet"/>
      <w:start w:val="1"/>
    </w:lvl>
  </w:abstractNum>
  <w:abstractNum w:abstractNumId="12">
    <w:nsid w:val="1716703B"/>
    <w:multiLevelType w:val="hybridMultilevel"/>
    <w:lvl w:ilvl="0">
      <w:lvlJc w:val="left"/>
      <w:lvlText w:val="•"/>
      <w:numFmt w:val="bullet"/>
      <w:start w:val="1"/>
    </w:lvl>
  </w:abstractNum>
  <w:abstractNum w:abstractNumId="13">
    <w:nsid w:val="14E17E33"/>
    <w:multiLevelType w:val="hybridMultilevel"/>
    <w:lvl w:ilvl="0">
      <w:lvlJc w:val="left"/>
      <w:lvlText w:val="•"/>
      <w:numFmt w:val="bullet"/>
      <w:start w:val="1"/>
    </w:lvl>
  </w:abstractNum>
  <w:abstractNum w:abstractNumId="14">
    <w:nsid w:val="3222E7CD"/>
    <w:multiLevelType w:val="hybridMultilevel"/>
    <w:lvl w:ilvl="0">
      <w:lvlJc w:val="left"/>
      <w:lvlText w:val="•"/>
      <w:numFmt w:val="bullet"/>
      <w:start w:val="1"/>
    </w:lvl>
  </w:abstractNum>
  <w:abstractNum w:abstractNumId="15">
    <w:nsid w:val="74DE0EE3"/>
    <w:multiLevelType w:val="hybridMultilevel"/>
    <w:lvl w:ilvl="0">
      <w:lvlJc w:val="left"/>
      <w:lvlText w:val="•"/>
      <w:numFmt w:val="bullet"/>
      <w:start w:val="1"/>
    </w:lvl>
  </w:abstractNum>
  <w:abstractNum w:abstractNumId="16">
    <w:nsid w:val="68EBC550"/>
    <w:multiLevelType w:val="hybridMultilevel"/>
    <w:lvl w:ilvl="0">
      <w:lvlJc w:val="left"/>
      <w:lvlText w:val="•"/>
      <w:numFmt w:val="bullet"/>
      <w:start w:val="1"/>
    </w:lvl>
  </w:abstractNum>
  <w:abstractNum w:abstractNumId="17">
    <w:nsid w:val="2DF6D648"/>
    <w:multiLevelType w:val="hybridMultilevel"/>
    <w:lvl w:ilvl="0">
      <w:lvlJc w:val="left"/>
      <w:lvlText w:val="•"/>
      <w:numFmt w:val="bullet"/>
      <w:start w:val="1"/>
    </w:lvl>
  </w:abstractNum>
  <w:abstractNum w:abstractNumId="18">
    <w:nsid w:val="46B7D447"/>
    <w:multiLevelType w:val="hybridMultilevel"/>
    <w:lvl w:ilvl="0">
      <w:lvlJc w:val="left"/>
      <w:lvlText w:val="•"/>
      <w:numFmt w:val="bullet"/>
      <w:start w:val="1"/>
    </w:lvl>
  </w:abstractNum>
  <w:abstractNum w:abstractNumId="19">
    <w:nsid w:val="4A2AC315"/>
    <w:multiLevelType w:val="hybridMultilevel"/>
    <w:lvl w:ilvl="0">
      <w:lvlJc w:val="left"/>
      <w:lvlText w:val="•"/>
      <w:numFmt w:val="bullet"/>
      <w:start w:val="1"/>
    </w:lvl>
  </w:abstractNum>
  <w:abstractNum w:abstractNumId="20">
    <w:nsid w:val="39EE015C"/>
    <w:multiLevelType w:val="hybridMultilevel"/>
    <w:lvl w:ilvl="0">
      <w:lvlJc w:val="left"/>
      <w:lvlText w:val="•"/>
      <w:numFmt w:val="bullet"/>
      <w:start w:val="1"/>
    </w:lvl>
  </w:abstractNum>
  <w:abstractNum w:abstractNumId="21">
    <w:nsid w:val="57FC4FBB"/>
    <w:multiLevelType w:val="hybridMultilevel"/>
    <w:lvl w:ilvl="0">
      <w:lvlJc w:val="left"/>
      <w:lvlText w:val="•"/>
      <w:numFmt w:val="bullet"/>
      <w:start w:val="1"/>
    </w:lvl>
  </w:abstractNum>
  <w:abstractNum w:abstractNumId="22">
    <w:nsid w:val="CC1016F"/>
    <w:multiLevelType w:val="hybridMultilevel"/>
    <w:lvl w:ilvl="0">
      <w:lvlJc w:val="left"/>
      <w:lvlText w:val="•"/>
      <w:numFmt w:val="bullet"/>
      <w:start w:val="1"/>
    </w:lvl>
  </w:abstractNum>
  <w:abstractNum w:abstractNumId="23">
    <w:nsid w:val="43F18422"/>
    <w:multiLevelType w:val="hybridMultilevel"/>
    <w:lvl w:ilvl="0">
      <w:lvlJc w:val="left"/>
      <w:lvlText w:val="•"/>
      <w:numFmt w:val="bullet"/>
      <w:start w:val="1"/>
    </w:lvl>
  </w:abstractNum>
  <w:abstractNum w:abstractNumId="24">
    <w:nsid w:val="60EF0119"/>
    <w:multiLevelType w:val="hybridMultilevel"/>
    <w:lvl w:ilvl="0">
      <w:lvlJc w:val="left"/>
      <w:lvlText w:val="•"/>
      <w:numFmt w:val="bullet"/>
      <w:start w:val="1"/>
    </w:lvl>
  </w:abstractNum>
  <w:abstractNum w:abstractNumId="25">
    <w:nsid w:val="26F324BA"/>
    <w:multiLevelType w:val="hybridMultilevel"/>
    <w:lvl w:ilvl="0">
      <w:lvlJc w:val="left"/>
      <w:lvlText w:val="•"/>
      <w:numFmt w:val="bullet"/>
      <w:start w:val="1"/>
    </w:lvl>
  </w:abstractNum>
  <w:abstractNum w:abstractNumId="26">
    <w:nsid w:val="7F01579B"/>
    <w:multiLevelType w:val="hybridMultilevel"/>
    <w:lvl w:ilvl="0">
      <w:lvlJc w:val="left"/>
      <w:lvlText w:val="•"/>
      <w:numFmt w:val="bullet"/>
      <w:start w:val="1"/>
    </w:lvl>
  </w:abstractNum>
  <w:abstractNum w:abstractNumId="27">
    <w:nsid w:val="49DA307D"/>
    <w:multiLevelType w:val="hybridMultilevel"/>
    <w:lvl w:ilvl="0">
      <w:lvlJc w:val="left"/>
      <w:lvlText w:val="(%1)"/>
      <w:numFmt w:val="lowerRoman"/>
      <w:start w:val="1"/>
    </w:lvl>
  </w:abstractNum>
  <w:abstractNum w:abstractNumId="28">
    <w:nsid w:val="7055A5F5"/>
    <w:multiLevelType w:val="hybridMultilevel"/>
    <w:lvl w:ilvl="0">
      <w:lvlJc w:val="left"/>
      <w:lvlText w:val="•"/>
      <w:numFmt w:val="bullet"/>
      <w:start w:val="1"/>
    </w:lvl>
  </w:abstractNum>
  <w:abstractNum w:abstractNumId="29">
    <w:nsid w:val="5FB8370B"/>
    <w:multiLevelType w:val="hybridMultilevel"/>
    <w:lvl w:ilvl="0">
      <w:lvlJc w:val="left"/>
      <w:lvlText w:val="•"/>
      <w:numFmt w:val="bullet"/>
      <w:start w:val="1"/>
    </w:lvl>
  </w:abstractNum>
  <w:abstractNum w:abstractNumId="30">
    <w:nsid w:val="50801EE1"/>
    <w:multiLevelType w:val="hybridMultilevel"/>
    <w:lvl w:ilvl="0">
      <w:lvlJc w:val="left"/>
      <w:lvlText w:val="•"/>
      <w:numFmt w:val="bullet"/>
      <w:start w:val="1"/>
    </w:lvl>
  </w:abstractNum>
  <w:abstractNum w:abstractNumId="31">
    <w:nsid w:val="488AC1A"/>
    <w:multiLevelType w:val="hybridMultilevel"/>
    <w:lvl w:ilvl="0">
      <w:lvlJc w:val="left"/>
      <w:lvlText w:val="(%1)"/>
      <w:numFmt w:val="decimal"/>
      <w:start w:val="1"/>
    </w:lvl>
  </w:abstractNum>
  <w:abstractNum w:abstractNumId="32">
    <w:nsid w:val="5FB8011C"/>
    <w:multiLevelType w:val="hybridMultilevel"/>
    <w:lvl w:ilvl="0">
      <w:lvlJc w:val="left"/>
      <w:lvlText w:val="•"/>
      <w:numFmt w:val="bullet"/>
      <w:start w:val="1"/>
    </w:lvl>
  </w:abstractNum>
  <w:abstractNum w:abstractNumId="33">
    <w:nsid w:val="6AA78F7F"/>
    <w:multiLevelType w:val="hybridMultilevel"/>
    <w:lvl w:ilvl="0">
      <w:lvlJc w:val="left"/>
      <w:lvlText w:val="(%1)"/>
      <w:numFmt w:val="decimal"/>
      <w:start w:val="3"/>
    </w:lvl>
  </w:abstractNum>
  <w:abstractNum w:abstractNumId="34">
    <w:nsid w:val="7672BD23"/>
    <w:multiLevelType w:val="hybridMultilevel"/>
    <w:lvl w:ilvl="0">
      <w:lvlJc w:val="left"/>
      <w:lvlText w:val="•"/>
      <w:numFmt w:val="bullet"/>
      <w:start w:val="1"/>
    </w:lvl>
  </w:abstractNum>
  <w:abstractNum w:abstractNumId="35">
    <w:nsid w:val="6FC75AF8"/>
    <w:multiLevelType w:val="hybridMultilevel"/>
    <w:lvl w:ilvl="0">
      <w:lvlJc w:val="left"/>
      <w:lvlText w:val="(%1)"/>
      <w:numFmt w:val="decimal"/>
      <w:start w:val="2"/>
    </w:lvl>
  </w:abstractNum>
  <w:abstractNum w:abstractNumId="36">
    <w:nsid w:val="6A5F7029"/>
    <w:multiLevelType w:val="hybridMultilevel"/>
    <w:lvl w:ilvl="0">
      <w:lvlJc w:val="left"/>
      <w:lvlText w:val="•"/>
      <w:numFmt w:val="bullet"/>
      <w:start w:val="1"/>
    </w:lvl>
  </w:abstractNum>
  <w:abstractNum w:abstractNumId="37">
    <w:nsid w:val="7D5E18F8"/>
    <w:multiLevelType w:val="hybridMultilevel"/>
    <w:lvl w:ilvl="0">
      <w:lvlJc w:val="left"/>
      <w:lvlText w:val="•"/>
      <w:numFmt w:val="bullet"/>
      <w:start w:val="1"/>
    </w:lvl>
  </w:abstractNum>
  <w:abstractNum w:abstractNumId="38">
    <w:nsid w:val="5F3534A4"/>
    <w:multiLevelType w:val="hybridMultilevel"/>
    <w:lvl w:ilvl="0">
      <w:lvlJc w:val="left"/>
      <w:lvlText w:val="(%1)"/>
      <w:numFmt w:val="lowerRoman"/>
      <w:start w:val="1"/>
    </w:lvl>
  </w:abstractNum>
  <w:abstractNum w:abstractNumId="39">
    <w:nsid w:val="73A1821B"/>
    <w:multiLevelType w:val="hybridMultilevel"/>
    <w:lvl w:ilvl="0">
      <w:lvlJc w:val="left"/>
      <w:lvlText w:val="%1)"/>
      <w:numFmt w:val="decimal"/>
      <w:start w:val="1"/>
    </w:lvl>
  </w:abstractNum>
  <w:abstractNum w:abstractNumId="40">
    <w:nsid w:val="7DE67713"/>
    <w:multiLevelType w:val="hybridMultilevel"/>
    <w:lvl w:ilvl="0">
      <w:lvlJc w:val="left"/>
      <w:lvlText w:val="•"/>
      <w:numFmt w:val="bullet"/>
      <w:start w:val="1"/>
    </w:lvl>
  </w:abstractNum>
  <w:abstractNum w:abstractNumId="41">
    <w:nsid w:val="555C55B5"/>
    <w:multiLevelType w:val="hybridMultilevel"/>
    <w:lvl w:ilvl="0">
      <w:lvlJc w:val="left"/>
      <w:lvlText w:val="(%1)"/>
      <w:numFmt w:val="decimal"/>
      <w:start w:val="1"/>
    </w:lvl>
  </w:abstractNum>
  <w:abstractNum w:abstractNumId="42">
    <w:nsid w:val="3FA62ACA"/>
    <w:multiLevelType w:val="hybridMultilevel"/>
    <w:lvl w:ilvl="0">
      <w:lvlJc w:val="left"/>
      <w:lvlText w:val="(%1)"/>
      <w:numFmt w:val="lowerLetter"/>
      <w:start w:val="1"/>
    </w:lvl>
  </w:abstractNum>
  <w:abstractNum w:abstractNumId="43">
    <w:nsid w:val="14FCE74E"/>
    <w:multiLevelType w:val="hybridMultilevel"/>
    <w:lvl w:ilvl="0">
      <w:lvlJc w:val="left"/>
      <w:lvlText w:val="(%1)"/>
      <w:numFmt w:val="decimal"/>
      <w:start w:val="1"/>
    </w:lvl>
  </w:abstractNum>
  <w:abstractNum w:abstractNumId="44">
    <w:nsid w:val="6A3DD3E8"/>
    <w:multiLevelType w:val="hybridMultilevel"/>
    <w:lvl w:ilvl="0">
      <w:lvlJc w:val="left"/>
      <w:lvlText w:val="(%1)"/>
      <w:numFmt w:val="decimal"/>
      <w:start w:val="1"/>
    </w:lvl>
  </w:abstractNum>
  <w:abstractNum w:abstractNumId="45">
    <w:nsid w:val="71C91298"/>
    <w:multiLevelType w:val="hybridMultilevel"/>
    <w:lvl w:ilvl="0">
      <w:lvlJc w:val="left"/>
      <w:lvlText w:val="(%1)"/>
      <w:numFmt w:val="upperLetter"/>
      <w:start w:val="2"/>
    </w:lvl>
  </w:abstractNum>
  <w:abstractNum w:abstractNumId="46">
    <w:nsid w:val="9DAF632"/>
    <w:multiLevelType w:val="hybridMultilevel"/>
    <w:lvl w:ilvl="0">
      <w:lvlJc w:val="left"/>
      <w:lvlText w:val="(%1)"/>
      <w:numFmt w:val="upperLetter"/>
      <w:start w:val="4"/>
    </w:lvl>
  </w:abstractNum>
  <w:abstractNum w:abstractNumId="47">
    <w:nsid w:val="53299938"/>
    <w:multiLevelType w:val="hybridMultilevel"/>
    <w:lvl w:ilvl="0">
      <w:lvlJc w:val="left"/>
      <w:lvlText w:val="%1)"/>
      <w:numFmt w:val="lowerLetter"/>
      <w:start w:val="1"/>
    </w:lvl>
  </w:abstractNum>
  <w:abstractNum w:abstractNumId="48">
    <w:nsid w:val="1FBFE8E0"/>
    <w:multiLevelType w:val="hybridMultilevel"/>
    <w:lvl w:ilvl="0">
      <w:lvlJc w:val="left"/>
      <w:lvlText w:val="%1)"/>
      <w:numFmt w:val="lowerLetter"/>
      <w:start w:val="2"/>
    </w:lvl>
  </w:abstractNum>
  <w:abstractNum w:abstractNumId="49">
    <w:nsid w:val="5092CA79"/>
    <w:multiLevelType w:val="hybridMultilevel"/>
    <w:lvl w:ilvl="0">
      <w:lvlJc w:val="left"/>
      <w:lvlText w:val="%1)"/>
      <w:numFmt w:val="lowerLetter"/>
      <w:start w:val="3"/>
    </w:lvl>
  </w:abstractNum>
  <w:abstractNum w:abstractNumId="50">
    <w:nsid w:val="1D545C4D"/>
    <w:multiLevelType w:val="hybridMultilevel"/>
    <w:lvl w:ilvl="0">
      <w:lvlJc w:val="left"/>
      <w:lvlText w:val="(%1)"/>
      <w:numFmt w:val="lowerLetter"/>
      <w:start w:val="2"/>
    </w:lvl>
  </w:abstractNum>
  <w:abstractNum w:abstractNumId="51">
    <w:nsid w:val="59ADEA3D"/>
    <w:multiLevelType w:val="hybridMultilevel"/>
    <w:lvl w:ilvl="0">
      <w:lvlJc w:val="left"/>
      <w:lvlText w:val="(%1)"/>
      <w:numFmt w:val="lowerLetter"/>
      <w:start w:val="1"/>
    </w:lvl>
  </w:abstractNum>
  <w:abstractNum w:abstractNumId="52">
    <w:nsid w:val="288F1A34"/>
    <w:multiLevelType w:val="hybridMultilevel"/>
    <w:lvl w:ilvl="0">
      <w:lvlJc w:val="left"/>
      <w:lvlText w:val="(%1)"/>
      <w:numFmt w:val="lowerLetter"/>
      <w:start w:val="3"/>
    </w:lvl>
  </w:abstractNum>
  <w:abstractNum w:abstractNumId="53">
    <w:nsid w:val="2A155DBC"/>
    <w:multiLevelType w:val="hybridMultilevel"/>
    <w:lvl w:ilvl="0">
      <w:lvlJc w:val="left"/>
      <w:lvlText w:val="(%1)"/>
      <w:numFmt w:val="lowerLetter"/>
      <w:start w:val="6"/>
    </w:lvl>
  </w:abstractNum>
  <w:abstractNum w:abstractNumId="54">
    <w:nsid w:val="1D9F6E5F"/>
    <w:multiLevelType w:val="hybridMultilevel"/>
    <w:lvl w:ilvl="0">
      <w:lvlJc w:val="left"/>
      <w:lvlText w:val="•"/>
      <w:numFmt w:val="bullet"/>
      <w:start w:val="1"/>
    </w:lvl>
  </w:abstractNum>
  <w:abstractNum w:abstractNumId="55">
    <w:nsid w:val="97E1B4E"/>
    <w:multiLevelType w:val="hybridMultilevel"/>
    <w:lvl w:ilvl="0">
      <w:lvlJc w:val="left"/>
      <w:lvlText w:val="•"/>
      <w:numFmt w:val="bullet"/>
      <w:start w:val="1"/>
    </w:lvl>
  </w:abstractNum>
  <w:abstractNum w:abstractNumId="56">
    <w:nsid w:val="51088277"/>
    <w:multiLevelType w:val="hybridMultilevel"/>
    <w:lvl w:ilvl="0">
      <w:lvlJc w:val="left"/>
      <w:lvlText w:val="•"/>
      <w:numFmt w:val="bullet"/>
      <w:start w:val="1"/>
    </w:lvl>
  </w:abstractNum>
  <w:abstractNum w:abstractNumId="57">
    <w:nsid w:val="1CA0C5FA"/>
    <w:multiLevelType w:val="hybridMultilevel"/>
    <w:lvl w:ilvl="0">
      <w:lvlJc w:val="left"/>
      <w:lvlText w:val="•"/>
      <w:numFmt w:val="bullet"/>
      <w:start w:val="1"/>
    </w:lvl>
  </w:abstractNum>
  <w:abstractNum w:abstractNumId="58">
    <w:nsid w:val="53584BCB"/>
    <w:multiLevelType w:val="hybridMultilevel"/>
    <w:lvl w:ilvl="0">
      <w:lvlJc w:val="left"/>
      <w:lvlText w:val="(%1)"/>
      <w:numFmt w:val="lowerLetter"/>
      <w:start w:val="1"/>
    </w:lvl>
  </w:abstractNum>
  <w:abstractNum w:abstractNumId="59">
    <w:nsid w:val="415E286C"/>
    <w:multiLevelType w:val="hybridMultilevel"/>
    <w:lvl w:ilvl="0">
      <w:lvlJc w:val="left"/>
      <w:lvlText w:val="•"/>
      <w:numFmt w:val="bullet"/>
      <w:start w:val="1"/>
    </w:lvl>
  </w:abstractNum>
  <w:abstractNum w:abstractNumId="60">
    <w:nsid w:val="7C58FD05"/>
    <w:multiLevelType w:val="hybridMultilevel"/>
    <w:lvl w:ilvl="0">
      <w:lvlJc w:val="left"/>
      <w:lvlText w:val="•"/>
      <w:numFmt w:val="bullet"/>
      <w:start w:val="1"/>
    </w:lvl>
  </w:abstractNum>
  <w:abstractNum w:abstractNumId="61">
    <w:nsid w:val="23D86AAC"/>
    <w:multiLevelType w:val="hybridMultilevel"/>
    <w:lvl w:ilvl="0">
      <w:lvlJc w:val="left"/>
      <w:lvlText w:val="•"/>
      <w:numFmt w:val="bullet"/>
      <w:start w:val="1"/>
    </w:lvl>
  </w:abstractNum>
  <w:abstractNum w:abstractNumId="62">
    <w:nsid w:val="45E6D486"/>
    <w:multiLevelType w:val="hybridMultilevel"/>
    <w:lvl w:ilvl="0">
      <w:lvlJc w:val="left"/>
      <w:lvlText w:val="*"/>
      <w:numFmt w:val="bullet"/>
      <w:start w:val="1"/>
    </w:lvl>
  </w:abstractNum>
  <w:abstractNum w:abstractNumId="63">
    <w:nsid w:val="5C10FE21"/>
    <w:multiLevelType w:val="hybridMultilevel"/>
    <w:lvl w:ilvl="0">
      <w:lvlJc w:val="left"/>
      <w:lvlText w:val="(%1)"/>
      <w:numFmt w:val="decimal"/>
      <w:start w:val="1"/>
    </w:lvl>
  </w:abstractNum>
  <w:abstractNum w:abstractNumId="64">
    <w:nsid w:val="E7FFA2B"/>
    <w:multiLevelType w:val="hybridMultilevel"/>
    <w:lvl w:ilvl="0">
      <w:lvlJc w:val="left"/>
      <w:lvlText w:val="(%1)"/>
      <w:numFmt w:val="decimal"/>
      <w:start w:val="10"/>
    </w:lvl>
  </w:abstractNum>
  <w:abstractNum w:abstractNumId="65">
    <w:nsid w:val="3C5991AA"/>
    <w:multiLevelType w:val="hybridMultilevel"/>
    <w:lvl w:ilvl="0">
      <w:lvlJc w:val="left"/>
      <w:lvlText w:val="(%1)"/>
      <w:numFmt w:val="decimal"/>
      <w:start w:val="1"/>
    </w:lvl>
  </w:abstractNum>
  <w:abstractNum w:abstractNumId="66">
    <w:nsid w:val="4BD8591A"/>
    <w:multiLevelType w:val="hybridMultilevel"/>
    <w:lvl w:ilvl="0">
      <w:lvlJc w:val="left"/>
      <w:lvlText w:val="•"/>
      <w:numFmt w:val="bullet"/>
      <w:start w:val="1"/>
    </w:lvl>
  </w:abstractNum>
  <w:abstractNum w:abstractNumId="67">
    <w:nsid w:val="78DF6A55"/>
    <w:multiLevelType w:val="hybridMultilevel"/>
    <w:lvl w:ilvl="0">
      <w:lvlJc w:val="left"/>
      <w:lvlText w:val="(%1)"/>
      <w:numFmt w:val="decimal"/>
      <w:start w:val="9"/>
    </w:lvl>
  </w:abstractNum>
  <w:abstractNum w:abstractNumId="68">
    <w:nsid w:val="39B7AAA2"/>
    <w:multiLevelType w:val="hybridMultilevel"/>
    <w:lvl w:ilvl="0">
      <w:lvlJc w:val="left"/>
      <w:lvlText w:val="(%1)"/>
      <w:numFmt w:val="lowerRoman"/>
      <w:start w:val="1"/>
    </w:lvl>
  </w:abstractNum>
  <w:abstractNum w:abstractNumId="69">
    <w:nsid w:val="2B0D8DBE"/>
    <w:multiLevelType w:val="hybridMultilevel"/>
    <w:lvl w:ilvl="0">
      <w:lvlJc w:val="left"/>
      <w:lvlText w:val="•"/>
      <w:numFmt w:val="bullet"/>
      <w:start w:val="1"/>
    </w:lvl>
  </w:abstractNum>
  <w:abstractNum w:abstractNumId="70">
    <w:nsid w:val="6C80EC70"/>
    <w:multiLevelType w:val="hybridMultilevel"/>
    <w:lvl w:ilvl="0">
      <w:lvlJc w:val="left"/>
      <w:lvlText w:val="•"/>
      <w:numFmt w:val="bullet"/>
      <w:start w:val="1"/>
    </w:lvl>
  </w:abstractNum>
  <w:abstractNum w:abstractNumId="71">
    <w:nsid w:val="379E21B5"/>
    <w:multiLevelType w:val="hybridMultilevel"/>
    <w:lvl w:ilvl="0">
      <w:lvlJc w:val="left"/>
      <w:lvlText w:val="•"/>
      <w:numFmt w:val="bullet"/>
      <w:start w:val="1"/>
    </w:lvl>
  </w:abstractNum>
  <w:abstractNum w:abstractNumId="72">
    <w:nsid w:val="69E373"/>
    <w:multiLevelType w:val="hybridMultilevel"/>
    <w:lvl w:ilvl="0">
      <w:lvlJc w:val="left"/>
      <w:lvlText w:val="•"/>
      <w:numFmt w:val="bullet"/>
      <w:start w:val="1"/>
    </w:lvl>
  </w:abstractNum>
  <w:abstractNum w:abstractNumId="73">
    <w:nsid w:val="2C27173B"/>
    <w:multiLevelType w:val="hybridMultilevel"/>
    <w:lvl w:ilvl="0">
      <w:lvlJc w:val="left"/>
      <w:lvlText w:val="•"/>
      <w:numFmt w:val="bullet"/>
      <w:start w:val="1"/>
    </w:lvl>
  </w:abstractNum>
  <w:abstractNum w:abstractNumId="74">
    <w:nsid w:val="4C9B0904"/>
    <w:multiLevelType w:val="hybridMultilevel"/>
    <w:lvl w:ilvl="0">
      <w:lvlJc w:val="left"/>
      <w:lvlText w:val="•"/>
      <w:numFmt w:val="bullet"/>
      <w:start w:val="1"/>
    </w:lvl>
  </w:abstractNum>
  <w:abstractNum w:abstractNumId="75">
    <w:nsid w:val="6AA7B75C"/>
    <w:multiLevelType w:val="hybridMultilevel"/>
    <w:lvl w:ilvl="0">
      <w:lvlJc w:val="left"/>
      <w:lvlText w:val="(%1)"/>
      <w:numFmt w:val="decimal"/>
      <w:start w:val="636"/>
    </w:lvl>
  </w:abstractNum>
  <w:abstractNum w:abstractNumId="76">
    <w:nsid w:val="1DF029D3"/>
    <w:multiLevelType w:val="hybridMultilevel"/>
    <w:lvl w:ilvl="0">
      <w:lvlJc w:val="left"/>
      <w:lvlText w:val="%1."/>
      <w:numFmt w:val="decimal"/>
      <w:start w:val="1"/>
    </w:lvl>
  </w:abstractNum>
  <w:abstractNum w:abstractNumId="77">
    <w:nsid w:val="5675FF36"/>
    <w:multiLevelType w:val="hybridMultilevel"/>
    <w:lvl w:ilvl="0">
      <w:lvlJc w:val="left"/>
      <w:lvlText w:val="%1."/>
      <w:numFmt w:val="decimal"/>
      <w:start w:val="1"/>
    </w:lvl>
  </w:abstractNum>
  <w:abstractNum w:abstractNumId="78">
    <w:nsid w:val="3DD15094"/>
    <w:multiLevelType w:val="hybridMultilevel"/>
    <w:lvl w:ilvl="0">
      <w:lvlJc w:val="left"/>
      <w:lvlText w:val="%1."/>
      <w:numFmt w:val="decimal"/>
      <w:start w:val="2"/>
    </w:lvl>
  </w:abstractNum>
  <w:abstractNum w:abstractNumId="79">
    <w:nsid w:val="3DB012B3"/>
    <w:multiLevelType w:val="hybridMultilevel"/>
    <w:lvl w:ilvl="0">
      <w:lvlJc w:val="left"/>
      <w:lvlText w:val="%1."/>
      <w:numFmt w:val="decimal"/>
      <w:start w:val="2"/>
    </w:lvl>
  </w:abstractNum>
  <w:abstractNum w:abstractNumId="80">
    <w:nsid w:val="2708C9AF"/>
    <w:multiLevelType w:val="hybridMultilevel"/>
    <w:lvl w:ilvl="0">
      <w:lvlJc w:val="left"/>
      <w:lvlText w:val="%1."/>
      <w:numFmt w:val="decimal"/>
      <w:start w:val="2"/>
    </w:lvl>
  </w:abstractNum>
  <w:abstractNum w:abstractNumId="81">
    <w:nsid w:val="5B25ACE2"/>
    <w:multiLevelType w:val="hybridMultilevel"/>
    <w:lvl w:ilvl="0">
      <w:lvlJc w:val="left"/>
      <w:lvlText w:val="%1."/>
      <w:numFmt w:val="decimal"/>
      <w:start w:val="2"/>
    </w:lvl>
  </w:abstractNum>
  <w:abstractNum w:abstractNumId="82">
    <w:nsid w:val="175DFCF0"/>
    <w:multiLevelType w:val="hybridMultilevel"/>
    <w:lvl w:ilvl="0">
      <w:lvlJc w:val="left"/>
      <w:lvlText w:val="(%1)"/>
      <w:numFmt w:val="lowerRoman"/>
      <w:start w:val="1"/>
    </w:lvl>
  </w:abstractNum>
  <w:abstractNum w:abstractNumId="83">
    <w:nsid w:val="4F97E3E4"/>
    <w:multiLevelType w:val="hybridMultilevel"/>
    <w:lvl w:ilvl="0">
      <w:lvlJc w:val="left"/>
      <w:lvlText w:val="%1."/>
      <w:numFmt w:val="decimal"/>
      <w:start w:val="2"/>
    </w:lvl>
  </w:abstractNum>
  <w:abstractNum w:abstractNumId="84">
    <w:nsid w:val="53B0A9E"/>
    <w:multiLevelType w:val="hybridMultilevel"/>
    <w:lvl w:ilvl="0">
      <w:lvlJc w:val="left"/>
      <w:lvlText w:val="%1."/>
      <w:numFmt w:val="decimal"/>
      <w:start w:val="2"/>
    </w:lvl>
  </w:abstractNum>
  <w:abstractNum w:abstractNumId="85">
    <w:nsid w:val="34FD6B4F"/>
    <w:multiLevelType w:val="hybridMultilevel"/>
    <w:lvl w:ilvl="0">
      <w:lvlJc w:val="left"/>
      <w:lvlText w:val="•"/>
      <w:numFmt w:val="bullet"/>
      <w:start w:val="1"/>
    </w:lvl>
  </w:abstractNum>
  <w:abstractNum w:abstractNumId="86">
    <w:nsid w:val="5915FF32"/>
    <w:multiLevelType w:val="hybridMultilevel"/>
    <w:lvl w:ilvl="0">
      <w:lvlJc w:val="left"/>
      <w:lvlText w:val="%1."/>
      <w:numFmt w:val="decimal"/>
      <w:start w:val="2"/>
    </w:lvl>
  </w:abstractNum>
  <w:abstractNum w:abstractNumId="87">
    <w:nsid w:val="56438D15"/>
    <w:multiLevelType w:val="hybridMultilevel"/>
    <w:lvl w:ilvl="0">
      <w:lvlJc w:val="left"/>
      <w:lvlText w:val="(%1)"/>
      <w:numFmt w:val="lowerRoman"/>
      <w:start w:val="3"/>
    </w:lvl>
  </w:abstractNum>
  <w:abstractNum w:abstractNumId="88">
    <w:nsid w:val="519E3149"/>
    <w:multiLevelType w:val="hybridMultilevel"/>
    <w:lvl w:ilvl="0">
      <w:lvlJc w:val="left"/>
      <w:lvlText w:val="%1."/>
      <w:numFmt w:val="decimal"/>
      <w:start w:val="2"/>
    </w:lvl>
  </w:abstractNum>
  <w:abstractNum w:abstractNumId="89">
    <w:nsid w:val="2C6E4AFD"/>
    <w:multiLevelType w:val="hybridMultilevel"/>
    <w:lvl w:ilvl="0">
      <w:lvlJc w:val="left"/>
      <w:lvlText w:val="•"/>
      <w:numFmt w:val="bullet"/>
      <w:start w:val="1"/>
    </w:lvl>
  </w:abstractNum>
  <w:abstractNum w:abstractNumId="90">
    <w:nsid w:val="17A1B582"/>
    <w:multiLevelType w:val="hybridMultilevel"/>
    <w:lvl w:ilvl="0">
      <w:lvlJc w:val="left"/>
      <w:lvlText w:val="%1."/>
      <w:numFmt w:val="decimal"/>
      <w:start w:val="2"/>
    </w:lvl>
  </w:abstractNum>
  <w:abstractNum w:abstractNumId="91">
    <w:nsid w:val="4DF72E4E"/>
    <w:multiLevelType w:val="hybridMultilevel"/>
    <w:lvl w:ilvl="0">
      <w:lvlJc w:val="left"/>
      <w:lvlText w:val="%1."/>
      <w:numFmt w:val="decimal"/>
      <w:start w:val="3"/>
    </w:lvl>
  </w:abstractNum>
  <w:abstractNum w:abstractNumId="92">
    <w:nsid w:val="5046B5A9"/>
    <w:multiLevelType w:val="hybridMultilevel"/>
    <w:lvl w:ilvl="0">
      <w:lvlJc w:val="left"/>
      <w:lvlText w:val="%1."/>
      <w:numFmt w:val="decimal"/>
      <w:start w:val="3"/>
    </w:lvl>
  </w:abstractNum>
  <w:abstractNum w:abstractNumId="93">
    <w:nsid w:val="5D888A08"/>
    <w:multiLevelType w:val="hybridMultilevel"/>
    <w:lvl w:ilvl="0">
      <w:lvlJc w:val="left"/>
      <w:lvlText w:val="•"/>
      <w:numFmt w:val="bullet"/>
      <w:start w:val="1"/>
    </w:lvl>
  </w:abstractNum>
  <w:abstractNum w:abstractNumId="94">
    <w:nsid w:val="2A082C70"/>
    <w:multiLevelType w:val="hybridMultilevel"/>
    <w:lvl w:ilvl="0">
      <w:lvlJc w:val="left"/>
      <w:lvlText w:val="%1."/>
      <w:numFmt w:val="decimal"/>
      <w:start w:val="3"/>
    </w:lvl>
    <w:lvl w:ilvl="1">
      <w:lvlJc w:val="left"/>
      <w:lvlText w:val="•"/>
      <w:numFmt w:val="bullet"/>
      <w:start w:val="1"/>
    </w:lvl>
  </w:abstractNum>
  <w:abstractNum w:abstractNumId="95">
    <w:nsid w:val="5EC6AFD4"/>
    <w:multiLevelType w:val="hybridMultilevel"/>
    <w:lvl w:ilvl="0">
      <w:lvlJc w:val="left"/>
      <w:lvlText w:val="%1."/>
      <w:numFmt w:val="decimal"/>
      <w:start w:val="3"/>
    </w:lvl>
  </w:abstractNum>
  <w:abstractNum w:abstractNumId="96">
    <w:nsid w:val="19E21BB2"/>
    <w:multiLevelType w:val="hybridMultilevel"/>
    <w:lvl w:ilvl="0">
      <w:lvlJc w:val="left"/>
      <w:lvlText w:val="%1."/>
      <w:numFmt w:val="decimal"/>
      <w:start w:val="5"/>
    </w:lvl>
  </w:abstractNum>
  <w:abstractNum w:abstractNumId="97">
    <w:nsid w:val="75E0858A"/>
    <w:multiLevelType w:val="hybridMultilevel"/>
    <w:lvl w:ilvl="0">
      <w:lvlJc w:val="left"/>
      <w:lvlText w:val="%1."/>
      <w:numFmt w:val="decimal"/>
      <w:start w:val="6"/>
    </w:lvl>
  </w:abstractNum>
  <w:abstractNum w:abstractNumId="98">
    <w:nsid w:val="57A61A29"/>
    <w:multiLevelType w:val="hybridMultilevel"/>
    <w:lvl w:ilvl="0">
      <w:lvlJc w:val="left"/>
      <w:lvlText w:val="%1."/>
      <w:numFmt w:val="decimal"/>
      <w:start w:val="6"/>
    </w:lvl>
  </w:abstractNum>
  <w:abstractNum w:abstractNumId="99">
    <w:nsid w:val="5399C654"/>
    <w:multiLevelType w:val="hybridMultilevel"/>
    <w:lvl w:ilvl="0">
      <w:lvlJc w:val="left"/>
      <w:lvlText w:val="%1."/>
      <w:numFmt w:val="decimal"/>
      <w:start w:val="7"/>
    </w:lvl>
  </w:abstractNum>
  <w:abstractNum w:abstractNumId="100">
    <w:nsid w:val="20EE1348"/>
    <w:multiLevelType w:val="hybridMultilevel"/>
    <w:lvl w:ilvl="0">
      <w:lvlJc w:val="left"/>
      <w:lvlText w:val="%1."/>
      <w:numFmt w:val="decimal"/>
      <w:start w:val="7"/>
    </w:lvl>
  </w:abstractNum>
  <w:abstractNum w:abstractNumId="101">
    <w:nsid w:val="4427069A"/>
    <w:multiLevelType w:val="hybridMultilevel"/>
    <w:lvl w:ilvl="0">
      <w:lvlJc w:val="left"/>
      <w:lvlText w:val="%1."/>
      <w:numFmt w:val="decimal"/>
      <w:start w:val="8"/>
    </w:lvl>
  </w:abstractNum>
  <w:abstractNum w:abstractNumId="102">
    <w:nsid w:val="B37E80A"/>
    <w:multiLevelType w:val="hybridMultilevel"/>
    <w:lvl w:ilvl="0">
      <w:lvlJc w:val="left"/>
      <w:lvlText w:val="\emdash "/>
      <w:numFmt w:val="bullet"/>
      <w:start w:val="1"/>
    </w:lvl>
  </w:abstractNum>
  <w:abstractNum w:abstractNumId="103">
    <w:nsid w:val="2157F6BC"/>
    <w:multiLevelType w:val="hybridMultilevel"/>
    <w:lvl w:ilvl="0">
      <w:lvlJc w:val="left"/>
      <w:lvlText w:val="%1."/>
      <w:numFmt w:val="decimal"/>
      <w:start w:val="8"/>
    </w:lvl>
  </w:abstractNum>
  <w:abstractNum w:abstractNumId="104">
    <w:nsid w:val="704E1DD5"/>
    <w:multiLevelType w:val="hybridMultilevel"/>
    <w:lvl w:ilvl="0">
      <w:lvlJc w:val="left"/>
      <w:lvlText w:val="%1."/>
      <w:numFmt w:val="decimal"/>
      <w:start w:val="8"/>
    </w:lvl>
  </w:abstractNum>
  <w:abstractNum w:abstractNumId="105">
    <w:nsid w:val="57D2F10E"/>
    <w:multiLevelType w:val="hybridMultilevel"/>
    <w:lvl w:ilvl="0">
      <w:lvlJc w:val="left"/>
      <w:lvlText w:val="%1."/>
      <w:numFmt w:val="decimal"/>
      <w:start w:val="8"/>
    </w:lvl>
  </w:abstractNum>
  <w:abstractNum w:abstractNumId="106">
    <w:nsid w:val="BFFAE18"/>
    <w:multiLevelType w:val="hybridMultilevel"/>
    <w:lvl w:ilvl="0">
      <w:lvlJc w:val="left"/>
      <w:lvlText w:val="%1."/>
      <w:numFmt w:val="decimal"/>
      <w:start w:val="9"/>
    </w:lvl>
  </w:abstractNum>
  <w:abstractNum w:abstractNumId="107">
    <w:nsid w:val="E3E47A8"/>
    <w:multiLevelType w:val="hybridMultilevel"/>
    <w:lvl w:ilvl="0">
      <w:lvlJc w:val="left"/>
      <w:lvlText w:val="%1."/>
      <w:numFmt w:val="decimal"/>
      <w:start w:val="9"/>
    </w:lvl>
  </w:abstractNum>
  <w:abstractNum w:abstractNumId="108">
    <w:nsid w:val="2E48F044"/>
    <w:multiLevelType w:val="hybridMultilevel"/>
    <w:lvl w:ilvl="0">
      <w:lvlJc w:val="left"/>
      <w:lvlText w:val="%1."/>
      <w:numFmt w:val="decimal"/>
      <w:start w:val="9"/>
    </w:lvl>
  </w:abstractNum>
  <w:abstractNum w:abstractNumId="109">
    <w:nsid w:val="49D0FEAC"/>
    <w:multiLevelType w:val="hybridMultilevel"/>
    <w:lvl w:ilvl="0">
      <w:lvlJc w:val="left"/>
      <w:lvlText w:val="%1."/>
      <w:numFmt w:val="decimal"/>
      <w:start w:val="9"/>
    </w:lvl>
  </w:abstractNum>
  <w:abstractNum w:abstractNumId="110">
    <w:nsid w:val="4BEE5A5B"/>
    <w:multiLevelType w:val="hybridMultilevel"/>
    <w:lvl w:ilvl="0">
      <w:lvlJc w:val="left"/>
      <w:lvlText w:val="(%1)"/>
      <w:numFmt w:val="lowerRoman"/>
      <w:start w:val="2"/>
    </w:lvl>
  </w:abstractNum>
  <w:abstractNum w:abstractNumId="111">
    <w:nsid w:val="5551B9F3"/>
    <w:multiLevelType w:val="hybridMultilevel"/>
    <w:lvl w:ilvl="0">
      <w:lvlJc w:val="left"/>
      <w:lvlText w:val="(%1)"/>
      <w:numFmt w:val="lowerRoman"/>
      <w:start w:val="1"/>
    </w:lvl>
  </w:abstractNum>
  <w:abstractNum w:abstractNumId="112">
    <w:nsid w:val="24F6AB8E"/>
    <w:multiLevelType w:val="hybridMultilevel"/>
    <w:lvl w:ilvl="0">
      <w:lvlJc w:val="left"/>
      <w:lvlText w:val="(%1)"/>
      <w:numFmt w:val="lowerRoman"/>
      <w:start w:val="2"/>
    </w:lvl>
  </w:abstractNum>
  <w:abstractNum w:abstractNumId="113">
    <w:nsid w:val="634C574C"/>
    <w:multiLevelType w:val="hybridMultilevel"/>
    <w:lvl w:ilvl="0">
      <w:lvlJc w:val="left"/>
      <w:lvlText w:val="(%1)"/>
      <w:numFmt w:val="lowerRoman"/>
      <w:start w:val="2"/>
    </w:lvl>
  </w:abstractNum>
  <w:abstractNum w:abstractNumId="114">
    <w:nsid w:val="24E99DD7"/>
    <w:multiLevelType w:val="hybridMultilevel"/>
    <w:lvl w:ilvl="0">
      <w:lvlJc w:val="left"/>
      <w:lvlText w:val="%1."/>
      <w:numFmt w:val="decimal"/>
      <w:start w:val="1"/>
    </w:lvl>
  </w:abstractNum>
  <w:abstractNum w:abstractNumId="115">
    <w:nsid w:val="2A31B62D"/>
    <w:multiLevelType w:val="hybridMultilevel"/>
    <w:lvl w:ilvl="0">
      <w:lvlJc w:val="left"/>
      <w:lvlText w:val="•"/>
      <w:numFmt w:val="bullet"/>
      <w:start w:val="1"/>
    </w:lvl>
  </w:abstractNum>
  <w:abstractNum w:abstractNumId="116">
    <w:nsid w:val="1849C29B"/>
    <w:multiLevelType w:val="hybridMultilevel"/>
    <w:lvl w:ilvl="0">
      <w:lvlJc w:val="left"/>
      <w:lvlText w:val="%1."/>
      <w:numFmt w:val="decimal"/>
      <w:start w:val="1"/>
    </w:lvl>
  </w:abstractNum>
  <w:abstractNum w:abstractNumId="117">
    <w:nsid w:val="7DFF9D09"/>
    <w:multiLevelType w:val="hybridMultilevel"/>
    <w:lvl w:ilvl="0">
      <w:lvlJc w:val="left"/>
      <w:lvlText w:val="%1."/>
      <w:numFmt w:val="decimal"/>
      <w:start w:val="1"/>
    </w:lvl>
  </w:abstractNum>
  <w:abstractNum w:abstractNumId="118">
    <w:nsid w:val="754342"/>
    <w:multiLevelType w:val="hybridMultilevel"/>
    <w:lvl w:ilvl="0">
      <w:lvlJc w:val="left"/>
      <w:lvlText w:val="%1."/>
      <w:numFmt w:val="decimal"/>
      <w:start w:val="2"/>
    </w:lvl>
  </w:abstractNum>
  <w:abstractNum w:abstractNumId="119">
    <w:nsid w:val="69E7F3E5"/>
    <w:multiLevelType w:val="hybridMultilevel"/>
    <w:lvl w:ilvl="0">
      <w:lvlJc w:val="left"/>
      <w:lvlText w:val="%1."/>
      <w:numFmt w:val="decimal"/>
      <w:start w:val="2"/>
    </w:lvl>
  </w:abstractNum>
  <w:abstractNum w:abstractNumId="120">
    <w:nsid w:val="2A6DE806"/>
    <w:multiLevelType w:val="hybridMultilevel"/>
    <w:lvl w:ilvl="0">
      <w:lvlJc w:val="left"/>
      <w:lvlText w:val="%1."/>
      <w:numFmt w:val="decimal"/>
      <w:start w:val="2"/>
    </w:lvl>
  </w:abstractNum>
  <w:abstractNum w:abstractNumId="121">
    <w:nsid w:val="1816F8C4"/>
    <w:multiLevelType w:val="hybridMultilevel"/>
    <w:lvl w:ilvl="0">
      <w:lvlJc w:val="left"/>
      <w:lvlText w:val="(%1)"/>
      <w:numFmt w:val="lowerRoman"/>
      <w:start w:val="1"/>
    </w:lvl>
  </w:abstractNum>
  <w:abstractNum w:abstractNumId="122">
    <w:nsid w:val="37DF2233"/>
    <w:multiLevelType w:val="hybridMultilevel"/>
    <w:lvl w:ilvl="0">
      <w:lvlJc w:val="left"/>
      <w:lvlText w:val="%1."/>
      <w:numFmt w:val="decimal"/>
      <w:start w:val="2"/>
    </w:lvl>
    <w:lvl w:ilvl="1">
      <w:lvlJc w:val="left"/>
      <w:lvlText w:val="(%2)"/>
      <w:numFmt w:val="lowerRoman"/>
      <w:start w:val="4"/>
    </w:lvl>
  </w:abstractNum>
  <w:abstractNum w:abstractNumId="123">
    <w:nsid w:val="7AB49DAF"/>
    <w:multiLevelType w:val="hybridMultilevel"/>
    <w:lvl w:ilvl="0">
      <w:lvlJc w:val="left"/>
      <w:lvlText w:val="%1."/>
      <w:numFmt w:val="decimal"/>
      <w:start w:val="2"/>
    </w:lvl>
  </w:abstractNum>
  <w:abstractNum w:abstractNumId="124">
    <w:nsid w:val="759F82CD"/>
    <w:multiLevelType w:val="hybridMultilevel"/>
    <w:lvl w:ilvl="0">
      <w:lvlJc w:val="left"/>
      <w:lvlText w:val="•"/>
      <w:numFmt w:val="bullet"/>
      <w:start w:val="1"/>
    </w:lvl>
  </w:abstractNum>
  <w:abstractNum w:abstractNumId="125">
    <w:nsid w:val="61E74EA3"/>
    <w:multiLevelType w:val="hybridMultilevel"/>
    <w:lvl w:ilvl="0">
      <w:lvlJc w:val="left"/>
      <w:lvlText w:val="%1."/>
      <w:numFmt w:val="decimal"/>
      <w:start w:val="2"/>
    </w:lvl>
  </w:abstractNum>
  <w:abstractNum w:abstractNumId="126">
    <w:nsid w:val="597B4D84"/>
    <w:multiLevelType w:val="hybridMultilevel"/>
    <w:lvl w:ilvl="0">
      <w:lvlJc w:val="left"/>
      <w:lvlText w:val="%1."/>
      <w:numFmt w:val="decimal"/>
      <w:start w:val="2"/>
    </w:lvl>
  </w:abstractNum>
  <w:abstractNum w:abstractNumId="127">
    <w:nsid w:val="F819E7F"/>
    <w:multiLevelType w:val="hybridMultilevel"/>
    <w:lvl w:ilvl="0">
      <w:lvlJc w:val="left"/>
      <w:lvlText w:val="(%1)"/>
      <w:numFmt w:val="lowerRoman"/>
      <w:start w:val="3"/>
    </w:lvl>
  </w:abstractNum>
  <w:abstractNum w:abstractNumId="128">
    <w:nsid w:val="57C7D42D"/>
    <w:multiLevelType w:val="hybridMultilevel"/>
    <w:lvl w:ilvl="0">
      <w:lvlJc w:val="left"/>
      <w:lvlText w:val="•"/>
      <w:numFmt w:val="bullet"/>
      <w:start w:val="1"/>
    </w:lvl>
    <w:lvl w:ilvl="1">
      <w:lvlJc w:val="left"/>
      <w:lvlText w:val="(%2)"/>
      <w:numFmt w:val="decimal"/>
      <w:start w:val="2"/>
    </w:lvl>
  </w:abstractNum>
  <w:abstractNum w:abstractNumId="129">
    <w:nsid w:val="312167AD"/>
    <w:multiLevelType w:val="hybridMultilevel"/>
    <w:lvl w:ilvl="0">
      <w:lvlJc w:val="left"/>
      <w:lvlText w:val="%1."/>
      <w:numFmt w:val="decimal"/>
      <w:start w:val="2"/>
    </w:lvl>
  </w:abstractNum>
  <w:abstractNum w:abstractNumId="130">
    <w:nsid w:val="631B64D4"/>
    <w:multiLevelType w:val="hybridMultilevel"/>
    <w:lvl w:ilvl="0">
      <w:lvlJc w:val="left"/>
      <w:lvlText w:val="%1."/>
      <w:numFmt w:val="decimal"/>
      <w:start w:val="3"/>
    </w:lvl>
  </w:abstractNum>
  <w:abstractNum w:abstractNumId="131">
    <w:nsid w:val="78B5E776"/>
    <w:multiLevelType w:val="hybridMultilevel"/>
    <w:lvl w:ilvl="0">
      <w:lvlJc w:val="left"/>
      <w:lvlText w:val="%1."/>
      <w:numFmt w:val="decimal"/>
      <w:start w:val="3"/>
    </w:lvl>
  </w:abstractNum>
  <w:abstractNum w:abstractNumId="132">
    <w:nsid w:val="75486E47"/>
    <w:multiLevelType w:val="hybridMultilevel"/>
    <w:lvl w:ilvl="0">
      <w:lvlJc w:val="left"/>
      <w:lvlText w:val="%1."/>
      <w:numFmt w:val="decimal"/>
      <w:start w:val="3"/>
    </w:lvl>
  </w:abstractNum>
  <w:abstractNum w:abstractNumId="133">
    <w:nsid w:val="6E534CDE"/>
    <w:multiLevelType w:val="hybridMultilevel"/>
    <w:lvl w:ilvl="0">
      <w:lvlJc w:val="left"/>
      <w:lvlText w:val="%1."/>
      <w:numFmt w:val="decimal"/>
      <w:start w:val="4"/>
    </w:lvl>
  </w:abstractNum>
  <w:abstractNum w:abstractNumId="134">
    <w:nsid w:val="1A0DDE32"/>
    <w:multiLevelType w:val="hybridMultilevel"/>
    <w:lvl w:ilvl="0">
      <w:lvlJc w:val="left"/>
      <w:lvlText w:val="%1."/>
      <w:numFmt w:val="decimal"/>
      <w:start w:val="4"/>
    </w:lvl>
  </w:abstractNum>
  <w:abstractNum w:abstractNumId="135">
    <w:nsid w:val="65968C1C"/>
    <w:multiLevelType w:val="hybridMultilevel"/>
    <w:lvl w:ilvl="0">
      <w:lvlJc w:val="left"/>
      <w:lvlText w:val="%1."/>
      <w:numFmt w:val="decimal"/>
      <w:start w:val="4"/>
    </w:lvl>
  </w:abstractNum>
  <w:abstractNum w:abstractNumId="136">
    <w:nsid w:val="46263DEC"/>
    <w:multiLevelType w:val="hybridMultilevel"/>
    <w:lvl w:ilvl="0">
      <w:lvlJc w:val="left"/>
      <w:lvlText w:val="•"/>
      <w:numFmt w:val="bullet"/>
      <w:start w:val="1"/>
    </w:lvl>
  </w:abstractNum>
  <w:abstractNum w:abstractNumId="137">
    <w:nsid w:val="260D8C4A"/>
    <w:multiLevelType w:val="hybridMultilevel"/>
    <w:lvl w:ilvl="0">
      <w:lvlJc w:val="left"/>
      <w:lvlText w:val="%1."/>
      <w:numFmt w:val="decimal"/>
      <w:start w:val="4"/>
    </w:lvl>
  </w:abstractNum>
  <w:abstractNum w:abstractNumId="138">
    <w:nsid w:val="73D4D3C4"/>
    <w:multiLevelType w:val="hybridMultilevel"/>
    <w:lvl w:ilvl="0">
      <w:lvlJc w:val="left"/>
      <w:lvlText w:val="%1."/>
      <w:numFmt w:val="decimal"/>
      <w:start w:val="4"/>
    </w:lvl>
  </w:abstractNum>
  <w:abstractNum w:abstractNumId="139">
    <w:nsid w:val="746F2E30"/>
    <w:multiLevelType w:val="hybridMultilevel"/>
    <w:lvl w:ilvl="0">
      <w:lvlJc w:val="left"/>
      <w:lvlText w:val="%1."/>
      <w:numFmt w:val="decimal"/>
      <w:start w:val="5"/>
    </w:lvl>
  </w:abstractNum>
  <w:abstractNum w:abstractNumId="140">
    <w:nsid w:val="6FDE8AF6"/>
    <w:multiLevelType w:val="hybridMultilevel"/>
    <w:lvl w:ilvl="0">
      <w:lvlJc w:val="left"/>
      <w:lvlText w:val="%1."/>
      <w:numFmt w:val="decimal"/>
      <w:start w:val="6"/>
    </w:lvl>
  </w:abstractNum>
  <w:abstractNum w:abstractNumId="141">
    <w:nsid w:val="3FC32E20"/>
    <w:multiLevelType w:val="hybridMultilevel"/>
    <w:lvl w:ilvl="0">
      <w:lvlJc w:val="left"/>
      <w:lvlText w:val="%1."/>
      <w:numFmt w:val="decimal"/>
      <w:start w:val="7"/>
    </w:lvl>
  </w:abstractNum>
  <w:abstractNum w:abstractNumId="142">
    <w:nsid w:val="49C0E823"/>
    <w:multiLevelType w:val="hybridMultilevel"/>
    <w:lvl w:ilvl="0">
      <w:lvlJc w:val="left"/>
      <w:lvlText w:val="%1."/>
      <w:numFmt w:val="decimal"/>
      <w:start w:val="8"/>
    </w:lvl>
  </w:abstractNum>
  <w:abstractNum w:abstractNumId="143">
    <w:nsid w:val="14D53685"/>
    <w:multiLevelType w:val="hybridMultilevel"/>
    <w:lvl w:ilvl="0">
      <w:lvlJc w:val="left"/>
      <w:lvlText w:val="%1."/>
      <w:numFmt w:val="decimal"/>
      <w:start w:val="8"/>
    </w:lvl>
  </w:abstractNum>
  <w:abstractNum w:abstractNumId="144">
    <w:nsid w:val="230F856C"/>
    <w:multiLevelType w:val="hybridMultilevel"/>
    <w:lvl w:ilvl="0">
      <w:lvlJc w:val="left"/>
      <w:lvlText w:val="%1."/>
      <w:numFmt w:val="decimal"/>
      <w:start w:val="9"/>
    </w:lvl>
  </w:abstractNum>
  <w:abstractNum w:abstractNumId="145">
    <w:nsid w:val="6EAA85FB"/>
    <w:multiLevelType w:val="hybridMultilevel"/>
    <w:lvl w:ilvl="0">
      <w:lvlJc w:val="left"/>
      <w:lvlText w:val="(%1)"/>
      <w:numFmt w:val="lowerLetter"/>
      <w:start w:val="2"/>
    </w:lvl>
  </w:abstractNum>
  <w:abstractNum w:abstractNumId="146">
    <w:nsid w:val="3F06ECB2"/>
    <w:multiLevelType w:val="hybridMultilevel"/>
    <w:lvl w:ilvl="0">
      <w:lvlJc w:val="left"/>
      <w:lvlText w:val="•"/>
      <w:numFmt w:val="bullet"/>
      <w:start w:val="1"/>
    </w:lvl>
  </w:abstractNum>
  <w:abstractNum w:abstractNumId="147">
    <w:nsid w:val="3B594807"/>
    <w:multiLevelType w:val="hybridMultilevel"/>
    <w:lvl w:ilvl="0">
      <w:lvlJc w:val="left"/>
      <w:lvlText w:val="%1."/>
      <w:numFmt w:val="decimal"/>
      <w:start w:val="9"/>
    </w:lvl>
  </w:abstractNum>
  <w:abstractNum w:abstractNumId="148">
    <w:nsid w:val="6CAA2304"/>
    <w:multiLevelType w:val="hybridMultilevel"/>
    <w:lvl w:ilvl="0">
      <w:lvlJc w:val="left"/>
      <w:lvlText w:val="%1."/>
      <w:numFmt w:val="decimal"/>
      <w:start w:val="9"/>
    </w:lvl>
  </w:abstractNum>
  <w:abstractNum w:abstractNumId="149">
    <w:nsid w:val="3F7C2FF4"/>
    <w:multiLevelType w:val="hybridMultilevel"/>
    <w:lvl w:ilvl="0">
      <w:lvlJc w:val="left"/>
      <w:lvlText w:val="%1."/>
      <w:numFmt w:val="decimal"/>
      <w:start w:val="9"/>
    </w:lvl>
  </w:abstractNum>
  <w:abstractNum w:abstractNumId="150">
    <w:nsid w:val="25413BEC"/>
    <w:multiLevelType w:val="hybridMultilevel"/>
    <w:lvl w:ilvl="0">
      <w:lvlJc w:val="left"/>
      <w:lvlText w:val="(%1)"/>
      <w:numFmt w:val="lowerLetter"/>
      <w:start w:val="2"/>
    </w:lvl>
  </w:abstractNum>
  <w:abstractNum w:abstractNumId="151">
    <w:nsid w:val="17180B0B"/>
    <w:multiLevelType w:val="hybridMultilevel"/>
    <w:lvl w:ilvl="0">
      <w:lvlJc w:val="left"/>
      <w:lvlText w:val="%1."/>
      <w:numFmt w:val="decimal"/>
      <w:start w:val="14"/>
    </w:lvl>
  </w:abstractNum>
  <w:abstractNum w:abstractNumId="152">
    <w:nsid w:val="579328B9"/>
    <w:multiLevelType w:val="hybridMultilevel"/>
    <w:lvl w:ilvl="0">
      <w:lvlJc w:val="left"/>
      <w:lvlText w:val="•"/>
      <w:numFmt w:val="bullet"/>
      <w:start w:val="1"/>
    </w:lvl>
  </w:abstractNum>
  <w:abstractNum w:abstractNumId="153">
    <w:nsid w:val="5D205E20"/>
    <w:multiLevelType w:val="hybridMultilevel"/>
    <w:lvl w:ilvl="0">
      <w:lvlJc w:val="left"/>
      <w:lvlText w:val="•"/>
      <w:numFmt w:val="bullet"/>
      <w:start w:val="1"/>
    </w:lvl>
  </w:abstractNum>
  <w:abstractNum w:abstractNumId="154">
    <w:nsid w:val="11CCA8BA"/>
    <w:multiLevelType w:val="hybridMultilevel"/>
    <w:lvl w:ilvl="0">
      <w:lvlJc w:val="left"/>
      <w:lvlText w:val="%1"/>
      <w:numFmt w:val="decimal"/>
      <w:start w:val="104"/>
    </w:lvl>
  </w:abstractNum>
  <w:abstractNum w:abstractNumId="155">
    <w:nsid w:val="4D32AB86"/>
    <w:multiLevelType w:val="hybridMultilevel"/>
    <w:lvl w:ilvl="0">
      <w:lvlJc w:val="left"/>
      <w:lvlText w:val="*"/>
      <w:numFmt w:val="bullet"/>
      <w:start w:val="1"/>
    </w:lvl>
  </w:abstractNum>
  <w:abstractNum w:abstractNumId="156">
    <w:nsid w:val="3F07ACC3"/>
    <w:multiLevelType w:val="hybridMultilevel"/>
    <w:lvl w:ilvl="0">
      <w:lvlJc w:val="left"/>
      <w:lvlText w:val="%1."/>
      <w:numFmt w:val="decimal"/>
      <w:start w:val="1"/>
    </w:lvl>
    <w:lvl w:ilvl="1">
      <w:lvlJc w:val="left"/>
      <w:lvlText w:val="(%2)"/>
      <w:numFmt w:val="lowerRoman"/>
      <w:start w:val="1"/>
    </w:lvl>
  </w:abstractNum>
  <w:abstractNum w:abstractNumId="157">
    <w:nsid w:val="6B47F63E"/>
    <w:multiLevelType w:val="hybridMultilevel"/>
    <w:lvl w:ilvl="0">
      <w:lvlJc w:val="left"/>
      <w:lvlText w:val="(%1)"/>
      <w:numFmt w:val="lowerLetter"/>
      <w:start w:val="9"/>
    </w:lvl>
    <w:lvl w:ilvl="1">
      <w:lvlJc w:val="left"/>
      <w:lvlText w:val="(%2)"/>
      <w:numFmt w:val="lowerLetter"/>
      <w:start w:val="1"/>
    </w:lvl>
  </w:abstractNum>
  <w:abstractNum w:abstractNumId="158">
    <w:nsid w:val="5CB44A05"/>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159">
    <w:nsid w:val="16CF80F1"/>
    <w:multiLevelType w:val="hybridMultilevel"/>
    <w:lvl w:ilvl="0">
      <w:lvlJc w:val="left"/>
      <w:lvlText w:val="%1."/>
      <w:numFmt w:val="decimal"/>
      <w:start w:val="5"/>
    </w:lvl>
    <w:lvl w:ilvl="1">
      <w:lvlJc w:val="left"/>
      <w:lvlText w:val="(%2)"/>
      <w:numFmt w:val="lowerRoman"/>
      <w:start w:val="1"/>
    </w:lvl>
    <w:lvl w:ilvl="2">
      <w:lvlJc w:val="left"/>
      <w:lvlText w:val="%3"/>
      <w:numFmt w:val="lowerRoman"/>
      <w:start w:val="1"/>
    </w:lvl>
  </w:abstractNum>
  <w:abstractNum w:abstractNumId="160">
    <w:nsid w:val="1C695DEC"/>
    <w:multiLevelType w:val="hybridMultilevel"/>
    <w:lvl w:ilvl="0">
      <w:lvlJc w:val="left"/>
      <w:lvlText w:val="%1."/>
      <w:numFmt w:val="decimal"/>
      <w:start w:val="6"/>
    </w:lvl>
    <w:lvl w:ilvl="1">
      <w:lvlJc w:val="left"/>
      <w:lvlText w:val="(%2)"/>
      <w:numFmt w:val="lowerRoman"/>
      <w:start w:val="1"/>
    </w:lvl>
  </w:abstractNum>
  <w:abstractNum w:abstractNumId="161">
    <w:nsid w:val="3FCFAED9"/>
    <w:multiLevelType w:val="hybridMultilevel"/>
    <w:lvl w:ilvl="0">
      <w:lvlJc w:val="left"/>
      <w:lvlText w:val="%1."/>
      <w:numFmt w:val="decimal"/>
      <w:start w:val="1"/>
    </w:lvl>
  </w:abstractNum>
  <w:abstractNum w:abstractNumId="162">
    <w:nsid w:val="F85686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322" Type="http://schemas.openxmlformats.org/officeDocument/2006/relationships/image" Target="media/image291.png"/><Relationship Id="rId323" Type="http://schemas.openxmlformats.org/officeDocument/2006/relationships/image" Target="media/image292.png"/><Relationship Id="rId324" Type="http://schemas.openxmlformats.org/officeDocument/2006/relationships/image" Target="media/image293.png"/><Relationship Id="rId325" Type="http://schemas.openxmlformats.org/officeDocument/2006/relationships/image" Target="media/image294.png"/><Relationship Id="rId326" Type="http://schemas.openxmlformats.org/officeDocument/2006/relationships/image" Target="media/image295.png"/><Relationship Id="rId327" Type="http://schemas.openxmlformats.org/officeDocument/2006/relationships/image" Target="media/image296.png"/><Relationship Id="rId328" Type="http://schemas.openxmlformats.org/officeDocument/2006/relationships/image" Target="media/image297.png"/><Relationship Id="rId329" Type="http://schemas.openxmlformats.org/officeDocument/2006/relationships/image" Target="media/image298.png"/><Relationship Id="rId330" Type="http://schemas.openxmlformats.org/officeDocument/2006/relationships/image" Target="media/image299.png"/><Relationship Id="rId331" Type="http://schemas.openxmlformats.org/officeDocument/2006/relationships/image" Target="media/image300.png"/><Relationship Id="rId332" Type="http://schemas.openxmlformats.org/officeDocument/2006/relationships/image" Target="media/image301.png"/><Relationship Id="rId333" Type="http://schemas.openxmlformats.org/officeDocument/2006/relationships/image" Target="media/image302.png"/><Relationship Id="rId334" Type="http://schemas.openxmlformats.org/officeDocument/2006/relationships/image" Target="media/image303.png"/><Relationship Id="rId335" Type="http://schemas.openxmlformats.org/officeDocument/2006/relationships/image" Target="media/image304.png"/><Relationship Id="rId336" Type="http://schemas.openxmlformats.org/officeDocument/2006/relationships/image" Target="media/image305.png"/><Relationship Id="rId337" Type="http://schemas.openxmlformats.org/officeDocument/2006/relationships/image" Target="media/image306.png"/><Relationship Id="rId340" Type="http://schemas.openxmlformats.org/officeDocument/2006/relationships/image" Target="media/image307.png"/><Relationship Id="rId342" Type="http://schemas.openxmlformats.org/officeDocument/2006/relationships/image" Target="media/image308.png"/><Relationship Id="rId343" Type="http://schemas.openxmlformats.org/officeDocument/2006/relationships/image" Target="media/image309.png"/><Relationship Id="rId344" Type="http://schemas.openxmlformats.org/officeDocument/2006/relationships/image" Target="media/image310.png"/><Relationship Id="rId345" Type="http://schemas.openxmlformats.org/officeDocument/2006/relationships/image" Target="media/image311.png"/><Relationship Id="rId346" Type="http://schemas.openxmlformats.org/officeDocument/2006/relationships/image" Target="media/image312.png"/><Relationship Id="rId347" Type="http://schemas.openxmlformats.org/officeDocument/2006/relationships/image" Target="media/image313.png"/><Relationship Id="rId348" Type="http://schemas.openxmlformats.org/officeDocument/2006/relationships/image" Target="media/image314.png"/><Relationship Id="rId349" Type="http://schemas.openxmlformats.org/officeDocument/2006/relationships/image" Target="media/image315.png"/><Relationship Id="rId350" Type="http://schemas.openxmlformats.org/officeDocument/2006/relationships/image" Target="media/image316.png"/><Relationship Id="rId351" Type="http://schemas.openxmlformats.org/officeDocument/2006/relationships/image" Target="media/image317.png"/><Relationship Id="rId352" Type="http://schemas.openxmlformats.org/officeDocument/2006/relationships/image" Target="media/image318.jpeg"/><Relationship Id="rId353" Type="http://schemas.openxmlformats.org/officeDocument/2006/relationships/image" Target="media/image319.jpeg"/><Relationship Id="rId298" Type="http://schemas.openxmlformats.org/officeDocument/2006/relationships/hyperlink" Target="https://www.sec.gov/Archives/edgar/data/1840856/000121390021059752/ea150505ex2-1_archimedes.htm" TargetMode="External"/><Relationship Id="rId299" Type="http://schemas.openxmlformats.org/officeDocument/2006/relationships/hyperlink" Target="http://www.sec.gov/Archives/edgar/data/1840856/000121390022023274/ea159193ex3-1_soundhound.htm" TargetMode="External"/><Relationship Id="rId300" Type="http://schemas.openxmlformats.org/officeDocument/2006/relationships/hyperlink" Target="http://www.sec.gov/Archives/edgar/data/1840856/000121390022023274/ea159193ex3-2_soundhound.htm" TargetMode="External"/><Relationship Id="rId301" Type="http://schemas.openxmlformats.org/officeDocument/2006/relationships/hyperlink" Target="http://www.sec.gov/Archives/edgar/data/1840856/000184085623000008/a31preferredstockcertifica.htm" TargetMode="External"/><Relationship Id="rId302" Type="http://schemas.openxmlformats.org/officeDocument/2006/relationships/hyperlink" Target="http://www.sec.gov/Archives/edgar/data/1840856/000121390022023274/ea159193ex4-1_soundhound.htm" TargetMode="External"/><Relationship Id="rId303" Type="http://schemas.openxmlformats.org/officeDocument/2006/relationships/hyperlink" Target="http://www.sec.gov/Archives/edgar/data/1840856/000121390022026797/fs12022ex4-2_soundhound.htm" TargetMode="External"/><Relationship Id="rId304" Type="http://schemas.openxmlformats.org/officeDocument/2006/relationships/hyperlink" Target="http://www.sec.gov/Archives/edgar/data/1840856/000121390022026797/fs12022ex4-3_soundhound.htm" TargetMode="External"/><Relationship Id="rId305" Type="http://schemas.openxmlformats.org/officeDocument/2006/relationships/hyperlink" Target="http://www.sec.gov/Archives/edgar/data/1840856/000121390022057012/fs12022ex5-1_soundhound.htm" TargetMode="External"/><Relationship Id="rId306" Type="http://schemas.openxmlformats.org/officeDocument/2006/relationships/hyperlink" Target="http://www.sec.gov/Archives/edgar/data/1840856/000121390021059752/ea150505ex10-3_archimedes.htm" TargetMode="External"/><Relationship Id="rId307" Type="http://schemas.openxmlformats.org/officeDocument/2006/relationships/hyperlink" Target="http://www.sec.gov/Archives/edgar/data/1840856/000121390021059752/ea150505ex10-4_archimedes.htm" TargetMode="External"/><Relationship Id="rId308" Type="http://schemas.openxmlformats.org/officeDocument/2006/relationships/hyperlink" Target="http://www.sec.gov/Archives/edgar/data/1840856/000121390022026797/fs12022ex10-3_soundhound.htm" TargetMode="External"/><Relationship Id="rId309" Type="http://schemas.openxmlformats.org/officeDocument/2006/relationships/hyperlink" Target="https://www.sec.gov/Archives/edgar/data/1840856/000121390022018967/f424b30422_archimedes.htm#T601" TargetMode="External"/><Relationship Id="rId310" Type="http://schemas.openxmlformats.org/officeDocument/2006/relationships/hyperlink" Target="http://www.sec.gov/Archives/edgar/data/1840856/000121390022018967/f424b30422_archimedes.htm#T602" TargetMode="External"/><Relationship Id="rId311" Type="http://schemas.openxmlformats.org/officeDocument/2006/relationships/hyperlink" Target="http://www.sec.gov/Archives/edgar/data/1840856/000121390022023274/ea159193ex10-8_soundhound.htm" TargetMode="External"/><Relationship Id="rId312" Type="http://schemas.openxmlformats.org/officeDocument/2006/relationships/hyperlink" Target="https://www.sec.gov/Archives/edgar/data/1840856/000121390022023274/ea159193ex10-9_soundhound.htm" TargetMode="External"/><Relationship Id="rId313" Type="http://schemas.openxmlformats.org/officeDocument/2006/relationships/hyperlink" Target="http://www.sec.gov/Archives/edgar/data/1840856/000121390022023274/ea159193ex10-10_soundhound.htm" TargetMode="External"/><Relationship Id="rId314" Type="http://schemas.openxmlformats.org/officeDocument/2006/relationships/hyperlink" Target="http://www.sec.gov/Archives/edgar/data/1840856/000121390022031794/ea161309ex10-1_soundhound.htm" TargetMode="External"/><Relationship Id="rId315" Type="http://schemas.openxmlformats.org/officeDocument/2006/relationships/hyperlink" Target="http://www.sec.gov/Archives/edgar/data/1840856/000121390022031794/ea161309ex10-2_soundhound.htm" TargetMode="External"/><Relationship Id="rId316" Type="http://schemas.openxmlformats.org/officeDocument/2006/relationships/hyperlink" Target="http://www.sec.gov/Archives/edgar/data/1840856/000121390022031794/ea161309ex10-3_soundhound.htm" TargetMode="External"/><Relationship Id="rId317" Type="http://schemas.openxmlformats.org/officeDocument/2006/relationships/hyperlink" Target="http://www.sec.gov/Archives/edgar/data/1840856/000121390022031794/ea161309ex10-4_soundhound.htm" TargetMode="External"/><Relationship Id="rId318" Type="http://schemas.openxmlformats.org/officeDocument/2006/relationships/hyperlink" Target="https://www.sec.gov/Archives/edgar/data/1840856/000121390022049015/ea164559ex10-1_sound.htm" TargetMode="External"/><Relationship Id="rId319" Type="http://schemas.openxmlformats.org/officeDocument/2006/relationships/hyperlink" Target="http://www.sec.gov/Archives/edgar/data/1840856/000121390022049015/ea164559ex10-2_sound.htm" TargetMode="External"/><Relationship Id="rId320" Type="http://schemas.openxmlformats.org/officeDocument/2006/relationships/hyperlink" Target="http://www.sec.gov/Archives/edgar/data/1840856/000184085623000008/a101preferredstockpurchase.htm" TargetMode="External"/><Relationship Id="rId321" Type="http://schemas.openxmlformats.org/officeDocument/2006/relationships/hyperlink" Target="http://www.sec.gov/Archives/edgar/data/1840856/000121390022023274/ea159193ex21-1_soundhound.htm" TargetMode="External"/><Relationship Id="rId338" Type="http://schemas.openxmlformats.org/officeDocument/2006/relationships/hyperlink" Target="http://www.sec.gov/Archives/edgar/data/1840856/000121390022023274/ea159193ex99-1_soundhound.htm" TargetMode="External"/><Relationship Id="rId339" Type="http://schemas.openxmlformats.org/officeDocument/2006/relationships/hyperlink" Target="http://www.sec.gov/Archives/edgar/data/1840856/000121390022023274/ea159193ex99-2_soundhound.htm" TargetMode="External"/><Relationship Id="rId341" Type="http://schemas.openxmlformats.org/officeDocument/2006/relationships/hyperlink" Target="https://www.sec.gov/Archives/edgar/data/1840856/000121390022057012/fs12022ex-fee_soundhou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2023-02-10T20:41:22Z</dcterms:created>
  <dcterms:modified xsi:type="dcterms:W3CDTF">2023-02-10T20:41:22Z</dcterms:modified>
</cp:coreProperties>
</file>