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ind w:left="360"/>
        <w:spacing w:after="0" w:line="25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-237490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628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-618490</wp:posOffset>
            </wp:positionV>
            <wp:extent cx="57785" cy="631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3970020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21590</wp:posOffset>
            </wp:positionV>
            <wp:extent cx="7047230" cy="47396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739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Archimedes Tech SPAC Sponsors LLC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 w:line="2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ARCHIMEDES TECH SPAC PARTNERS CO. 2093 PHILADELPHIA PIKE #1968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Archimedes Tech Spac Partners Co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MCADU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]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60" w:firstLine="4"/>
        <w:spacing w:after="0" w:line="258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1756" w:val="left"/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600" w:space="320"/>
            <w:col w:w="3660" w:space="164"/>
            <w:col w:w="3336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jc w:val="center"/>
              <w:ind w:right="34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CLAYMONT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19703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03/15/2021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330,000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3,705,000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4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Warrants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165,000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11.5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03/15/2021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165,000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8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acquired units, with each unit consisting of one subunit and one-quarter of one redeemable warrant. Each subunit consists of one share of common stock of the Company, $0.0001 par value, and one-quarter of one warrant. Each whole warrant entitles the holder to purchase one share of common stock for $11.50 per share.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 warrant automatically convert into one share of common stock upon the consummation of the registrant's initial business combination, as described in the registrant's prospectus filed with the SEC.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Archimedes Tech SPAC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-10160</wp:posOffset>
            </wp:positionV>
            <wp:extent cx="10166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6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Partners Co., By: /s/ Stephen N. 03/17/2021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-17780</wp:posOffset>
            </wp:positionV>
            <wp:extent cx="18776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7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Cannon, Title: Member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-17780</wp:posOffset>
            </wp:positionV>
            <wp:extent cx="9855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55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0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50507" TargetMode="External"/><Relationship Id="rId13" Type="http://schemas.openxmlformats.org/officeDocument/2006/relationships/hyperlink" Target="http://www.sec.gov/cgi-bin/browse-edgar?action=getcompany&amp;CIK=000184085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2021-03-17T16:15:00Z</dcterms:created>
  <dcterms:modified xsi:type="dcterms:W3CDTF">2021-03-17T16:15:00Z</dcterms:modified>
</cp:coreProperties>
</file>