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20" w:type="dxa"/>
            <w:vAlign w:val="bottom"/>
            <w:gridSpan w:val="4"/>
          </w:tcPr>
          <w:p>
            <w:pPr>
              <w:jc w:val="center"/>
              <w:ind w:right="1380"/>
              <w:spacing w:after="0"/>
              <w:rPr>
                <w:sz w:val="20"/>
                <w:szCs w:val="20"/>
                <w:color w:val="auto"/>
              </w:rPr>
            </w:pPr>
            <w:r>
              <w:rPr>
                <w:rFonts w:ascii="Arial" w:cs="Arial" w:eastAsia="Arial" w:hAnsi="Arial"/>
                <w:sz w:val="18"/>
                <w:szCs w:val="18"/>
                <w:b w:val="1"/>
                <w:bCs w:val="1"/>
                <w:color w:val="auto"/>
                <w:w w:val="96"/>
              </w:rPr>
              <w:t>Form 8-K</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gridSpan w:val="4"/>
          </w:tcPr>
          <w:p>
            <w:pPr>
              <w:jc w:val="center"/>
              <w:ind w:right="1380"/>
              <w:spacing w:after="0"/>
              <w:rPr>
                <w:sz w:val="20"/>
                <w:szCs w:val="20"/>
                <w:color w:val="auto"/>
              </w:rPr>
            </w:pPr>
            <w:r>
              <w:rPr>
                <w:rFonts w:ascii="Arial" w:cs="Arial" w:eastAsia="Arial" w:hAnsi="Arial"/>
                <w:sz w:val="18"/>
                <w:szCs w:val="18"/>
                <w:b w:val="1"/>
                <w:bCs w:val="1"/>
                <w:color w:val="auto"/>
                <w:w w:val="93"/>
              </w:rPr>
              <w:t>Current Report</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gridSpan w:val="5"/>
          </w:tcPr>
          <w:p>
            <w:pPr>
              <w:jc w:val="center"/>
              <w:ind w:right="104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20" w:type="dxa"/>
            <w:vAlign w:val="bottom"/>
            <w:gridSpan w:val="4"/>
          </w:tcPr>
          <w:p>
            <w:pPr>
              <w:jc w:val="center"/>
              <w:ind w:right="1360"/>
              <w:spacing w:after="0"/>
              <w:rPr>
                <w:sz w:val="20"/>
                <w:szCs w:val="20"/>
                <w:color w:val="auto"/>
              </w:rPr>
            </w:pPr>
            <w:r>
              <w:rPr>
                <w:rFonts w:ascii="Arial" w:cs="Arial" w:eastAsia="Arial" w:hAnsi="Arial"/>
                <w:sz w:val="18"/>
                <w:szCs w:val="18"/>
                <w:b w:val="1"/>
                <w:bCs w:val="1"/>
                <w:color w:val="auto"/>
                <w:w w:val="88"/>
              </w:rPr>
              <w:t>Securities Exchange Act of 1934</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460" w:type="dxa"/>
            <w:vAlign w:val="bottom"/>
            <w:gridSpan w:val="7"/>
          </w:tcPr>
          <w:p>
            <w:pPr>
              <w:jc w:val="center"/>
              <w:ind w:right="140"/>
              <w:spacing w:after="0"/>
              <w:rPr>
                <w:sz w:val="20"/>
                <w:szCs w:val="20"/>
                <w:color w:val="auto"/>
              </w:rPr>
            </w:pPr>
            <w:r>
              <w:rPr>
                <w:rFonts w:ascii="Arial" w:cs="Arial" w:eastAsia="Arial" w:hAnsi="Arial"/>
                <w:sz w:val="18"/>
                <w:szCs w:val="18"/>
                <w:color w:val="auto"/>
                <w:w w:val="91"/>
              </w:rPr>
              <w:t xml:space="preserve">Date of Report (Date of earliest event reported): </w:t>
            </w:r>
            <w:r>
              <w:rPr>
                <w:rFonts w:ascii="Arial" w:cs="Arial" w:eastAsia="Arial" w:hAnsi="Arial"/>
                <w:sz w:val="18"/>
                <w:szCs w:val="18"/>
                <w:b w:val="1"/>
                <w:bCs w:val="1"/>
                <w:color w:val="auto"/>
                <w:w w:val="91"/>
              </w:rPr>
              <w:t>May 28, 2020</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gridSpan w:val="4"/>
          </w:tcPr>
          <w:p>
            <w:pPr>
              <w:jc w:val="center"/>
              <w:ind w:right="1380"/>
              <w:spacing w:after="0"/>
              <w:rPr>
                <w:sz w:val="20"/>
                <w:szCs w:val="20"/>
                <w:color w:val="auto"/>
              </w:rPr>
            </w:pPr>
            <w:r>
              <w:rPr>
                <w:rFonts w:ascii="Arial" w:cs="Arial" w:eastAsia="Arial" w:hAnsi="Arial"/>
                <w:sz w:val="18"/>
                <w:szCs w:val="18"/>
                <w:b w:val="1"/>
                <w:bCs w:val="1"/>
                <w:color w:val="auto"/>
                <w:w w:val="89"/>
              </w:rPr>
              <w:t>Archimedes Tech SPAC Partners Co.</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20" w:type="dxa"/>
            <w:vAlign w:val="bottom"/>
            <w:gridSpan w:val="6"/>
          </w:tcPr>
          <w:p>
            <w:pPr>
              <w:jc w:val="center"/>
              <w:ind w:right="780"/>
              <w:spacing w:after="0"/>
              <w:rPr>
                <w:sz w:val="20"/>
                <w:szCs w:val="20"/>
                <w:color w:val="auto"/>
              </w:rPr>
            </w:pPr>
            <w:r>
              <w:rPr>
                <w:rFonts w:ascii="Arial" w:cs="Arial" w:eastAsia="Arial" w:hAnsi="Arial"/>
                <w:sz w:val="18"/>
                <w:szCs w:val="18"/>
                <w:color w:val="auto"/>
                <w:w w:val="90"/>
              </w:rPr>
              <w:t>(Exact Name of Registrant as Specified in its Charter)</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2"/>
        </w:trPr>
        <w:tc>
          <w:tcPr>
            <w:tcW w:w="20" w:type="dxa"/>
            <w:vAlign w:val="bottom"/>
          </w:tcPr>
          <w:p>
            <w:pPr>
              <w:spacing w:after="0"/>
              <w:rPr>
                <w:sz w:val="24"/>
                <w:szCs w:val="24"/>
                <w:color w:val="auto"/>
              </w:rPr>
            </w:pPr>
          </w:p>
        </w:tc>
        <w:tc>
          <w:tcPr>
            <w:tcW w:w="2940" w:type="dxa"/>
            <w:vAlign w:val="bottom"/>
          </w:tcPr>
          <w:p>
            <w:pPr>
              <w:jc w:val="center"/>
              <w:ind w:left="550"/>
              <w:spacing w:after="0"/>
              <w:rPr>
                <w:sz w:val="20"/>
                <w:szCs w:val="20"/>
                <w:color w:val="auto"/>
              </w:rPr>
            </w:pPr>
            <w:r>
              <w:rPr>
                <w:rFonts w:ascii="Arial" w:cs="Arial" w:eastAsia="Arial" w:hAnsi="Arial"/>
                <w:sz w:val="18"/>
                <w:szCs w:val="18"/>
                <w:b w:val="1"/>
                <w:bCs w:val="1"/>
                <w:color w:val="auto"/>
                <w:w w:val="93"/>
              </w:rPr>
              <w:t>Delaware</w:t>
            </w:r>
          </w:p>
        </w:tc>
        <w:tc>
          <w:tcPr>
            <w:tcW w:w="4080" w:type="dxa"/>
            <w:vAlign w:val="bottom"/>
            <w:gridSpan w:val="4"/>
          </w:tcPr>
          <w:p>
            <w:pPr>
              <w:jc w:val="center"/>
              <w:ind w:left="1170"/>
              <w:spacing w:after="0"/>
              <w:rPr>
                <w:sz w:val="20"/>
                <w:szCs w:val="20"/>
                <w:color w:val="auto"/>
              </w:rPr>
            </w:pPr>
            <w:r>
              <w:rPr>
                <w:rFonts w:ascii="Arial" w:cs="Arial" w:eastAsia="Arial" w:hAnsi="Arial"/>
                <w:sz w:val="18"/>
                <w:szCs w:val="18"/>
                <w:b w:val="1"/>
                <w:bCs w:val="1"/>
                <w:color w:val="auto"/>
                <w:w w:val="90"/>
              </w:rPr>
              <w:t>001-40193</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0" w:type="dxa"/>
            <w:vAlign w:val="bottom"/>
          </w:tcPr>
          <w:p>
            <w:pPr>
              <w:jc w:val="right"/>
              <w:ind w:right="1250"/>
              <w:spacing w:after="0"/>
              <w:rPr>
                <w:sz w:val="20"/>
                <w:szCs w:val="20"/>
                <w:color w:val="auto"/>
              </w:rPr>
            </w:pPr>
            <w:r>
              <w:rPr>
                <w:rFonts w:ascii="Arial" w:cs="Arial" w:eastAsia="Arial" w:hAnsi="Arial"/>
                <w:sz w:val="18"/>
                <w:szCs w:val="18"/>
                <w:b w:val="1"/>
                <w:bCs w:val="1"/>
                <w:color w:val="auto"/>
              </w:rPr>
              <w:t>86-1286799</w:t>
            </w:r>
          </w:p>
        </w:tc>
        <w:tc>
          <w:tcPr>
            <w:tcW w:w="2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940" w:type="dxa"/>
            <w:vAlign w:val="bottom"/>
            <w:tcBorders>
              <w:top w:val="single" w:sz="8" w:color="auto"/>
            </w:tcBorders>
          </w:tcPr>
          <w:p>
            <w:pPr>
              <w:jc w:val="center"/>
              <w:ind w:left="510"/>
              <w:spacing w:after="0"/>
              <w:rPr>
                <w:sz w:val="20"/>
                <w:szCs w:val="20"/>
                <w:color w:val="auto"/>
              </w:rPr>
            </w:pPr>
            <w:r>
              <w:rPr>
                <w:rFonts w:ascii="Arial" w:cs="Arial" w:eastAsia="Arial" w:hAnsi="Arial"/>
                <w:sz w:val="18"/>
                <w:szCs w:val="18"/>
                <w:color w:val="auto"/>
                <w:w w:val="92"/>
              </w:rPr>
              <w:t>(State or other jurisdiction</w:t>
            </w: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3"/>
              </w:rPr>
              <w:t>(Commission File Number)</w:t>
            </w: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3"/>
              </w:rPr>
              <w:t>(I.R.S. Employer</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40" w:type="dxa"/>
            <w:vAlign w:val="bottom"/>
          </w:tcPr>
          <w:p>
            <w:pPr>
              <w:jc w:val="center"/>
              <w:ind w:left="550"/>
              <w:spacing w:after="0"/>
              <w:rPr>
                <w:sz w:val="20"/>
                <w:szCs w:val="20"/>
                <w:color w:val="auto"/>
              </w:rPr>
            </w:pPr>
            <w:r>
              <w:rPr>
                <w:rFonts w:ascii="Arial" w:cs="Arial" w:eastAsia="Arial" w:hAnsi="Arial"/>
                <w:sz w:val="18"/>
                <w:szCs w:val="18"/>
                <w:color w:val="auto"/>
                <w:w w:val="96"/>
              </w:rPr>
              <w:t>of incorporation)</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0" w:type="dxa"/>
            <w:vAlign w:val="bottom"/>
          </w:tcPr>
          <w:p>
            <w:pPr>
              <w:jc w:val="center"/>
              <w:ind w:right="650"/>
              <w:spacing w:after="0"/>
              <w:rPr>
                <w:sz w:val="20"/>
                <w:szCs w:val="20"/>
                <w:color w:val="auto"/>
              </w:rPr>
            </w:pPr>
            <w:r>
              <w:rPr>
                <w:rFonts w:ascii="Arial" w:cs="Arial" w:eastAsia="Arial" w:hAnsi="Arial"/>
                <w:sz w:val="18"/>
                <w:szCs w:val="18"/>
                <w:color w:val="auto"/>
                <w:w w:val="95"/>
              </w:rPr>
              <w:t>Identification No.)</w:t>
            </w:r>
          </w:p>
        </w:tc>
        <w:tc>
          <w:tcPr>
            <w:tcW w:w="2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gridSpan w:val="4"/>
          </w:tcPr>
          <w:p>
            <w:pPr>
              <w:jc w:val="center"/>
              <w:ind w:right="1420"/>
              <w:spacing w:after="0"/>
              <w:rPr>
                <w:sz w:val="20"/>
                <w:szCs w:val="20"/>
                <w:color w:val="auto"/>
              </w:rPr>
            </w:pPr>
            <w:r>
              <w:rPr>
                <w:rFonts w:ascii="Arial" w:cs="Arial" w:eastAsia="Arial" w:hAnsi="Arial"/>
                <w:sz w:val="18"/>
                <w:szCs w:val="18"/>
                <w:b w:val="1"/>
                <w:bCs w:val="1"/>
                <w:color w:val="auto"/>
                <w:w w:val="90"/>
              </w:rPr>
              <w:t>2093 Philadelphia Pike #1968</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4"/>
          </w:tcPr>
          <w:p>
            <w:pPr>
              <w:jc w:val="center"/>
              <w:ind w:right="1380"/>
              <w:spacing w:after="0"/>
              <w:rPr>
                <w:sz w:val="20"/>
                <w:szCs w:val="20"/>
                <w:color w:val="auto"/>
              </w:rPr>
            </w:pPr>
            <w:r>
              <w:rPr>
                <w:rFonts w:ascii="Arial" w:cs="Arial" w:eastAsia="Arial" w:hAnsi="Arial"/>
                <w:sz w:val="18"/>
                <w:szCs w:val="18"/>
                <w:b w:val="1"/>
                <w:bCs w:val="1"/>
                <w:color w:val="auto"/>
                <w:w w:val="92"/>
              </w:rPr>
              <w:t>Claymont, DE 19703</w:t>
            </w:r>
          </w:p>
        </w:tc>
        <w:tc>
          <w:tcPr>
            <w:tcW w:w="2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20" w:type="dxa"/>
            <w:vAlign w:val="bottom"/>
            <w:gridSpan w:val="6"/>
          </w:tcPr>
          <w:p>
            <w:pPr>
              <w:jc w:val="center"/>
              <w:ind w:right="780"/>
              <w:spacing w:after="0"/>
              <w:rPr>
                <w:sz w:val="20"/>
                <w:szCs w:val="20"/>
                <w:color w:val="auto"/>
              </w:rPr>
            </w:pPr>
            <w:r>
              <w:rPr>
                <w:rFonts w:ascii="Arial" w:cs="Arial" w:eastAsia="Arial" w:hAnsi="Arial"/>
                <w:sz w:val="18"/>
                <w:szCs w:val="18"/>
                <w:color w:val="auto"/>
                <w:w w:val="92"/>
              </w:rPr>
              <w:t>(Address of Principal Executive Offices and Zip Code)</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460" w:type="dxa"/>
            <w:vAlign w:val="bottom"/>
            <w:gridSpan w:val="7"/>
          </w:tcPr>
          <w:p>
            <w:pPr>
              <w:jc w:val="center"/>
              <w:ind w:right="14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(650) 560-4753</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60" w:firstLine="8"/>
        <w:spacing w:after="0" w:line="498" w:lineRule="auto"/>
        <w:tabs>
          <w:tab w:leader="none" w:pos="22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38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r>
      <w:tr>
        <w:trPr>
          <w:trHeight w:val="202"/>
        </w:trPr>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Units, each consisting of one subunit and one-</w:t>
            </w:r>
          </w:p>
        </w:tc>
        <w:tc>
          <w:tcPr>
            <w:tcW w:w="380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93"/>
              </w:rPr>
              <w:t>ATSPU</w:t>
            </w: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quarter of one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Subunits included as part of the units, each</w:t>
            </w:r>
          </w:p>
        </w:tc>
        <w:tc>
          <w:tcPr>
            <w:tcW w:w="380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9"/>
              </w:rPr>
              <w:t>ATSPT</w:t>
            </w: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consisting of one share of common stock,</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16"/>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$0.0001 par value, and one-quarter of one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0"/>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$0.0001 per share</w:t>
            </w:r>
          </w:p>
        </w:tc>
        <w:tc>
          <w:tcPr>
            <w:tcW w:w="3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ATSP</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warrants</w:t>
            </w:r>
          </w:p>
        </w:tc>
        <w:tc>
          <w:tcPr>
            <w:tcW w:w="3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ATSPW</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May 28, 2021, Archimedes Tech SPAC Partners Co. (the “Company”) received a notice (the “Notice”) from the Nasdaq Stock Market LLC (the “Nasdaq”) indicating that the Company is not in compliance with Nasdaq Marketplace 5250(c)(1) as a result of its failure to timely file its Quarterly Report on Form 10-Q for the quarter ended March 31, 2021 with the U.S. Securities and Exchange Commission (the “SEC”).</w:t>
      </w:r>
    </w:p>
    <w:p>
      <w:pPr>
        <w:spacing w:after="0" w:line="184"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8"/>
          <w:szCs w:val="18"/>
          <w:color w:val="auto"/>
        </w:rPr>
        <w:t>The Notice has no immediate impact on the listing of the Company’s securities, which will continue to trade on Nasdaq, subject to the Company’s compliance with the other continued listing requirements of Nasdaq. Under the Nasdaq Listing Rules, the Company has 60 calendar days from the date of the Notice to file the Form 10-Q. If the Company is unable to file the Form 10-Q with the SEC by July 26, 2021, the Company intends to submit a plan to regain compliance with the Nasdaq Listing Rules on or prior to that date. If Nasdaq accepts the plan, Nasdaq can grant the Company an exception of up to 180 calendar days from the due date of the Form 10-Q, or until November 22, 2021, to regain compliance. However, there can be no assurance that Nasdaq will accept the Company’s plan to regain compliance or that the Company will be able to regain compliance within any extension period granted by Nasdaq. If the Company fails to timely regain compliance with Nasdaq’s listing rules, the common stock of the Company will be subject to delisting on the Nasdaq Capital Market.</w:t>
      </w:r>
    </w:p>
    <w:p>
      <w:pPr>
        <w:spacing w:after="0" w:line="1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previously disclosed by the Company, the Company is currently evaluating the accounting treatment of its warrants based on guidance from the SEC staff issued in a public statement on April 12, 2021 that highlighted the potential accounting implications of certain terms that may be common in warrants included in special purpose acquisition company transactions and discussed related financial reporting considerations. The Company is determining what effects such guidance will have, if any, on the Form 10-Q. The Company plans to file the Form 10-Q as soon as practicable.</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June 3, 2021, the Company issued a press release announcing its receipt of the Notice. A copy of the press release is attached hereto as Exhibit 99.1 and is incorporated herein by reference.</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report may include “forward-looking statements” within the meaning of Section 27A of the Securities Act of 1933, as amended, and Section 21E of the Securities Exchange Act of 1934, as amended. All statements other than statements of historical fact included in this report are forward-looking statements. When used in this report, words such as “anticipate,” “believe,” “estimate,” “expect,” “intend” and similar expressions, as they relate to the Company or its management team, identify forward-looking statements. Such forward-looking statements are based on the beliefs of management, as well as assumptions made by, and information currently available to, the Company’s management. Actual results could differ materially from those contemplated by the forward-looking statements as a result of certain factors detailed in the Company’s filings with the SEC. All subsequent written or oral forward-looking statements attributable to the Company or persons acting on its behalf are qualified in their entirety by this paragraph. Forward-looking statements are subject to numerous conditions, many of which are beyond the control of the Company, including those set forth in the Risk Factors section of the Company’s registration statement and prospectus relating to the Company’s initial public offering filed with the SEC. Copies of such filings are available on the SEC’s website, www.sec.gov. The Company undertakes no obligation to update these statements for revisions or changes after the date of this release,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9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4"/>
                <w:szCs w:val="14"/>
                <w:color w:val="auto"/>
              </w:rPr>
            </w:pPr>
          </w:p>
        </w:tc>
        <w:tc>
          <w:tcPr>
            <w:tcW w:w="9200" w:type="dxa"/>
            <w:vAlign w:val="bottom"/>
            <w:tcBorders>
              <w:top w:val="single" w:sz="8" w:color="auto"/>
            </w:tcBorders>
            <w:gridSpan w:val="2"/>
            <w:shd w:val="clear" w:color="auto" w:fill="CCEEFF"/>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June 3, 2021.</w:t>
              </w:r>
            </w:hyperlink>
          </w:p>
        </w:tc>
      </w:tr>
      <w:tr>
        <w:trPr>
          <w:trHeight w:val="20"/>
        </w:trPr>
        <w:tc>
          <w:tcPr>
            <w:tcW w:w="1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0000EE"/>
            </w:tcBorders>
            <w:shd w:val="clear" w:color="auto" w:fill="CCEEFF"/>
          </w:tcPr>
          <w:p>
            <w:pPr>
              <w:spacing w:after="0" w:line="20" w:lineRule="exact"/>
              <w:rPr>
                <w:sz w:val="1"/>
                <w:szCs w:val="1"/>
                <w:color w:val="auto"/>
              </w:rPr>
            </w:pPr>
          </w:p>
        </w:tc>
        <w:tc>
          <w:tcPr>
            <w:tcW w:w="67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3,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Stephen N. Cannon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Stephen N. Cannon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Archimedes Tech SPAC Partners Co. Receives Notice from Nasdaq</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Regarding Delayed Quarterly Report</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NEW YORK, June 03, 2021 (GLOBE NEWSWIRE) -- Archimedes Tech SPAC Partners Co. (NASDAQ: ATSPU) (the “Company”) announced today that it received a notice (“Notice”) from the Listing Qualifications Department of The Nasdaq Stock Market (“Nasdaq”) stating that the Company is not in compliance with Nasdaq Listing Rule 5250(c)(1) because the Company failed to timely file its Quarterly Report on Form 10-Q for the quarter ended March 31, 2021 (the “Form 10-Q”) with the Securities and Exchange Commission (“SEC”).</w:t>
      </w:r>
    </w:p>
    <w:p>
      <w:pPr>
        <w:spacing w:after="0" w:line="18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Notice has no immediate impact on the listing of the Company’s securities, which will continue to trade on Nasdaq, subject to the Company’s compliance with the other continued listing requirements of Nasdaq. Under the Nasdaq Listing Rules, the Company has 60 calendar days from the date of the Notice to file the Form 10-Q. If the Company is unable to file the Form 10-Q with the SEC by July 26, 2021, the Company intends to submit a plan to regain compliance with the Nasdaq Listing Rules on or prior to that date. If Nasdaq accepts the plan, Nasdaq can grant the Company up to 180 calendar days from the due date of the Form 10-Q, or until November 22, 2021, to regain compliance. However, there can be no assurance that Nasdaq will accept the Company’s plan to regain compliance or that the Company will be able to regain compliance within any extension period granted by Nasdaq. If the Company fails to timely regain compliance with Nasdaq’s listing rules, the common stock of the Company will be subject to delisting on the Nasdaq Capital Market.</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previously disclosed in the Notification Of Late Filing on Form 12b-25 filed on May 18, 2021 by the Company, on April 12, 2021, the staff (the “Staff”) of the Division of Corporation Finance of the SEC issued a statement entitled “Staff Statement on Accounting and Reporting Considerations for Warrants Issued by Special Purpose Acquisition Companies” (the “Staff Statement”). The Staff Statement, among other things, highlighted the potential accounting implications of certain terms that are common in warrants issued in connection with the initial public offerings of special purpose acquisition companies such as the Company. As a result of the Staff Statement, the Company required additional time to evaluate its financial statements for the quarter ended March 31, 2021. The Company is determining what effects such guidance will have, if any, on the Form 10-Q. The Company plans to file the Form 10-Q as soon as practicable.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Archimedes Tech SPAC Partners Co.</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Archimedes Tech SPAC Partners Co. is a blank check company formed for the purpose of effecting a merger, share exchange, asset acquisition, share purchase, reorganization or similar business combination with one or more businesses. Archimedes Tech SPAC Partners Co. intends to focus its search for target businesses in the technology industry.</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is led by Chairman Dr. Eric R. Ball, Chief Executive Officer &amp; President Stephen N. Cannon, Chief Operating Officer Daniel Sheehan, Chief Financial Officer Long Long and advised by its special advisor, Brent Callinicos.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may include, and oral statements made from time to time by representatives of the Company may include, “forward-looking statements” within the meaning of Section 27A of the Securities Act of 1933, as amended, and Section 21E of the Securities Exchange Act of 1934, as amended. Statements regarding possible business combinations and the financing thereof, and related matters, as well as all other statements other than statements of historical fact included in this press release are forward-looking statements. When used in this press release, words such as “anticipate,” “believe,” “continue,” “could,” “estimate,” “expect,” “intend,” “may,” “might,” “plan,” “possible,” “potential,” “predict,” “project,” “should,” “would” and similar expressions, as they relate to us or our management team, identify forward-looking statements. Such forward-looking statements are based on the beliefs of management, as well as assumptions made by, and information currently available to, the Company’s management. Actual results could differ materially from those contemplated by the forward-looking statements as a result of certain factors detailed in the Company’s filings with the Securities and Exchange Commission (“SEC”). All subsequent written or oral forward-looking statements attributable to us or persons acting on our behalf are qualified in their entirety by this paragraph. Forward-looking statements are subject to numerous conditions, many of which are beyond the control of the Company, including those set forth in the Risk Factors section of the Company’s registration statement and prospectus for the Company’s initial public offering filed with the SEC. The Company undertakes no obligation to update these statements for revisions or changes after the date of this release, except as required by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right="908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560 4753 Info@ArchimedesSPAC.com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0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65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2021-06-03T16:04:56Z</dcterms:created>
  <dcterms:modified xsi:type="dcterms:W3CDTF">2021-06-03T16:04:56Z</dcterms:modified>
</cp:coreProperties>
</file>