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529590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554355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1"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7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(Mark One)</w:t>
      </w:r>
    </w:p>
    <w:p>
      <w:pPr>
        <w:spacing w:after="0" w:line="215" w:lineRule="exact"/>
        <w:rPr>
          <w:sz w:val="24"/>
          <w:szCs w:val="24"/>
          <w:color w:val="auto"/>
        </w:rPr>
      </w:pPr>
    </w:p>
    <w:p>
      <w:pPr>
        <w:jc w:val="center"/>
        <w:spacing w:after="0" w:line="453"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b w:val="1"/>
          <w:bCs w:val="1"/>
          <w:color w:val="auto"/>
        </w:rPr>
        <w:t>For the quarterly period ended June 30, 2024</w:t>
      </w: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from________to________</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001-40193</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80" w:type="dxa"/>
            <w:vAlign w:val="bottom"/>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b w:val="1"/>
                <w:bCs w:val="1"/>
                <w:color w:val="auto"/>
                <w:w w:val="98"/>
              </w:rPr>
              <w:t>86-1286799</w:t>
            </w:r>
          </w:p>
        </w:tc>
      </w:tr>
      <w:tr>
        <w:trPr>
          <w:trHeight w:val="220"/>
        </w:trPr>
        <w:tc>
          <w:tcPr>
            <w:tcW w:w="766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3580" w:type="dxa"/>
            <w:vAlign w:val="bottom"/>
          </w:tcPr>
          <w:p>
            <w:pPr>
              <w:jc w:val="center"/>
              <w:ind w:right="1912"/>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1"/>
        </w:trPr>
        <w:tc>
          <w:tcPr>
            <w:tcW w:w="766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580" w:type="dxa"/>
            <w:vAlign w:val="bottom"/>
          </w:tcPr>
          <w:p>
            <w:pPr>
              <w:jc w:val="center"/>
              <w:ind w:right="185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563"/>
        </w:trPr>
        <w:tc>
          <w:tcPr>
            <w:tcW w:w="7660" w:type="dxa"/>
            <w:vAlign w:val="bottom"/>
            <w:tcBorders>
              <w:bottom w:val="single" w:sz="8" w:color="auto"/>
            </w:tcBorders>
            <w:gridSpan w:val="3"/>
          </w:tcPr>
          <w:p>
            <w:pPr>
              <w:jc w:val="center"/>
              <w:ind w:left="3512"/>
              <w:spacing w:after="0"/>
              <w:rPr>
                <w:sz w:val="20"/>
                <w:szCs w:val="20"/>
                <w:color w:val="auto"/>
              </w:rPr>
            </w:pPr>
            <w:r>
              <w:rPr>
                <w:rFonts w:ascii="Times New Roman" w:cs="Times New Roman" w:eastAsia="Times New Roman" w:hAnsi="Times New Roman"/>
                <w:sz w:val="18"/>
                <w:szCs w:val="18"/>
                <w:b w:val="1"/>
                <w:bCs w:val="1"/>
                <w:color w:val="auto"/>
                <w:w w:val="98"/>
              </w:rPr>
              <w:t>5400 Betsy Ross Drive, Santa Clara, CA 95054</w:t>
            </w:r>
          </w:p>
        </w:tc>
        <w:tc>
          <w:tcPr>
            <w:tcW w:w="3580" w:type="dxa"/>
            <w:vAlign w:val="bottom"/>
            <w:tcBorders>
              <w:bottom w:val="single" w:sz="8" w:color="auto"/>
            </w:tcBorders>
          </w:tcPr>
          <w:p>
            <w:pPr>
              <w:spacing w:after="0"/>
              <w:rPr>
                <w:sz w:val="24"/>
                <w:szCs w:val="24"/>
                <w:color w:val="auto"/>
              </w:rPr>
            </w:pPr>
          </w:p>
        </w:tc>
      </w:tr>
      <w:tr>
        <w:trPr>
          <w:trHeight w:val="239"/>
        </w:trPr>
        <w:tc>
          <w:tcPr>
            <w:tcW w:w="7660" w:type="dxa"/>
            <w:vAlign w:val="bottom"/>
            <w:gridSpan w:val="3"/>
          </w:tcPr>
          <w:p>
            <w:pPr>
              <w:jc w:val="center"/>
              <w:ind w:left="3512"/>
              <w:spacing w:after="0"/>
              <w:rPr>
                <w:sz w:val="20"/>
                <w:szCs w:val="20"/>
                <w:color w:val="auto"/>
              </w:rPr>
            </w:pPr>
            <w:r>
              <w:rPr>
                <w:rFonts w:ascii="Times New Roman" w:cs="Times New Roman" w:eastAsia="Times New Roman" w:hAnsi="Times New Roman"/>
                <w:sz w:val="18"/>
                <w:szCs w:val="18"/>
                <w:color w:val="auto"/>
                <w:w w:val="97"/>
              </w:rPr>
              <w:t>(Address of principal executive offices) (Zip Code)</w:t>
            </w:r>
          </w:p>
        </w:tc>
        <w:tc>
          <w:tcPr>
            <w:tcW w:w="3580" w:type="dxa"/>
            <w:vAlign w:val="bottom"/>
          </w:tcPr>
          <w:p>
            <w:pPr>
              <w:spacing w:after="0"/>
              <w:rPr>
                <w:sz w:val="20"/>
                <w:szCs w:val="20"/>
                <w:color w:val="auto"/>
              </w:rPr>
            </w:pPr>
          </w:p>
        </w:tc>
      </w:tr>
      <w:tr>
        <w:trPr>
          <w:trHeight w:val="563"/>
        </w:trPr>
        <w:tc>
          <w:tcPr>
            <w:tcW w:w="7660" w:type="dxa"/>
            <w:vAlign w:val="bottom"/>
            <w:tcBorders>
              <w:bottom w:val="single" w:sz="8" w:color="auto"/>
            </w:tcBorders>
            <w:gridSpan w:val="3"/>
          </w:tcPr>
          <w:p>
            <w:pPr>
              <w:jc w:val="center"/>
              <w:ind w:left="3512"/>
              <w:spacing w:after="0"/>
              <w:rPr>
                <w:sz w:val="20"/>
                <w:szCs w:val="20"/>
                <w:color w:val="auto"/>
              </w:rPr>
            </w:pPr>
            <w:r>
              <w:rPr>
                <w:rFonts w:ascii="Times New Roman" w:cs="Times New Roman" w:eastAsia="Times New Roman" w:hAnsi="Times New Roman"/>
                <w:sz w:val="18"/>
                <w:szCs w:val="18"/>
                <w:b w:val="1"/>
                <w:bCs w:val="1"/>
                <w:color w:val="auto"/>
                <w:w w:val="97"/>
              </w:rPr>
              <w:t>(408) 441-3200</w:t>
            </w:r>
          </w:p>
        </w:tc>
        <w:tc>
          <w:tcPr>
            <w:tcW w:w="3580" w:type="dxa"/>
            <w:vAlign w:val="bottom"/>
            <w:tcBorders>
              <w:bottom w:val="single" w:sz="8" w:color="auto"/>
            </w:tcBorders>
          </w:tcPr>
          <w:p>
            <w:pPr>
              <w:spacing w:after="0"/>
              <w:rPr>
                <w:sz w:val="24"/>
                <w:szCs w:val="24"/>
                <w:color w:val="auto"/>
              </w:rPr>
            </w:pPr>
          </w:p>
        </w:tc>
      </w:tr>
      <w:tr>
        <w:trPr>
          <w:trHeight w:val="239"/>
        </w:trPr>
        <w:tc>
          <w:tcPr>
            <w:tcW w:w="7660" w:type="dxa"/>
            <w:vAlign w:val="bottom"/>
            <w:gridSpan w:val="3"/>
          </w:tcPr>
          <w:p>
            <w:pPr>
              <w:jc w:val="center"/>
              <w:ind w:left="3512"/>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3580" w:type="dxa"/>
            <w:vAlign w:val="bottom"/>
          </w:tcPr>
          <w:p>
            <w:pPr>
              <w:spacing w:after="0"/>
              <w:rPr>
                <w:sz w:val="20"/>
                <w:szCs w:val="20"/>
                <w:color w:val="auto"/>
              </w:rPr>
            </w:pPr>
          </w:p>
        </w:tc>
      </w:tr>
    </w:tbl>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48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37"/>
        </w:trPr>
        <w:tc>
          <w:tcPr>
            <w:tcW w:w="48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74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45"/>
        </w:trPr>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tcPr>
          <w:p>
            <w:pPr>
              <w:spacing w:after="0"/>
              <w:rPr>
                <w:sz w:val="21"/>
                <w:szCs w:val="21"/>
                <w:color w:val="auto"/>
              </w:rPr>
            </w:pPr>
          </w:p>
        </w:tc>
      </w:tr>
      <w:tr>
        <w:trPr>
          <w:trHeight w:val="220"/>
        </w:trPr>
        <w:tc>
          <w:tcPr>
            <w:tcW w:w="4800" w:type="dxa"/>
            <w:vAlign w:val="bottom"/>
            <w:gridSpan w:val="3"/>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8"/>
              </w:rPr>
              <w:t>Class A Common Stock, par value $0.0001 per</w:t>
            </w:r>
          </w:p>
        </w:tc>
        <w:tc>
          <w:tcPr>
            <w:tcW w:w="2740" w:type="dxa"/>
            <w:vAlign w:val="bottom"/>
            <w:gridSpan w:val="2"/>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7"/>
              </w:rPr>
              <w:t>SOUN</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r>
        <w:trPr>
          <w:trHeight w:val="237"/>
        </w:trPr>
        <w:tc>
          <w:tcPr>
            <w:tcW w:w="4800" w:type="dxa"/>
            <w:vAlign w:val="bottom"/>
            <w:tcBorders>
              <w:bottom w:val="single" w:sz="8" w:color="CCEEFF"/>
            </w:tcBorders>
            <w:gridSpan w:val="3"/>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9"/>
              </w:rPr>
              <w:t>share</w:t>
            </w:r>
          </w:p>
        </w:tc>
        <w:tc>
          <w:tcPr>
            <w:tcW w:w="2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p>
        </w:tc>
      </w:tr>
      <w:tr>
        <w:trPr>
          <w:trHeight w:val="265"/>
        </w:trPr>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r>
      <w:tr>
        <w:trPr>
          <w:trHeight w:val="239"/>
        </w:trPr>
        <w:tc>
          <w:tcPr>
            <w:tcW w:w="4800" w:type="dxa"/>
            <w:vAlign w:val="bottom"/>
            <w:gridSpan w:val="3"/>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6"/>
              </w:rPr>
              <w:t>Redeemable Warrants</w:t>
            </w:r>
          </w:p>
        </w:tc>
        <w:tc>
          <w:tcPr>
            <w:tcW w:w="2740" w:type="dxa"/>
            <w:vAlign w:val="bottom"/>
            <w:gridSpan w:val="2"/>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6"/>
              </w:rPr>
              <w:t>SOUNW</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r>
        <w:trPr>
          <w:trHeight w:val="25"/>
        </w:trPr>
        <w:tc>
          <w:tcPr>
            <w:tcW w:w="3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r>
    </w:tbl>
    <w:p>
      <w:pPr>
        <w:spacing w:after="0" w:line="247" w:lineRule="exact"/>
        <w:rPr>
          <w:sz w:val="24"/>
          <w:szCs w:val="24"/>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8" w:lineRule="exact"/>
        <w:rPr>
          <w:sz w:val="24"/>
          <w:szCs w:val="24"/>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51" w:lineRule="exact"/>
        <w:rPr>
          <w:sz w:val="24"/>
          <w:szCs w:val="24"/>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31" w:right="339" w:bottom="0" w:gutter="0" w:footer="0" w:header="0"/>
        </w:sectPr>
      </w:pPr>
    </w:p>
    <w:p>
      <w:pPr>
        <w:spacing w:after="0" w:line="205"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69" w:lineRule="exact"/>
        <w:rPr>
          <w:sz w:val="24"/>
          <w:szCs w:val="24"/>
          <w:color w:val="auto"/>
        </w:rPr>
      </w:pPr>
    </w:p>
    <w:p>
      <w:pPr>
        <w:sectPr>
          <w:pgSz w:w="11900" w:h="16838" w:orient="portrait"/>
          <w:cols w:equalWidth="0" w:num="4">
            <w:col w:w="220" w:space="140"/>
            <w:col w:w="4560" w:space="720"/>
            <w:col w:w="160" w:space="180"/>
            <w:col w:w="5260"/>
          </w:cols>
          <w:pgMar w:left="320" w:top="331" w:right="339" w:bottom="0" w:gutter="0" w:footer="0" w:header="0"/>
          <w:type w:val="continuous"/>
        </w:sectPr>
      </w:pPr>
    </w:p>
    <w:p>
      <w:pPr>
        <w:spacing w:after="0" w:line="18" w:lineRule="exact"/>
        <w:rPr>
          <w:sz w:val="24"/>
          <w:szCs w:val="24"/>
          <w:color w:val="auto"/>
        </w:rPr>
      </w:pPr>
    </w:p>
    <w:p>
      <w:pPr>
        <w:ind w:left="2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69" w:lineRule="exact"/>
        <w:rPr>
          <w:sz w:val="24"/>
          <w:szCs w:val="24"/>
          <w:color w:val="auto"/>
        </w:rPr>
      </w:pPr>
    </w:p>
    <w:p>
      <w:pPr>
        <w:sectPr>
          <w:pgSz w:w="11900" w:h="16838" w:orient="portrait"/>
          <w:cols w:equalWidth="0" w:num="4">
            <w:col w:w="180" w:space="180"/>
            <w:col w:w="4560" w:space="720"/>
            <w:col w:w="160" w:space="180"/>
            <w:col w:w="5260"/>
          </w:cols>
          <w:pgMar w:left="320" w:top="331" w:right="339" w:bottom="0" w:gutter="0" w:footer="0" w:header="0"/>
          <w:type w:val="continuous"/>
        </w:sectPr>
      </w:pPr>
    </w:p>
    <w:p>
      <w:pPr>
        <w:spacing w:after="0" w:line="18" w:lineRule="exact"/>
        <w:rPr>
          <w:sz w:val="24"/>
          <w:szCs w:val="24"/>
          <w:color w:val="auto"/>
        </w:rPr>
      </w:pPr>
    </w:p>
    <w:p>
      <w:pPr>
        <w:ind w:left="564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11" w:lineRule="exact"/>
        <w:rPr>
          <w:sz w:val="24"/>
          <w:szCs w:val="24"/>
          <w:color w:val="auto"/>
        </w:rPr>
      </w:pPr>
    </w:p>
    <w:p>
      <w:pPr>
        <w:sectPr>
          <w:pgSz w:w="11900" w:h="16838" w:orient="portrait"/>
          <w:cols w:equalWidth="0" w:num="2">
            <w:col w:w="5800" w:space="180"/>
            <w:col w:w="5260"/>
          </w:cols>
          <w:pgMar w:left="320" w:top="331" w:right="339" w:bottom="0" w:gutter="0" w:footer="0" w:header="0"/>
          <w:type w:val="continuous"/>
        </w:sectPr>
      </w:pPr>
    </w:p>
    <w:p>
      <w:pPr>
        <w:spacing w:after="0" w:line="96" w:lineRule="exact"/>
        <w:rPr>
          <w:sz w:val="24"/>
          <w:szCs w:val="24"/>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ectPr>
          <w:pgSz w:w="11900" w:h="16838" w:orient="portrait"/>
          <w:cols w:equalWidth="0" w:num="1">
            <w:col w:w="11240"/>
          </w:cols>
          <w:pgMar w:left="320" w:top="331" w:right="339" w:bottom="0" w:gutter="0" w:footer="0" w:header="0"/>
          <w:type w:val="continuous"/>
        </w:sectPr>
      </w:pPr>
    </w:p>
    <w:bookmarkStart w:id="1" w:name="page2"/>
    <w:bookmarkEnd w:id="1"/>
    <w:p>
      <w:pPr>
        <w:ind w:firstLine="636"/>
        <w:spacing w:after="0" w:line="274" w:lineRule="auto"/>
        <w:rPr>
          <w:sz w:val="20"/>
          <w:szCs w:val="20"/>
          <w:color w:val="auto"/>
        </w:rPr>
      </w:pPr>
      <w:r>
        <w:rPr>
          <w:rFonts w:ascii="Times New Roman" w:cs="Times New Roman" w:eastAsia="Times New Roman" w:hAnsi="Times New Roman"/>
          <w:sz w:val="18"/>
          <w:szCs w:val="18"/>
          <w:color w:val="auto"/>
        </w:rPr>
        <w:t>As of August 7, 2024, there were 325,997,277 shares of the Company’s Class A Common Stock, $0.0001 par value per share, issued and outstanding, and 32,735,408 shares of the Company’s Class B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775970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123825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149225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shd w:val="clear" w:color="auto" w:fill="CCEEFF"/>
          </w:tcPr>
          <w:p>
            <w:pPr>
              <w:spacing w:after="0"/>
              <w:rPr>
                <w:sz w:val="22"/>
                <w:szCs w:val="22"/>
                <w:color w:val="auto"/>
              </w:rPr>
            </w:pPr>
          </w:p>
        </w:tc>
        <w:tc>
          <w:tcPr>
            <w:tcW w:w="104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4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rPr>
              <w:t>1</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22"/>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rPr>
              <w:t>1</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660" w:type="dxa"/>
            <w:vAlign w:val="bottom"/>
            <w:gridSpan w:val="22"/>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Condensed Consolidated Balance Sheets as of June 30, 2024 (unaudited) and December 31, 2023</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rPr>
              <w:t>1</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40" w:type="dxa"/>
            <w:vAlign w:val="bottom"/>
            <w:tcBorders>
              <w:bottom w:val="single" w:sz="8" w:color="0000FF"/>
            </w:tcBorders>
            <w:gridSpan w:val="20"/>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w w:val="97"/>
              </w:rPr>
              <w:t>Condensed Consolidated Statements of Operations and Comprehensive Loss for the three and six months ended June 30, 2024 and</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r>
      <w:tr>
        <w:trPr>
          <w:trHeight w:val="238"/>
        </w:trPr>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0" w:type="dxa"/>
            <w:vAlign w:val="bottom"/>
            <w:gridSpan w:val="20"/>
            <w:shd w:val="clear" w:color="auto" w:fill="CCEEFF"/>
          </w:tcPr>
          <w:p>
            <w:pPr>
              <w:ind w:left="100"/>
              <w:spacing w:after="0" w:line="192" w:lineRule="exact"/>
              <w:rPr>
                <w:sz w:val="20"/>
                <w:szCs w:val="20"/>
                <w:color w:val="auto"/>
              </w:rPr>
            </w:pPr>
            <w:r>
              <w:rPr>
                <w:rFonts w:ascii="Times New Roman" w:cs="Times New Roman" w:eastAsia="Times New Roman" w:hAnsi="Times New Roman"/>
                <w:sz w:val="18"/>
                <w:szCs w:val="18"/>
                <w:color w:val="0000FF"/>
              </w:rPr>
              <w:t>2023 (unaudited)</w:t>
            </w:r>
          </w:p>
        </w:tc>
        <w:tc>
          <w:tcPr>
            <w:tcW w:w="740" w:type="dxa"/>
            <w:vAlign w:val="bottom"/>
            <w:shd w:val="clear" w:color="auto" w:fill="CCEEFF"/>
          </w:tcPr>
          <w:p>
            <w:pPr>
              <w:jc w:val="center"/>
              <w:ind w:right="72"/>
              <w:spacing w:after="0" w:line="192" w:lineRule="exact"/>
              <w:rPr>
                <w:sz w:val="20"/>
                <w:szCs w:val="20"/>
                <w:color w:val="auto"/>
              </w:rPr>
            </w:pPr>
            <w:r>
              <w:rPr>
                <w:rFonts w:ascii="Times New Roman" w:cs="Times New Roman" w:eastAsia="Times New Roman" w:hAnsi="Times New Roman"/>
                <w:sz w:val="18"/>
                <w:szCs w:val="18"/>
                <w:color w:val="auto"/>
              </w:rPr>
              <w:t>2</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180" w:type="dxa"/>
            <w:vAlign w:val="bottom"/>
            <w:tcBorders>
              <w:bottom w:val="single" w:sz="8" w:color="0000FF"/>
            </w:tcBorders>
            <w:gridSpan w:val="19"/>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w w:val="97"/>
              </w:rPr>
              <w:t>Condensed Consolidated Statements of Stockholders’ Equity (Deficit) for the three and six months ended June 30, 2024 and 2023</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r>
      <w:tr>
        <w:trPr>
          <w:trHeight w:val="238"/>
        </w:trPr>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0" w:type="dxa"/>
            <w:vAlign w:val="bottom"/>
            <w:gridSpan w:val="20"/>
            <w:shd w:val="clear" w:color="auto" w:fill="CCEEFF"/>
          </w:tcPr>
          <w:p>
            <w:pPr>
              <w:ind w:left="100"/>
              <w:spacing w:after="0" w:line="192" w:lineRule="exact"/>
              <w:rPr>
                <w:sz w:val="20"/>
                <w:szCs w:val="20"/>
                <w:color w:val="auto"/>
              </w:rPr>
            </w:pPr>
            <w:r>
              <w:rPr>
                <w:rFonts w:ascii="Times New Roman" w:cs="Times New Roman" w:eastAsia="Times New Roman" w:hAnsi="Times New Roman"/>
                <w:sz w:val="18"/>
                <w:szCs w:val="18"/>
                <w:color w:val="0000FF"/>
              </w:rPr>
              <w:t>(unaudited)</w:t>
            </w:r>
          </w:p>
        </w:tc>
        <w:tc>
          <w:tcPr>
            <w:tcW w:w="740" w:type="dxa"/>
            <w:vAlign w:val="bottom"/>
            <w:shd w:val="clear" w:color="auto" w:fill="CCEEFF"/>
          </w:tcPr>
          <w:p>
            <w:pPr>
              <w:jc w:val="center"/>
              <w:ind w:right="72"/>
              <w:spacing w:after="0" w:line="192" w:lineRule="exact"/>
              <w:rPr>
                <w:sz w:val="20"/>
                <w:szCs w:val="20"/>
                <w:color w:val="auto"/>
              </w:rPr>
            </w:pPr>
            <w:r>
              <w:rPr>
                <w:rFonts w:ascii="Times New Roman" w:cs="Times New Roman" w:eastAsia="Times New Roman" w:hAnsi="Times New Roman"/>
                <w:sz w:val="18"/>
                <w:szCs w:val="18"/>
                <w:color w:val="auto"/>
              </w:rPr>
              <w:t>3</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660" w:type="dxa"/>
            <w:vAlign w:val="bottom"/>
            <w:gridSpan w:val="22"/>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 (unaudited)</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rPr>
              <w:t>5</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140" w:type="dxa"/>
            <w:vAlign w:val="bottom"/>
            <w:tcBorders>
              <w:top w:val="single" w:sz="8" w:color="0000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660" w:type="dxa"/>
            <w:vAlign w:val="bottom"/>
            <w:gridSpan w:val="22"/>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rPr>
              <w:t>7</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22"/>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w w:val="99"/>
              </w:rPr>
              <w:t>37</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22"/>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w w:val="99"/>
              </w:rPr>
              <w:t>55</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22"/>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w w:val="99"/>
              </w:rPr>
              <w:t>56</w:t>
            </w:r>
          </w:p>
        </w:tc>
      </w:tr>
      <w:tr>
        <w:trPr>
          <w:trHeight w:val="265"/>
        </w:trPr>
        <w:tc>
          <w:tcPr>
            <w:tcW w:w="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gridSpan w:val="2"/>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10480" w:type="dxa"/>
            <w:vAlign w:val="bottom"/>
            <w:gridSpan w:val="23"/>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w w:val="99"/>
              </w:rPr>
              <w:t>58</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22"/>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Legal Proceedings</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w w:val="99"/>
              </w:rPr>
              <w:t>58</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1A.</w:t>
            </w:r>
          </w:p>
        </w:tc>
        <w:tc>
          <w:tcPr>
            <w:tcW w:w="9660" w:type="dxa"/>
            <w:vAlign w:val="bottom"/>
            <w:gridSpan w:val="22"/>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Risk Factors</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w w:val="99"/>
              </w:rPr>
              <w:t>58</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22"/>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w w:val="99"/>
              </w:rPr>
              <w:t>58</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22"/>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w w:val="99"/>
              </w:rPr>
              <w:t>58</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22"/>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w w:val="99"/>
              </w:rPr>
              <w:t>58</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5.</w:t>
            </w:r>
          </w:p>
        </w:tc>
        <w:tc>
          <w:tcPr>
            <w:tcW w:w="9660" w:type="dxa"/>
            <w:vAlign w:val="bottom"/>
            <w:gridSpan w:val="22"/>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Other Information</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w w:val="99"/>
              </w:rPr>
              <w:t>58</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6.</w:t>
            </w:r>
          </w:p>
        </w:tc>
        <w:tc>
          <w:tcPr>
            <w:tcW w:w="9660" w:type="dxa"/>
            <w:vAlign w:val="bottom"/>
            <w:gridSpan w:val="22"/>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Exhibits</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w w:val="99"/>
              </w:rPr>
              <w:t>59</w:t>
            </w:r>
          </w:p>
        </w:tc>
      </w:tr>
      <w:tr>
        <w:trPr>
          <w:trHeight w:val="265"/>
        </w:trPr>
        <w:tc>
          <w:tcPr>
            <w:tcW w:w="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gridSpan w:val="2"/>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199"/>
        </w:trPr>
        <w:tc>
          <w:tcPr>
            <w:tcW w:w="20" w:type="dxa"/>
            <w:vAlign w:val="bottom"/>
            <w:shd w:val="clear" w:color="auto" w:fill="CCEEFF"/>
          </w:tcPr>
          <w:p>
            <w:pPr>
              <w:spacing w:after="0"/>
              <w:rPr>
                <w:sz w:val="17"/>
                <w:szCs w:val="17"/>
                <w:color w:val="auto"/>
              </w:rPr>
            </w:pPr>
          </w:p>
        </w:tc>
        <w:tc>
          <w:tcPr>
            <w:tcW w:w="10480" w:type="dxa"/>
            <w:vAlign w:val="bottom"/>
            <w:gridSpan w:val="23"/>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shd w:val="clear" w:color="auto" w:fill="CCEEFF"/>
          </w:tcPr>
          <w:p>
            <w:pPr>
              <w:jc w:val="center"/>
              <w:ind w:right="72"/>
              <w:spacing w:after="0" w:line="199" w:lineRule="exact"/>
              <w:rPr>
                <w:sz w:val="20"/>
                <w:szCs w:val="20"/>
                <w:color w:val="auto"/>
              </w:rPr>
            </w:pPr>
            <w:r>
              <w:rPr>
                <w:rFonts w:ascii="Times New Roman" w:cs="Times New Roman" w:eastAsia="Times New Roman" w:hAnsi="Times New Roman"/>
                <w:sz w:val="18"/>
                <w:szCs w:val="18"/>
                <w:color w:val="auto"/>
                <w:w w:val="99"/>
              </w:rPr>
              <w:t>60</w:t>
            </w:r>
          </w:p>
        </w:tc>
      </w:tr>
      <w:tr>
        <w:trPr>
          <w:trHeight w:val="46"/>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98425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9"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This Quarterly Report on Form 10-Q (this “report”)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You can identify some of these forward-looking statements by words or phrases such as “may,” “will,” “expect,” “anticipate,” “aim,” “estimate,” “intend,” “plan,” “believe,” “is/are likely to,” “potential,” “continue” or other similar expressions. These forward-looking statements include, but are not limited to, statements concerning our expected financial performance, our ability to implement our business strategy and anticipated business and operations, including our ability to improve our Generative AI Foundation Model, expand our customer partnerships and roll out our AI drive thru service, roll out our Dynamic Interaction, Chat AI for Automotive, and expand the number of platforms on which our voice AI technology will be available, the potential utility of and market for our products and services, and our ability to achieve revenue from our bookings backlog. We have based these forward-looking statements largely on our current expectations and projections about future events that we believe may affect our financial condition, results of operations, business strategy and financial needs.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Accordingly, readers are cautioned that significant known and unknown risks, uncertainties and other important factors may cause our actual results, performance or achievements to be materially different from those expressed or implied by the forward-looking statements. Some factors that could cause actual results to differ include:</w:t>
      </w:r>
    </w:p>
    <w:p>
      <w:pPr>
        <w:spacing w:after="0" w:line="179" w:lineRule="exact"/>
        <w:rPr>
          <w:sz w:val="20"/>
          <w:szCs w:val="20"/>
          <w:color w:val="auto"/>
        </w:rPr>
      </w:pPr>
    </w:p>
    <w:p>
      <w:pPr>
        <w:ind w:left="960" w:hanging="318"/>
        <w:spacing w:after="0"/>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our business strategy, including launching new product offerings and expanding information and technology capabilities;</w:t>
      </w:r>
    </w:p>
    <w:p>
      <w:pPr>
        <w:spacing w:after="0" w:line="228"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impact of our growth initiatives on our future financial performance;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trade secrets;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as necessary, including equity or debt financing, on terms that are acceptable to us, if at all, particularly in light of inflationary pressures and resulting increases in the cost of borrowing;</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our operations and business;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 maintain a qualified workforce;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our customers to use competitors’ services;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our AI technology;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uncertainty of our estimates of market opportunity and forecasts of market growth;</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herein and in our Annual Report on Form 10-K which was filed with the Securities and Exchange Commission on March 1, 2024.</w:t>
      </w:r>
    </w:p>
    <w:p>
      <w:pPr>
        <w:spacing w:after="0" w:line="16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180" w:type="dxa"/>
            <w:vAlign w:val="bottom"/>
          </w:tcPr>
          <w:p>
            <w:pPr>
              <w:spacing w:after="0"/>
              <w:rPr>
                <w:sz w:val="11"/>
                <w:szCs w:val="11"/>
                <w:color w:val="auto"/>
              </w:rPr>
            </w:pPr>
          </w:p>
        </w:tc>
        <w:tc>
          <w:tcPr>
            <w:tcW w:w="1040" w:type="dxa"/>
            <w:vAlign w:val="bottom"/>
          </w:tcPr>
          <w:p>
            <w:pPr>
              <w:jc w:val="center"/>
              <w:ind w:left="407"/>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387"/>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0"/>
        </w:trPr>
        <w:tc>
          <w:tcPr>
            <w:tcW w:w="8180" w:type="dxa"/>
            <w:vAlign w:val="bottom"/>
          </w:tcPr>
          <w:p>
            <w:pPr>
              <w:spacing w:after="0"/>
              <w:rPr>
                <w:sz w:val="12"/>
                <w:szCs w:val="12"/>
                <w:color w:val="auto"/>
              </w:rPr>
            </w:pPr>
          </w:p>
        </w:tc>
        <w:tc>
          <w:tcPr>
            <w:tcW w:w="1040" w:type="dxa"/>
            <w:vAlign w:val="bottom"/>
          </w:tcPr>
          <w:p>
            <w:pPr>
              <w:jc w:val="center"/>
              <w:ind w:left="387"/>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8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8180" w:type="dxa"/>
            <w:vAlign w:val="bottom"/>
          </w:tcPr>
          <w:p>
            <w:pPr>
              <w:spacing w:after="0"/>
              <w:rPr>
                <w:sz w:val="12"/>
                <w:szCs w:val="12"/>
                <w:color w:val="auto"/>
              </w:rPr>
            </w:pPr>
          </w:p>
        </w:tc>
        <w:tc>
          <w:tcPr>
            <w:tcW w:w="1040" w:type="dxa"/>
            <w:vAlign w:val="bottom"/>
          </w:tcPr>
          <w:p>
            <w:pPr>
              <w:jc w:val="center"/>
              <w:ind w:left="387"/>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39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40" w:type="dxa"/>
            <w:vAlign w:val="bottom"/>
          </w:tcPr>
          <w:p>
            <w:pPr>
              <w:jc w:val="right"/>
              <w:ind w:right="907"/>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200,156</w:t>
            </w:r>
          </w:p>
        </w:tc>
        <w:tc>
          <w:tcPr>
            <w:tcW w:w="100" w:type="dxa"/>
            <w:vAlign w:val="bottom"/>
          </w:tcPr>
          <w:p>
            <w:pPr>
              <w:spacing w:after="0"/>
              <w:rPr>
                <w:sz w:val="13"/>
                <w:szCs w:val="13"/>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95,260</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Accounts receivable, net of allowances of $439 and $203 as of June 30, 2024 and December 31, 2023, respectively</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4,050</w:t>
            </w: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Contract assets and unbilled receivable, net of allowance for credit losses of $108 and $17 of June 30, 2024 and December 31, 2023, respectively</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14,892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11,780</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current assets</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2,452</w:t>
            </w:r>
          </w:p>
        </w:tc>
        <w:tc>
          <w:tcPr>
            <w:tcW w:w="0" w:type="dxa"/>
            <w:vAlign w:val="bottom"/>
          </w:tcPr>
          <w:p>
            <w:pPr>
              <w:spacing w:after="0"/>
              <w:rPr>
                <w:sz w:val="1"/>
                <w:szCs w:val="1"/>
                <w:color w:val="auto"/>
              </w:rPr>
            </w:pPr>
          </w:p>
        </w:tc>
      </w:tr>
      <w:tr>
        <w:trPr>
          <w:trHeight w:val="144"/>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current assets</w:t>
            </w:r>
          </w:p>
        </w:tc>
        <w:tc>
          <w:tcPr>
            <w:tcW w:w="10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224,056</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113,542</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cash equivalents, non-current</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13,775</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Right-of-use assets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5,210</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1,515</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13,147</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 asset</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Contract assets and unbilled receivable, non-current, net of allowance for credit losses of $171 and $177 of June 30, 2024 and December 31, 2023, respectively</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15,518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16,492</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non-current assets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577</w:t>
            </w:r>
          </w:p>
        </w:tc>
        <w:tc>
          <w:tcPr>
            <w:tcW w:w="0" w:type="dxa"/>
            <w:vAlign w:val="bottom"/>
          </w:tcPr>
          <w:p>
            <w:pPr>
              <w:spacing w:after="0"/>
              <w:rPr>
                <w:sz w:val="1"/>
                <w:szCs w:val="1"/>
                <w:color w:val="auto"/>
              </w:rPr>
            </w:pPr>
          </w:p>
        </w:tc>
      </w:tr>
      <w:tr>
        <w:trPr>
          <w:trHeight w:val="34"/>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assets</w:t>
            </w:r>
          </w:p>
        </w:tc>
        <w:tc>
          <w:tcPr>
            <w:tcW w:w="1040" w:type="dxa"/>
            <w:vAlign w:val="bottom"/>
            <w:tcBorders>
              <w:bottom w:val="single" w:sz="8" w:color="auto"/>
            </w:tcBorders>
            <w:shd w:val="clear" w:color="auto" w:fill="CCEEFF"/>
          </w:tcPr>
          <w:p>
            <w:pPr>
              <w:jc w:val="right"/>
              <w:ind w:right="907"/>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266,674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151,122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180" w:type="dxa"/>
            <w:vAlign w:val="bottom"/>
            <w:tcBorders>
              <w:bottom w:val="single" w:sz="8" w:color="CCEEFF"/>
            </w:tcBorders>
            <w:shd w:val="clear" w:color="auto" w:fill="CCEEFF"/>
          </w:tcPr>
          <w:p>
            <w:pPr>
              <w:ind w:left="294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1040" w:type="dxa"/>
            <w:vAlign w:val="bottom"/>
            <w:tcBorders>
              <w:bottom w:val="single" w:sz="8" w:color="CCEEFF"/>
            </w:tcBorders>
            <w:shd w:val="clear" w:color="auto" w:fill="CCEEFF"/>
          </w:tcPr>
          <w:p>
            <w:pPr>
              <w:jc w:val="right"/>
              <w:ind w:right="907"/>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1,653</w:t>
            </w: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Accrued liabilities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13,147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13,884</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2,637</w:t>
            </w: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Finance lease liabilities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121</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Income tax liability</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1,618</w:t>
            </w: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Deferred revenue</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4,310</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5"/>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0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25,537</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24,223</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liabilities, net of current portion</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3,089</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revenue, net of current portion</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4,910</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Long-term debt</w:t>
            </w: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84,312</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Contingent acquisition liabilities (Note 17)</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liability, net of current portion</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2,453</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3,967</w:t>
            </w:r>
          </w:p>
        </w:tc>
        <w:tc>
          <w:tcPr>
            <w:tcW w:w="0" w:type="dxa"/>
            <w:vAlign w:val="bottom"/>
          </w:tcPr>
          <w:p>
            <w:pPr>
              <w:spacing w:after="0"/>
              <w:rPr>
                <w:sz w:val="1"/>
                <w:szCs w:val="1"/>
                <w:color w:val="auto"/>
              </w:rPr>
            </w:pPr>
          </w:p>
        </w:tc>
      </w:tr>
      <w:tr>
        <w:trPr>
          <w:trHeight w:val="34"/>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liabilities</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42,733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122,954</w:t>
            </w:r>
          </w:p>
        </w:tc>
        <w:tc>
          <w:tcPr>
            <w:tcW w:w="0" w:type="dxa"/>
            <w:vAlign w:val="bottom"/>
          </w:tcPr>
          <w:p>
            <w:pPr>
              <w:spacing w:after="0"/>
              <w:rPr>
                <w:sz w:val="1"/>
                <w:szCs w:val="1"/>
                <w:color w:val="auto"/>
              </w:rPr>
            </w:pPr>
          </w:p>
        </w:tc>
      </w:tr>
      <w:tr>
        <w:trPr>
          <w:trHeight w:val="13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7)</w:t>
            </w:r>
          </w:p>
        </w:tc>
        <w:tc>
          <w:tcPr>
            <w:tcW w:w="10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97"/>
              </w:rPr>
              <w:t>Series A Preferred Stock, $0.0001 par value; 1,000,000 shares authorized; 0 and 475,005 shares issued and outstanding, aggregate liquidation preference of $0 and $16,227 as of June 30,</w:t>
            </w:r>
          </w:p>
        </w:tc>
        <w:tc>
          <w:tcPr>
            <w:tcW w:w="104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14,187</w:t>
            </w:r>
          </w:p>
        </w:tc>
        <w:tc>
          <w:tcPr>
            <w:tcW w:w="0" w:type="dxa"/>
            <w:vAlign w:val="bottom"/>
          </w:tcPr>
          <w:p>
            <w:pPr>
              <w:spacing w:after="0"/>
              <w:rPr>
                <w:sz w:val="1"/>
                <w:szCs w:val="1"/>
                <w:color w:val="auto"/>
              </w:rPr>
            </w:pPr>
          </w:p>
        </w:tc>
      </w:tr>
      <w:tr>
        <w:trPr>
          <w:trHeight w:val="13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2024 and December 31, 2023, respectively</w:t>
            </w:r>
          </w:p>
        </w:tc>
        <w:tc>
          <w:tcPr>
            <w:tcW w:w="10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9"/>
              </w:rPr>
              <w:t>Class A Common Stock, $0.0001 par value; 455,000,000 shares authorized; 315,153,605 and 216,943,349 shares issued and outstanding as of June 30, 2024 and December 31, 2023,</w:t>
            </w:r>
          </w:p>
        </w:tc>
        <w:tc>
          <w:tcPr>
            <w:tcW w:w="10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38"/>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respectively</w:t>
            </w:r>
          </w:p>
        </w:tc>
        <w:tc>
          <w:tcPr>
            <w:tcW w:w="10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Class B Common Stock, $0.0001 par value; 44,000,000 shares authorized; 32,735,408 and 37,485,408 shares issued and outstanding as of June 30, 2024 and December 31, 2023,</w:t>
            </w:r>
          </w:p>
        </w:tc>
        <w:tc>
          <w:tcPr>
            <w:tcW w:w="10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3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respectively</w:t>
            </w:r>
          </w:p>
        </w:tc>
        <w:tc>
          <w:tcPr>
            <w:tcW w:w="10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886,412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606,135</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Accumulated deficit</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(662,710)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(592,379)</w:t>
            </w:r>
          </w:p>
        </w:tc>
        <w:tc>
          <w:tcPr>
            <w:tcW w:w="0" w:type="dxa"/>
            <w:vAlign w:val="bottom"/>
          </w:tcPr>
          <w:p>
            <w:pPr>
              <w:spacing w:after="0"/>
              <w:rPr>
                <w:sz w:val="1"/>
                <w:szCs w:val="1"/>
                <w:color w:val="auto"/>
              </w:rPr>
            </w:pPr>
          </w:p>
        </w:tc>
      </w:tr>
      <w:tr>
        <w:trPr>
          <w:trHeight w:val="151"/>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199</w:t>
            </w:r>
          </w:p>
        </w:tc>
        <w:tc>
          <w:tcPr>
            <w:tcW w:w="0" w:type="dxa"/>
            <w:vAlign w:val="bottom"/>
          </w:tcPr>
          <w:p>
            <w:pPr>
              <w:spacing w:after="0"/>
              <w:rPr>
                <w:sz w:val="1"/>
                <w:szCs w:val="1"/>
                <w:color w:val="auto"/>
              </w:rPr>
            </w:pPr>
          </w:p>
        </w:tc>
      </w:tr>
      <w:tr>
        <w:trPr>
          <w:trHeight w:val="34"/>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223,941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28,168</w:t>
            </w:r>
          </w:p>
        </w:tc>
        <w:tc>
          <w:tcPr>
            <w:tcW w:w="0" w:type="dxa"/>
            <w:vAlign w:val="bottom"/>
          </w:tcPr>
          <w:p>
            <w:pPr>
              <w:spacing w:after="0"/>
              <w:rPr>
                <w:sz w:val="1"/>
                <w:szCs w:val="1"/>
                <w:color w:val="auto"/>
              </w:rPr>
            </w:pPr>
          </w:p>
        </w:tc>
      </w:tr>
      <w:tr>
        <w:trPr>
          <w:trHeight w:val="175"/>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1040" w:type="dxa"/>
            <w:vAlign w:val="bottom"/>
            <w:tcBorders>
              <w:top w:val="single" w:sz="8" w:color="auto"/>
              <w:bottom w:val="single" w:sz="8" w:color="auto"/>
            </w:tcBorders>
          </w:tcPr>
          <w:p>
            <w:pPr>
              <w:jc w:val="right"/>
              <w:ind w:right="907"/>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266,674</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151,122</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760" w:type="dxa"/>
            <w:vAlign w:val="bottom"/>
            <w:gridSpan w:val="4"/>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4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Pr>
          <w:p>
            <w:pPr>
              <w:spacing w:after="0"/>
              <w:rPr>
                <w:sz w:val="20"/>
                <w:szCs w:val="20"/>
                <w:color w:val="auto"/>
              </w:rPr>
            </w:pPr>
          </w:p>
        </w:tc>
      </w:tr>
      <w:tr>
        <w:trPr>
          <w:trHeight w:val="26"/>
        </w:trPr>
        <w:tc>
          <w:tcPr>
            <w:tcW w:w="4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4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4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w:t>
            </w: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5"/>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r>
      <w:tr>
        <w:trPr>
          <w:trHeight w:val="24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5"/>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25,920</w:t>
            </w:r>
          </w:p>
        </w:tc>
      </w:tr>
      <w:tr>
        <w:trPr>
          <w:trHeight w:val="24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13,713</w:t>
            </w: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5"/>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5"/>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r>
      <w:tr>
        <w:trPr>
          <w:trHeight w:val="233"/>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57,143</w:t>
            </w:r>
          </w:p>
        </w:tc>
      </w:tr>
      <w:tr>
        <w:trPr>
          <w:trHeight w:val="26"/>
        </w:trPr>
        <w:tc>
          <w:tcPr>
            <w:tcW w:w="4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(41,685)</w:t>
            </w:r>
          </w:p>
        </w:tc>
      </w:tr>
      <w:tr>
        <w:trPr>
          <w:trHeight w:val="245"/>
        </w:trPr>
        <w:tc>
          <w:tcPr>
            <w:tcW w:w="48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45"/>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5"/>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r>
      <w:tr>
        <w:trPr>
          <w:trHeight w:val="24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5"/>
        </w:trPr>
        <w:tc>
          <w:tcPr>
            <w:tcW w:w="4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8"/>
        </w:trPr>
        <w:tc>
          <w:tcPr>
            <w:tcW w:w="4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(49,991)</w:t>
            </w: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5"/>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(50,737)</w:t>
            </w: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5"/>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5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common shareholders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(52,296)</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1"/>
        </w:trPr>
        <w:tc>
          <w:tcPr>
            <w:tcW w:w="4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5"/>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(52,296)</w:t>
            </w: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5"/>
        </w:trPr>
        <w:tc>
          <w:tcPr>
            <w:tcW w:w="4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65"/>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331,830,608</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220,772,111</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309,213,583</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212,970,561</w:t>
            </w:r>
          </w:p>
        </w:tc>
      </w:tr>
      <w:tr>
        <w:trPr>
          <w:trHeight w:val="20"/>
        </w:trPr>
        <w:tc>
          <w:tcPr>
            <w:tcW w:w="4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33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0592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929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820" w:type="dxa"/>
            <w:vAlign w:val="bottom"/>
          </w:tcPr>
          <w:p>
            <w:pPr>
              <w:spacing w:after="0"/>
              <w:rPr>
                <w:sz w:val="12"/>
                <w:szCs w:val="12"/>
                <w:color w:val="auto"/>
              </w:rPr>
            </w:pPr>
          </w:p>
        </w:tc>
        <w:tc>
          <w:tcPr>
            <w:tcW w:w="16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Series A Preferred Stock</w:t>
            </w:r>
          </w:p>
        </w:tc>
        <w:tc>
          <w:tcPr>
            <w:tcW w:w="1660" w:type="dxa"/>
            <w:vAlign w:val="bottom"/>
            <w:gridSpan w:val="9"/>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16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820" w:type="dxa"/>
            <w:vAlign w:val="bottom"/>
          </w:tcPr>
          <w:p>
            <w:pPr>
              <w:spacing w:after="0"/>
              <w:rPr>
                <w:sz w:val="8"/>
                <w:szCs w:val="8"/>
                <w:color w:val="auto"/>
              </w:rPr>
            </w:pPr>
          </w:p>
        </w:tc>
        <w:tc>
          <w:tcPr>
            <w:tcW w:w="1620" w:type="dxa"/>
            <w:vAlign w:val="bottom"/>
            <w:gridSpan w:val="5"/>
            <w:vMerge w:val="continue"/>
          </w:tcPr>
          <w:p>
            <w:pPr>
              <w:spacing w:after="0"/>
              <w:rPr>
                <w:sz w:val="8"/>
                <w:szCs w:val="8"/>
                <w:color w:val="auto"/>
              </w:rPr>
            </w:pPr>
          </w:p>
        </w:tc>
        <w:tc>
          <w:tcPr>
            <w:tcW w:w="1660" w:type="dxa"/>
            <w:vAlign w:val="bottom"/>
            <w:gridSpan w:val="9"/>
            <w:vMerge w:val="continue"/>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restart"/>
          </w:tcPr>
          <w:p>
            <w:pPr>
              <w:jc w:val="center"/>
              <w:ind w:right="180"/>
              <w:spacing w:after="0" w:line="106"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vMerge w:val="restart"/>
          </w:tcPr>
          <w:p>
            <w:pPr>
              <w:jc w:val="center"/>
              <w:ind w:right="160"/>
              <w:spacing w:after="0" w:line="106" w:lineRule="exact"/>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40" w:type="dxa"/>
            <w:vAlign w:val="bottom"/>
            <w:gridSpan w:val="4"/>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700" w:type="dxa"/>
            <w:vAlign w:val="bottom"/>
            <w:gridSpan w:val="4"/>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60" w:type="dxa"/>
            <w:vAlign w:val="bottom"/>
          </w:tcPr>
          <w:p>
            <w:pPr>
              <w:spacing w:after="0"/>
              <w:rPr>
                <w:sz w:val="15"/>
                <w:szCs w:val="15"/>
                <w:color w:val="auto"/>
              </w:rPr>
            </w:pPr>
          </w:p>
        </w:tc>
        <w:tc>
          <w:tcPr>
            <w:tcW w:w="580" w:type="dxa"/>
            <w:vAlign w:val="bottom"/>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of March 31, 2024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70,241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2,097</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288,822,818</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32,735,408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778,503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(625,388)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155,479</w:t>
            </w:r>
          </w:p>
        </w:tc>
        <w:tc>
          <w:tcPr>
            <w:tcW w:w="0" w:type="dxa"/>
            <w:vAlign w:val="bottom"/>
          </w:tcPr>
          <w:p>
            <w:pPr>
              <w:spacing w:after="0"/>
              <w:rPr>
                <w:sz w:val="1"/>
                <w:szCs w:val="1"/>
                <w:color w:val="auto"/>
              </w:rPr>
            </w:pPr>
          </w:p>
        </w:tc>
      </w:tr>
      <w:tr>
        <w:trPr>
          <w:trHeight w:val="154"/>
        </w:trPr>
        <w:tc>
          <w:tcPr>
            <w:tcW w:w="2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under the Equity</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Distribution Agreement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21,228,617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97,710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97,712</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for equity</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incentive awards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2,548,809</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1,457</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1,457</w:t>
            </w:r>
          </w:p>
        </w:tc>
        <w:tc>
          <w:tcPr>
            <w:tcW w:w="0" w:type="dxa"/>
            <w:vAlign w:val="bottom"/>
          </w:tcPr>
          <w:p>
            <w:pPr>
              <w:spacing w:after="0"/>
              <w:rPr>
                <w:sz w:val="1"/>
                <w:szCs w:val="1"/>
                <w:color w:val="auto"/>
              </w:rPr>
            </w:pPr>
          </w:p>
        </w:tc>
      </w:tr>
      <w:tr>
        <w:trPr>
          <w:trHeight w:val="154"/>
        </w:trPr>
        <w:tc>
          <w:tcPr>
            <w:tcW w:w="2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conversion</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of Series A Preferred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(70,241)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(2,097)</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2,553,361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Measurement period adjustments related to the</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acquisition of SYNQ3</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7,253</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(37,322)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(37,322)</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June 30, 2024</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315,153,605</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32,735,408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886,412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(662,710)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223,941</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11"/>
          </w:tcPr>
          <w:p>
            <w:pPr>
              <w:ind w:left="180"/>
              <w:spacing w:after="0"/>
              <w:rPr>
                <w:sz w:val="20"/>
                <w:szCs w:val="20"/>
                <w:color w:val="auto"/>
              </w:rPr>
            </w:pPr>
            <w:r>
              <w:rPr>
                <w:rFonts w:ascii="Times New Roman" w:cs="Times New Roman" w:eastAsia="Times New Roman" w:hAnsi="Times New Roman"/>
                <w:sz w:val="12"/>
                <w:szCs w:val="12"/>
                <w:b w:val="1"/>
                <w:bCs w:val="1"/>
                <w:color w:val="auto"/>
              </w:rPr>
              <w:t>Three Months Ended June 30, 2023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6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Series A Preferred Stock</w:t>
            </w:r>
          </w:p>
        </w:tc>
        <w:tc>
          <w:tcPr>
            <w:tcW w:w="1660" w:type="dxa"/>
            <w:vAlign w:val="bottom"/>
            <w:gridSpan w:val="9"/>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16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10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820" w:type="dxa"/>
            <w:vAlign w:val="bottom"/>
          </w:tcPr>
          <w:p>
            <w:pPr>
              <w:spacing w:after="0"/>
              <w:rPr>
                <w:sz w:val="8"/>
                <w:szCs w:val="8"/>
                <w:color w:val="auto"/>
              </w:rPr>
            </w:pPr>
          </w:p>
        </w:tc>
        <w:tc>
          <w:tcPr>
            <w:tcW w:w="1620" w:type="dxa"/>
            <w:vAlign w:val="bottom"/>
            <w:gridSpan w:val="5"/>
            <w:vMerge w:val="continue"/>
          </w:tcPr>
          <w:p>
            <w:pPr>
              <w:spacing w:after="0"/>
              <w:rPr>
                <w:sz w:val="8"/>
                <w:szCs w:val="8"/>
                <w:color w:val="auto"/>
              </w:rPr>
            </w:pPr>
          </w:p>
        </w:tc>
        <w:tc>
          <w:tcPr>
            <w:tcW w:w="1660" w:type="dxa"/>
            <w:vAlign w:val="bottom"/>
            <w:gridSpan w:val="9"/>
            <w:vMerge w:val="continue"/>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restart"/>
          </w:tcPr>
          <w:p>
            <w:pPr>
              <w:jc w:val="center"/>
              <w:ind w:right="16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84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6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40" w:type="dxa"/>
            <w:vAlign w:val="bottom"/>
            <w:gridSpan w:val="4"/>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700" w:type="dxa"/>
            <w:vAlign w:val="bottom"/>
            <w:gridSpan w:val="4"/>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60" w:type="dxa"/>
            <w:vAlign w:val="bottom"/>
          </w:tcPr>
          <w:p>
            <w:pPr>
              <w:spacing w:after="0"/>
              <w:rPr>
                <w:sz w:val="15"/>
                <w:szCs w:val="15"/>
                <w:color w:val="auto"/>
              </w:rPr>
            </w:pPr>
          </w:p>
        </w:tc>
        <w:tc>
          <w:tcPr>
            <w:tcW w:w="580" w:type="dxa"/>
            <w:vAlign w:val="bottom"/>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of March 31, 2023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835,011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174,714,741</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39,735,408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507,858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(530,872)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1,950</w:t>
            </w:r>
          </w:p>
        </w:tc>
        <w:tc>
          <w:tcPr>
            <w:tcW w:w="0" w:type="dxa"/>
            <w:vAlign w:val="bottom"/>
          </w:tcPr>
          <w:p>
            <w:pPr>
              <w:spacing w:after="0"/>
              <w:rPr>
                <w:sz w:val="1"/>
                <w:szCs w:val="1"/>
                <w:color w:val="auto"/>
              </w:rPr>
            </w:pPr>
          </w:p>
        </w:tc>
      </w:tr>
      <w:tr>
        <w:trPr>
          <w:trHeight w:val="154"/>
        </w:trPr>
        <w:tc>
          <w:tcPr>
            <w:tcW w:w="2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for equity</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incentive awards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3,620,560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5,752</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under the ELOC</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program</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14,301,448</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44,171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44,173</w:t>
            </w:r>
          </w:p>
        </w:tc>
        <w:tc>
          <w:tcPr>
            <w:tcW w:w="0" w:type="dxa"/>
            <w:vAlign w:val="bottom"/>
          </w:tcPr>
          <w:p>
            <w:pPr>
              <w:spacing w:after="0"/>
              <w:rPr>
                <w:sz w:val="1"/>
                <w:szCs w:val="1"/>
                <w:color w:val="auto"/>
              </w:rPr>
            </w:pPr>
          </w:p>
        </w:tc>
      </w:tr>
      <w:tr>
        <w:trPr>
          <w:trHeight w:val="154"/>
        </w:trPr>
        <w:tc>
          <w:tcPr>
            <w:tcW w:w="2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shares upon conversion</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of Class B common shares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1,700,000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warrants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4,315</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5,698</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(23,307)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(23,307)</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June 30, 2023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835,011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194,336,749</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38,035,408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567,794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(554,179)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38,610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33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70592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9295" cy="825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8"/>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Series A Preferred Stock</w:t>
            </w:r>
          </w:p>
        </w:tc>
        <w:tc>
          <w:tcPr>
            <w:tcW w:w="40" w:type="dxa"/>
            <w:vAlign w:val="bottom"/>
          </w:tcPr>
          <w:p>
            <w:pPr>
              <w:spacing w:after="0"/>
              <w:rPr>
                <w:sz w:val="12"/>
                <w:szCs w:val="12"/>
                <w:color w:val="auto"/>
              </w:rPr>
            </w:pPr>
          </w:p>
        </w:tc>
        <w:tc>
          <w:tcPr>
            <w:tcW w:w="1600" w:type="dxa"/>
            <w:vAlign w:val="bottom"/>
            <w:gridSpan w:val="8"/>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40" w:type="dxa"/>
            <w:vAlign w:val="bottom"/>
          </w:tcPr>
          <w:p>
            <w:pPr>
              <w:spacing w:after="0"/>
              <w:rPr>
                <w:sz w:val="12"/>
                <w:szCs w:val="12"/>
                <w:color w:val="auto"/>
              </w:rPr>
            </w:pPr>
          </w:p>
        </w:tc>
        <w:tc>
          <w:tcPr>
            <w:tcW w:w="1620" w:type="dxa"/>
            <w:vAlign w:val="bottom"/>
            <w:gridSpan w:val="8"/>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8"/>
            <w:vMerge w:val="continue"/>
          </w:tcPr>
          <w:p>
            <w:pPr>
              <w:spacing w:after="0"/>
              <w:rPr>
                <w:sz w:val="9"/>
                <w:szCs w:val="9"/>
                <w:color w:val="auto"/>
              </w:rPr>
            </w:pPr>
          </w:p>
        </w:tc>
        <w:tc>
          <w:tcPr>
            <w:tcW w:w="40" w:type="dxa"/>
            <w:vAlign w:val="bottom"/>
          </w:tcPr>
          <w:p>
            <w:pPr>
              <w:spacing w:after="0"/>
              <w:rPr>
                <w:sz w:val="9"/>
                <w:szCs w:val="9"/>
                <w:color w:val="auto"/>
              </w:rPr>
            </w:pPr>
          </w:p>
        </w:tc>
        <w:tc>
          <w:tcPr>
            <w:tcW w:w="1600" w:type="dxa"/>
            <w:vAlign w:val="bottom"/>
            <w:gridSpan w:val="8"/>
            <w:vMerge w:val="continue"/>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84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6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0" w:type="dxa"/>
            <w:vAlign w:val="bottom"/>
          </w:tcPr>
          <w:p>
            <w:pPr>
              <w:spacing w:after="0"/>
              <w:rPr>
                <w:sz w:val="14"/>
                <w:szCs w:val="14"/>
                <w:color w:val="auto"/>
              </w:rPr>
            </w:pP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0" w:type="dxa"/>
            <w:vAlign w:val="bottom"/>
          </w:tcPr>
          <w:p>
            <w:pPr>
              <w:spacing w:after="0"/>
              <w:rPr>
                <w:sz w:val="14"/>
                <w:szCs w:val="14"/>
                <w:color w:val="auto"/>
              </w:rPr>
            </w:pPr>
          </w:p>
        </w:tc>
        <w:tc>
          <w:tcPr>
            <w:tcW w:w="80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60" w:type="dxa"/>
            <w:vAlign w:val="bottom"/>
          </w:tcPr>
          <w:p>
            <w:pPr>
              <w:spacing w:after="0"/>
              <w:rPr>
                <w:sz w:val="14"/>
                <w:szCs w:val="14"/>
                <w:color w:val="auto"/>
              </w:rPr>
            </w:pPr>
          </w:p>
        </w:tc>
        <w:tc>
          <w:tcPr>
            <w:tcW w:w="580" w:type="dxa"/>
            <w:vAlign w:val="bottom"/>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28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December 31, 2023</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475,005</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14,187</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216,943,349</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37,485,408</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606,135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(592,379)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28,168</w:t>
            </w:r>
          </w:p>
        </w:tc>
        <w:tc>
          <w:tcPr>
            <w:tcW w:w="0" w:type="dxa"/>
            <w:vAlign w:val="bottom"/>
          </w:tcPr>
          <w:p>
            <w:pPr>
              <w:spacing w:after="0"/>
              <w:rPr>
                <w:sz w:val="1"/>
                <w:szCs w:val="1"/>
                <w:color w:val="auto"/>
              </w:rPr>
            </w:pPr>
          </w:p>
        </w:tc>
      </w:tr>
      <w:tr>
        <w:trPr>
          <w:trHeight w:val="154"/>
        </w:trPr>
        <w:tc>
          <w:tcPr>
            <w:tcW w:w="2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under the Sales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Agreement and Equity Distribution Agreement</w:t>
            </w:r>
          </w:p>
        </w:tc>
        <w:tc>
          <w:tcPr>
            <w:tcW w:w="60" w:type="dxa"/>
            <w:vAlign w:val="bottom"/>
          </w:tcPr>
          <w:p>
            <w:pPr>
              <w:spacing w:after="0"/>
              <w:rPr>
                <w:sz w:val="13"/>
                <w:szCs w:val="13"/>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59,135,836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231,545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231,551</w:t>
            </w: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acquisition</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of SYNQ3</w:t>
            </w: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5,755,910</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9,686</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9,687</w:t>
            </w:r>
          </w:p>
        </w:tc>
        <w:tc>
          <w:tcPr>
            <w:tcW w:w="0" w:type="dxa"/>
            <w:vAlign w:val="bottom"/>
          </w:tcPr>
          <w:p>
            <w:pPr>
              <w:spacing w:after="0"/>
              <w:rPr>
                <w:sz w:val="1"/>
                <w:szCs w:val="1"/>
                <w:color w:val="auto"/>
              </w:rPr>
            </w:pPr>
          </w:p>
        </w:tc>
      </w:tr>
      <w:tr>
        <w:trPr>
          <w:trHeight w:val="154"/>
        </w:trPr>
        <w:tc>
          <w:tcPr>
            <w:tcW w:w="2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restricted shares of Class A common</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stock, subject to repurchase in connection with</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acquisition of SYNQ3</w:t>
            </w:r>
          </w:p>
        </w:tc>
        <w:tc>
          <w:tcPr>
            <w:tcW w:w="6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2,033,156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for equity</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incentive awards</w:t>
            </w: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7,641,157</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10,628</w:t>
            </w:r>
          </w:p>
        </w:tc>
        <w:tc>
          <w:tcPr>
            <w:tcW w:w="0" w:type="dxa"/>
            <w:vAlign w:val="bottom"/>
          </w:tcPr>
          <w:p>
            <w:pPr>
              <w:spacing w:after="0"/>
              <w:rPr>
                <w:sz w:val="1"/>
                <w:szCs w:val="1"/>
                <w:color w:val="auto"/>
              </w:rPr>
            </w:pPr>
          </w:p>
        </w:tc>
      </w:tr>
      <w:tr>
        <w:trPr>
          <w:trHeight w:val="154"/>
        </w:trPr>
        <w:tc>
          <w:tcPr>
            <w:tcW w:w="2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conversion</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of Class B common shares</w:t>
            </w:r>
          </w:p>
        </w:tc>
        <w:tc>
          <w:tcPr>
            <w:tcW w:w="6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4,750,000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(4,750,000)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conversion</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of Series A Preferred Stock</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(475,005)</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(14,187)</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16,624,215</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14,186</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in connection</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with the cashless exercise of warrants</w:t>
            </w:r>
          </w:p>
        </w:tc>
        <w:tc>
          <w:tcPr>
            <w:tcW w:w="6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2,269,982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14,232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14,232</w:t>
            </w:r>
          </w:p>
        </w:tc>
        <w:tc>
          <w:tcPr>
            <w:tcW w:w="0" w:type="dxa"/>
            <w:vAlign w:val="bottom"/>
          </w:tcPr>
          <w:p>
            <w:pPr>
              <w:spacing w:after="0"/>
              <w:rPr>
                <w:sz w:val="1"/>
                <w:szCs w:val="1"/>
                <w:color w:val="auto"/>
              </w:rPr>
            </w:pPr>
          </w:p>
        </w:tc>
      </w:t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6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(70,331)</w:t>
            </w: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62"/>
        </w:trPr>
        <w:tc>
          <w:tcPr>
            <w:tcW w:w="28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June 30, 2024</w:t>
            </w:r>
          </w:p>
        </w:tc>
        <w:tc>
          <w:tcPr>
            <w:tcW w:w="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tcPr>
          <w:p>
            <w:pPr>
              <w:spacing w:after="0"/>
              <w:rPr>
                <w:sz w:val="14"/>
                <w:szCs w:val="14"/>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315,153,605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32,735,408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886,412</w:t>
            </w:r>
          </w:p>
        </w:tc>
        <w:tc>
          <w:tcPr>
            <w:tcW w:w="80" w:type="dxa"/>
            <w:vAlign w:val="bottom"/>
          </w:tcPr>
          <w:p>
            <w:pPr>
              <w:spacing w:after="0"/>
              <w:rPr>
                <w:sz w:val="14"/>
                <w:szCs w:val="14"/>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(662,710)</w:t>
            </w:r>
          </w:p>
        </w:tc>
        <w:tc>
          <w:tcPr>
            <w:tcW w:w="80" w:type="dxa"/>
            <w:vAlign w:val="bottom"/>
          </w:tcPr>
          <w:p>
            <w:pPr>
              <w:spacing w:after="0"/>
              <w:rPr>
                <w:sz w:val="14"/>
                <w:szCs w:val="14"/>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223,941</w:t>
            </w: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gridSpan w:val="12"/>
          </w:tcPr>
          <w:p>
            <w:pPr>
              <w:ind w:left="220"/>
              <w:spacing w:after="0"/>
              <w:rPr>
                <w:sz w:val="20"/>
                <w:szCs w:val="20"/>
                <w:color w:val="auto"/>
              </w:rPr>
            </w:pPr>
            <w:r>
              <w:rPr>
                <w:rFonts w:ascii="Times New Roman" w:cs="Times New Roman" w:eastAsia="Times New Roman" w:hAnsi="Times New Roman"/>
                <w:sz w:val="12"/>
                <w:szCs w:val="12"/>
                <w:b w:val="1"/>
                <w:bCs w:val="1"/>
                <w:color w:val="auto"/>
              </w:rPr>
              <w:t>Six Months Ended June 30, 2023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8"/>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Series A Preferred Stock</w:t>
            </w:r>
          </w:p>
        </w:tc>
        <w:tc>
          <w:tcPr>
            <w:tcW w:w="40" w:type="dxa"/>
            <w:vAlign w:val="bottom"/>
          </w:tcPr>
          <w:p>
            <w:pPr>
              <w:spacing w:after="0"/>
              <w:rPr>
                <w:sz w:val="12"/>
                <w:szCs w:val="12"/>
                <w:color w:val="auto"/>
              </w:rPr>
            </w:pPr>
          </w:p>
        </w:tc>
        <w:tc>
          <w:tcPr>
            <w:tcW w:w="1600" w:type="dxa"/>
            <w:vAlign w:val="bottom"/>
            <w:gridSpan w:val="8"/>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40" w:type="dxa"/>
            <w:vAlign w:val="bottom"/>
          </w:tcPr>
          <w:p>
            <w:pPr>
              <w:spacing w:after="0"/>
              <w:rPr>
                <w:sz w:val="12"/>
                <w:szCs w:val="12"/>
                <w:color w:val="auto"/>
              </w:rPr>
            </w:pPr>
          </w:p>
        </w:tc>
        <w:tc>
          <w:tcPr>
            <w:tcW w:w="1620" w:type="dxa"/>
            <w:vAlign w:val="bottom"/>
            <w:gridSpan w:val="8"/>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8"/>
            <w:vMerge w:val="continue"/>
          </w:tcPr>
          <w:p>
            <w:pPr>
              <w:spacing w:after="0"/>
              <w:rPr>
                <w:sz w:val="9"/>
                <w:szCs w:val="9"/>
                <w:color w:val="auto"/>
              </w:rPr>
            </w:pPr>
          </w:p>
        </w:tc>
        <w:tc>
          <w:tcPr>
            <w:tcW w:w="40" w:type="dxa"/>
            <w:vAlign w:val="bottom"/>
          </w:tcPr>
          <w:p>
            <w:pPr>
              <w:spacing w:after="0"/>
              <w:rPr>
                <w:sz w:val="9"/>
                <w:szCs w:val="9"/>
                <w:color w:val="auto"/>
              </w:rPr>
            </w:pPr>
          </w:p>
        </w:tc>
        <w:tc>
          <w:tcPr>
            <w:tcW w:w="1600" w:type="dxa"/>
            <w:vAlign w:val="bottom"/>
            <w:gridSpan w:val="8"/>
            <w:vMerge w:val="continue"/>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ind w:left="12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84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6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0" w:type="dxa"/>
            <w:vAlign w:val="bottom"/>
          </w:tcPr>
          <w:p>
            <w:pPr>
              <w:spacing w:after="0"/>
              <w:rPr>
                <w:sz w:val="14"/>
                <w:szCs w:val="14"/>
                <w:color w:val="auto"/>
              </w:rPr>
            </w:pPr>
          </w:p>
        </w:tc>
        <w:tc>
          <w:tcPr>
            <w:tcW w:w="78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0" w:type="dxa"/>
            <w:vAlign w:val="bottom"/>
          </w:tcPr>
          <w:p>
            <w:pPr>
              <w:spacing w:after="0"/>
              <w:rPr>
                <w:sz w:val="14"/>
                <w:szCs w:val="14"/>
                <w:color w:val="auto"/>
              </w:rPr>
            </w:pP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60" w:type="dxa"/>
            <w:vAlign w:val="bottom"/>
          </w:tcPr>
          <w:p>
            <w:pPr>
              <w:spacing w:after="0"/>
              <w:rPr>
                <w:sz w:val="14"/>
                <w:szCs w:val="14"/>
                <w:color w:val="auto"/>
              </w:rPr>
            </w:pPr>
          </w:p>
        </w:tc>
        <w:tc>
          <w:tcPr>
            <w:tcW w:w="580" w:type="dxa"/>
            <w:vAlign w:val="bottom"/>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28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of December 31, 2022</w:t>
            </w: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160,297,664</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39,735,408</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466,857</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(503,442)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(36,565)</w:t>
            </w:r>
          </w:p>
        </w:tc>
        <w:tc>
          <w:tcPr>
            <w:tcW w:w="0" w:type="dxa"/>
            <w:vAlign w:val="bottom"/>
          </w:tcPr>
          <w:p>
            <w:pPr>
              <w:spacing w:after="0"/>
              <w:rPr>
                <w:sz w:val="1"/>
                <w:szCs w:val="1"/>
                <w:color w:val="auto"/>
              </w:rPr>
            </w:pPr>
          </w:p>
        </w:tc>
      </w:tr>
      <w:tr>
        <w:trPr>
          <w:trHeight w:val="154"/>
        </w:trPr>
        <w:tc>
          <w:tcPr>
            <w:tcW w:w="2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for equity</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incentive awards</w:t>
            </w:r>
          </w:p>
        </w:tc>
        <w:tc>
          <w:tcPr>
            <w:tcW w:w="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7,089,085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8,177</w:t>
            </w: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under the ELOC</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program</w:t>
            </w: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25,250,000</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74,498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74,502</w:t>
            </w:r>
          </w:p>
        </w:tc>
        <w:tc>
          <w:tcPr>
            <w:tcW w:w="0" w:type="dxa"/>
            <w:vAlign w:val="bottom"/>
          </w:tcPr>
          <w:p>
            <w:pPr>
              <w:spacing w:after="0"/>
              <w:rPr>
                <w:sz w:val="1"/>
                <w:szCs w:val="1"/>
                <w:color w:val="auto"/>
              </w:rPr>
            </w:pPr>
          </w:p>
        </w:tc>
      </w:t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Series A Preferred Stock</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835,011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shares upon conversion</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of Class B common shares</w:t>
            </w: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1,700,000</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(1,700,000)</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warrants</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4,315</w:t>
            </w: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13,947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13,947</w:t>
            </w:r>
          </w:p>
        </w:tc>
        <w:tc>
          <w:tcPr>
            <w:tcW w:w="0" w:type="dxa"/>
            <w:vAlign w:val="bottom"/>
          </w:tcPr>
          <w:p>
            <w:pPr>
              <w:spacing w:after="0"/>
              <w:rPr>
                <w:sz w:val="1"/>
                <w:szCs w:val="1"/>
                <w:color w:val="auto"/>
              </w:rPr>
            </w:pPr>
          </w:p>
        </w:tc>
      </w:t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(50,737)</w:t>
            </w:r>
          </w:p>
        </w:tc>
        <w:tc>
          <w:tcPr>
            <w:tcW w:w="0" w:type="dxa"/>
            <w:vAlign w:val="bottom"/>
          </w:tcPr>
          <w:p>
            <w:pPr>
              <w:spacing w:after="0"/>
              <w:rPr>
                <w:sz w:val="1"/>
                <w:szCs w:val="1"/>
                <w:color w:val="auto"/>
              </w:rPr>
            </w:pPr>
          </w:p>
        </w:tc>
      </w:tr>
      <w:tr>
        <w:trPr>
          <w:trHeight w:val="30"/>
        </w:trPr>
        <w:tc>
          <w:tcPr>
            <w:tcW w:w="28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90"/>
        </w:trPr>
        <w:tc>
          <w:tcPr>
            <w:tcW w:w="28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June 30, 2023</w:t>
            </w:r>
          </w:p>
        </w:tc>
        <w:tc>
          <w:tcPr>
            <w:tcW w:w="60" w:type="dxa"/>
            <w:vAlign w:val="bottom"/>
          </w:tcPr>
          <w:p>
            <w:pPr>
              <w:spacing w:after="0"/>
              <w:rPr>
                <w:sz w:val="16"/>
                <w:szCs w:val="16"/>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835,011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194,336,749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38,035,408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567,794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(554,179)</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38,610</w:t>
            </w:r>
          </w:p>
        </w:tc>
        <w:tc>
          <w:tcPr>
            <w:tcW w:w="0" w:type="dxa"/>
            <w:vAlign w:val="bottom"/>
          </w:tcPr>
          <w:p>
            <w:pPr>
              <w:spacing w:after="0"/>
              <w:rPr>
                <w:sz w:val="1"/>
                <w:szCs w:val="1"/>
                <w:color w:val="auto"/>
              </w:rPr>
            </w:pPr>
          </w:p>
        </w:tc>
      </w:tr>
      <w:tr>
        <w:trPr>
          <w:trHeight w:val="22"/>
        </w:trPr>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331"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flows used in operating activities:</w:t>
            </w: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818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(70,331)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(50,737)</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13,947</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change in fair value of ELOC program</w:t>
            </w:r>
          </w:p>
        </w:tc>
        <w:tc>
          <w:tcPr>
            <w:tcW w:w="9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lease amortization</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gain/loss from remeasurement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contingent acquisition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current assets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Contract assets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non-current assets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5,295</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(34,201)</w:t>
            </w:r>
          </w:p>
        </w:tc>
        <w:tc>
          <w:tcPr>
            <w:tcW w:w="0" w:type="dxa"/>
            <w:vAlign w:val="bottom"/>
          </w:tcPr>
          <w:p>
            <w:pPr>
              <w:spacing w:after="0"/>
              <w:rPr>
                <w:sz w:val="1"/>
                <w:szCs w:val="1"/>
                <w:color w:val="auto"/>
              </w:rPr>
            </w:pPr>
          </w:p>
        </w:tc>
      </w:tr>
      <w:tr>
        <w:trPr>
          <w:trHeight w:val="179"/>
        </w:trPr>
        <w:tc>
          <w:tcPr>
            <w:tcW w:w="81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38"/>
        </w:trPr>
        <w:tc>
          <w:tcPr>
            <w:tcW w:w="8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Payment related to acquisitions, net of cash acquired</w:t>
            </w: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8180" w:type="dxa"/>
            <w:vAlign w:val="bottom"/>
            <w:vMerge w:val="continue"/>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(4,788)</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provided by financing activities: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the issuance of Series A Preferred Stock, net of issuance costs</w:t>
            </w:r>
          </w:p>
        </w:tc>
        <w:tc>
          <w:tcPr>
            <w:tcW w:w="9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24,942</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sales of Class A common stock under the ELOC program, net of issuance costs</w:t>
            </w:r>
          </w:p>
        </w:tc>
        <w:tc>
          <w:tcPr>
            <w:tcW w:w="9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71,455</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sales of Class A common stock under the Sales Agreement and Equity Distribution Agreement</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237,639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exercise of stock options and employee stock purchase plan</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8,177</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financing costs associated with the Sales Agreement and Equity Distribution Agreement</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the issuance of long-term debt, net of issuance costs</w:t>
            </w:r>
          </w:p>
        </w:tc>
        <w:tc>
          <w:tcPr>
            <w:tcW w:w="9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85,087</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on notes payable</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(105,540)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(35,029)</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154,558</w:t>
            </w:r>
          </w:p>
        </w:tc>
        <w:tc>
          <w:tcPr>
            <w:tcW w:w="0" w:type="dxa"/>
            <w:vAlign w:val="bottom"/>
          </w:tcPr>
          <w:p>
            <w:pPr>
              <w:spacing w:after="0"/>
              <w:rPr>
                <w:sz w:val="1"/>
                <w:szCs w:val="1"/>
                <w:color w:val="auto"/>
              </w:rPr>
            </w:pPr>
          </w:p>
        </w:tc>
      </w:tr>
      <w:tr>
        <w:trPr>
          <w:trHeight w:val="181"/>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Effects of exchange rate changes on cash</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 equivalents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91,932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120,064</w:t>
            </w: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beginning of period</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end of period</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129,539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to amounts on the condensed consolidated balance sheets:</w:t>
            </w: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200,156</w:t>
            </w:r>
          </w:p>
        </w:tc>
        <w:tc>
          <w:tcPr>
            <w:tcW w:w="100" w:type="dxa"/>
            <w:vAlign w:val="bottom"/>
          </w:tcPr>
          <w:p>
            <w:pPr>
              <w:spacing w:after="0"/>
              <w:rPr>
                <w:sz w:val="19"/>
                <w:szCs w:val="19"/>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115,764</w:t>
            </w: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Non-current portion of restricted cash equivalents</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13,775</w:t>
            </w:r>
          </w:p>
        </w:tc>
        <w:tc>
          <w:tcPr>
            <w:tcW w:w="0" w:type="dxa"/>
            <w:vAlign w:val="bottom"/>
          </w:tcPr>
          <w:p>
            <w:pPr>
              <w:spacing w:after="0"/>
              <w:rPr>
                <w:sz w:val="1"/>
                <w:szCs w:val="1"/>
                <w:color w:val="auto"/>
              </w:rPr>
            </w:pPr>
          </w:p>
        </w:tc>
      </w:tr>
      <w:tr>
        <w:trPr>
          <w:trHeight w:val="178"/>
        </w:trPr>
        <w:tc>
          <w:tcPr>
            <w:tcW w:w="8180" w:type="dxa"/>
            <w:vAlign w:val="bottom"/>
          </w:tcPr>
          <w:p>
            <w:pPr>
              <w:ind w:left="500"/>
              <w:spacing w:after="0" w:line="178" w:lineRule="exact"/>
              <w:rPr>
                <w:sz w:val="20"/>
                <w:szCs w:val="20"/>
                <w:color w:val="auto"/>
              </w:rPr>
            </w:pPr>
            <w:r>
              <w:rPr>
                <w:rFonts w:ascii="Times New Roman" w:cs="Times New Roman" w:eastAsia="Times New Roman" w:hAnsi="Times New Roman"/>
                <w:sz w:val="16"/>
                <w:szCs w:val="16"/>
                <w:color w:val="auto"/>
              </w:rPr>
              <w:t>Total cash, cash equivalents, and restricted cash equivalents shown in the condensed consolidated statements of cash</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1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flows</w:t>
            </w:r>
          </w:p>
        </w:tc>
        <w:tc>
          <w:tcPr>
            <w:tcW w:w="50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200,967</w:t>
            </w:r>
          </w:p>
        </w:tc>
        <w:tc>
          <w:tcPr>
            <w:tcW w:w="100" w:type="dxa"/>
            <w:vAlign w:val="bottom"/>
          </w:tcPr>
          <w:p>
            <w:pPr>
              <w:spacing w:after="0"/>
              <w:rPr>
                <w:sz w:val="18"/>
                <w:szCs w:val="18"/>
                <w:color w:val="auto"/>
              </w:rPr>
            </w:pPr>
          </w:p>
        </w:tc>
        <w:tc>
          <w:tcPr>
            <w:tcW w:w="50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129,539</w:t>
            </w:r>
          </w:p>
        </w:tc>
        <w:tc>
          <w:tcPr>
            <w:tcW w:w="0" w:type="dxa"/>
            <w:vAlign w:val="bottom"/>
          </w:tcPr>
          <w:p>
            <w:pPr>
              <w:spacing w:after="0"/>
              <w:rPr>
                <w:sz w:val="1"/>
                <w:szCs w:val="1"/>
                <w:color w:val="auto"/>
              </w:rPr>
            </w:pPr>
          </w:p>
        </w:tc>
      </w:tr>
      <w:tr>
        <w:trPr>
          <w:trHeight w:val="69"/>
        </w:trPr>
        <w:tc>
          <w:tcPr>
            <w:tcW w:w="818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paid for interest</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Conversion of Series A Preferred Stock to Class A common stock</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Class A Common Stock to settle commitment shares related to the ELOC program</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offering costs reclassified to additional paid-in capital</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Unpaid financing costs in connection with the Equity Distribution Agreement</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Non-cash debt discount</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and equipment acquired under accrued liabilities</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Class A common stock and deferred equity consideration issued for SYNQ3 acquisition</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contingent earnout consideration under SYNQ3 acquisition</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contingent holdback consideration under SYNQ3 acquisition</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deferred cash consideration under other acquisition</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The Company has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SoundHound also provides edge, cloud and hybrid (Edge+Cloud) connectivity solutions that allow brands to optimize their voice-enabled products and devices with options ranging from fully-embedded to exclusively cloud-connected.</w:t>
      </w:r>
    </w:p>
    <w:p>
      <w:pPr>
        <w:spacing w:after="0" w:line="1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January 3, 2024, the Company completed the acquisition of Synq3, Inc. ("SYNQ3") in a cash and stock transaction. On June 14, 2024, the Company completed an immaterial acquisition in a cash transaction. Refer to Note 3 for additional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and reported a net loss of $37.3 million and $70.3 million, respectively, for the three and six months ended June 30, 2024. As of June 30, 2024, the Company had an accumulated deficit of $662.7 million. Management expects to continue to incur additional substantial losses in the foreseeable future. The Company has historically funded its operations primarily through equity or debt financings.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Total unrestricted cash and cash equivalents on hand as of June 30, 2024 was $200.2 million. Although the Company has incurred recurring losses each year since its inception, the Company expects it will be able to fund its operations for at least the next twelve months from the date these condensed consolidated financial statements are issued. The Company may seek funding through additional debt or equity financing arrangements to continue financing its operations. Refer to Note 19 for information regarding the Company's equity financing activity subsequent to June 30, 2024. The Company's condensed consolidated financial statements have been prepared assuming the Company will continue as a going concern, which contemplates, among other things, the realization of assets and satisfaction of liabilities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14"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The (a) condensed consolidated balance sheet as of December 31, 2023, which has been derived from audited financial statements as filed in the Company’s Form 10-K, which was originally filed with the Securities and Exchange Commission ("SEC") on March 1, 2024 and (b) the unaudited interim condensed consolidated financial statements have been prepared in accordance with U.S. generally accepted accounting principles (“U.S. GAAP”) and applicable rules and regulations of the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statement of its financial position as of June 30, 2024, and its results of operations for the three and six months ended June 30, 2024, and 2023, and cash flows for the six months ended June 30, 2024 and 2023 have been included. The results of operations for the three and six months ended June 30, 2024 are not necessarily indicative of the results for the fiscal year ending December 31, 2024 or any future interim period.</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Accounting Policies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the exception of the significant accounting policies related to the SYNQ3 Acquisition and other acquisition (each as defined in Note 3) which are disclosed below, there have been no material changes to our significant accounting policies disclosed in Note 2 - Basis of Presentation and Summary of Significant Accounting Policies of the Notes to the Consolidated Financial Statements included in our Annual Report on Form 10-K for the fiscal year ended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Certain accounts in the prior year condensed consolidated financial statements were reclassified to conform with the current year presentation. The reclassification had an immaterial impact on our consolidated balance sheet and statements of operations and comprehensive loss in the prior year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credit losses, accrued liabilities, derivative and warrant liabilities, calculation of the incremental borrowing rate, financial instruments recorded at fair value on a recurring basis, the accounting for business combinations and allocating purchase price, valuation and estimating the useful life of identifiable intangible assets, probability of achievement of revenue estimates related to contingent earnout consideration and performance-based equity awards, valuation of deferred tax assets and uncertain tax positions and the fair value of common stock and other assumptions used to measure stock-based compensation expense. In connection with the measurement period for the acquisition of SYNQ3, management revised certain significant estimates during the three months ended June 30, 2024, which include, but are not limited to, the recognition and measurement of assumed contingent liabilities and deferred and contingent holdback consideration.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discrete financial information on a consolidated basis for purposes of allocating resources and evaluating financial performance. Accordingly, the Company has determined that it operates as a single reportable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the balances of which frequently exceed federally insured limits. The Company regularly monitors its credit risk exposure and takes steps to mitigate the likelihood of these exposures resulting in actual loss.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June 30, 2024, accounts receivable balances due from Customer A and C accounted for 27% and 17% of the Company’s accounts receivable balance, respectively. As of December 31, 2023, accounts receivable balances due from Customer A, C, and D accounted for 40%, 32% and 15% of the Company’s accounts receivable balance, respectively.</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June 30, 2024, unbilled receivables from Customer A, C and F accounted for 28%, 45% and 19% of the Company’s unbilled receivables balance, respectively. As of December 31, 2023, unbilled receivables from Customer A, B and C accounted for 59%, 16% and 11% of the Company’s unbilled receivables balance, respectively.</w:t>
      </w:r>
    </w:p>
    <w:p>
      <w:pPr>
        <w:spacing w:after="0" w:line="17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For the three months ended June 30, 2024, Customer A and C accounted for 27% and 35% of the revenue, respectively. For the six months ended June 30, 2024, Customer A and C accounted for 27% and 29% of the revenue, respectively.</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June 30, 2023, Customer A, B and E accounted for 21%, 44% and 10% of revenue, respectively. For the six months ended June 30, 2023, Customer A, B, C and E accounted for 23%, 36%, 10% and 12% of revenue,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 and Contingent Consideration</w:t>
      </w:r>
    </w:p>
    <w:p>
      <w:pPr>
        <w:spacing w:after="0" w:line="23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Company allocates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Management’s estimates of fair value are based upon assumptions believed to be reasonable, but the estimates and assumptions are inherently uncertain and subject to refinement. The estimates and assumptions used in valuing intangible assets include, but are not limited to, the amount and timing of projected future cash flows, discount rate used to determine the present value of these cash flows and asset lives. These estimates are inherently uncertain and, therefore, actual results may differ from the estimates made. As a result, during the measurement period of up to one year from the acquisition date, the Company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condensed consolidated statements of operations. Acquisition-related expenses are recognized separately from the business combination and expensed as incurred.</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business combinations include contingent consideration arrangements, which are generally based on achievement of future financial performance or future events. If it is determined the contingent consideration arrangement is not compensatory, the Company estimates fair value of contingent consideration payments as part of the initial purchase price and records the estimated fair value of contingent consideration as a liability in the condensed consolidated balance sheet. The Company reviews and assesses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condensed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 Company's policy is to review goodwill for impairment annually on October 1st unless a triggering event requires an analysis sooner. There was no goodwill impairment for the three and six months ended June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Intangible Assets with Definite Lives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intangible assets consist principally of developed technology, customer relationships, tradename, and conversation data. The Company assesses the appropriate method of amortization of the intangible assets that reflects the pattern in which the economic benefits of the intangible assets are consumed. The Company 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 Not Yet Adopted</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disclosures about a public business entity's reportable segments and provides for more detailed information about a reportable segment's expenses. This guidance is effective for fiscal years beginning after December 15, 2023, and interim periods within fiscal years beginning after December 15, 2024, and requires retrospective application to all prior periods presented in the financial statements. Early adoption is permitted. Preliminarily, the Company will have increased disclosure requirements for its single reportable segment related to its significant segment expenses as well as additional information on its Chief Operating Decision Maker (“CODM”) and its use of reported measures. The Company will continue to evaluate this ASU to determine its impact on disclosures.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No. 2023-09, which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that the updated standard will have on the financial statement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SYNQ3 Acquisition</w:t>
      </w:r>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January 3, 2024 (the "Closing Date"), the Company acquired all of the issued and outstanding equity of SYNQ3, a provider of voice AI and other technology solutions to the restaurant industry, for total preliminary purchase consideration of $15.7 million (the “SYNQ3 Acquisition”). The Company’s acquisition of SYNQ3 is expected to expand its AI customer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service solutions and create a Voice AI provider for restaurants. The acquisition is expected to significantly extend the Company's market reach and accelerate the deployment of generative AI capabilities to the industry.</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total preliminary purchase consideration includes $3.9 million in cash paid and 5,755,910 in shares of the Company’s Class A Common Stock issued as of the Closing Date. The Company has also withheld purchase consideration of $0.5 million in cash and 1,179,514 shares of the Company’s Class A Common Stock, subject to customary net working capital adjustments, to partially secure the indemnification obligations of SYNQ3's former stockholders under the merger agreement and agreed to pay up to $0.8 million in cash and 1,434,936 in shares of the Company’s Class A Common Stock to certain former stockholders of SYNQ3 based upon the achievement of specified future milestones. At the Closing Date, the Company also issued 2,033,156 restricted shares of the Company’s Class A Common Stock subject to time and performance-based vesting conditions.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Holdback</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$0.5 million in cash and 1,179,514 shares of the Company's Class A Common Stock is being withheld for a period of 15 months (the "Holdback Amount"). The Company determined that there are two components to the Holdback Amount related to deferred consideration and contingent consideration, each comprised of cash and shares.</w:t>
      </w:r>
    </w:p>
    <w:p>
      <w:pPr>
        <w:spacing w:after="0" w:line="17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deferred cash holdback consideration of $0.1 million and the deferred share holdback consideration of 361,145 shares of the Company's Class A Common Stock (collectively the "Deferred Consideration") were not recognized as of the Closing Date as such amounts were offset by the indemnification obligations of SYNQ3's former stockholders.</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contingent cash and share holdback consideration to be issued is variable ("Contingent Holdback Consideration"). Final amounts to be issued will be reduced based upon future actions and settlements with third parties to resolve assumed contingent sales tax liabilities and certain other assumed contingent liabilities of SYNQ3 in connection with the SYNQ3 Acquisition. The Company accounted for the Contingent Holdback Consideration as a liability on the condensed consolidated balance sheet. As of the Closing Date, the Contingent Holdback Consideration was estimated to be $0.4 million in aggregate and to be settled in $0.1 million cash and the remainder in shares of the Company’s Class A Common Stock. The Contingent Holdback Consideration will be subsequently remeasured at each reporting date with changes in fair value recognized as a component of operating expense on the Company’s condensed consolidated statement of operations and comprehensive loss. See Note 17 to our unaudited condensed consolidated financial statements included within this report for more information on the fair value measurement of shares associated with the holdback.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w:t>
      </w:r>
    </w:p>
    <w:p>
      <w:pPr>
        <w:spacing w:after="0" w:line="23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also agreed to pay in aggregate up to $0.8 million in cash and 1,434,936 in shares of Class A Common Stock, to certain stockholders of SYNQ3 based on tiered annual revenue targets for each fiscal year 2024, 2025 and 2026 (the “Contingent Earnout Consideration”). The Company accounted for the Contingent Earnout Consideration as a liability within contingent acquisition liabilities on the Company's condensed consolidated balance sheet and will subsequently remeasure the liability at each reporting date with changes in fair value recognized as a component of operating expense in the Company’s condensed consolidated statement of operations and comprehensive loss. As of the Closing Date, the Contingent Earnout Consideration was estimated to be $1.7 million in aggregate and to be settled in $0.2 million cash and the remainder in shares of the Company’s Class A Common Stock. See Note 17 to our unaudited condensed consolidated financial statements included within this report for more information on the fair value measurement of Contingent Earnout Consideration.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2,033,156 restricted shares of the Company's Class A Common Stock issued at the Closing Date to certain continuing employees of SYNQ3 subject to time and performance-based vesting conditions was determined to be a separate transaction from the SYNQ3 Acquisition and therefore is excluded from purchase consideration. See Note 13 to our unaudited condensed consolidated financial statements included within this report for more information on stock-based awards issued in connection with the SYNQ3 Acquisition.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purchase price allocation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preliminary purchase price allocation was performed as of January 3, 2024 and allocated to the assets acquired and liabilities assumed based on their respective fair values,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Preliminary:</w:t>
            </w:r>
          </w:p>
        </w:tc>
      </w:tr>
      <w:tr>
        <w:trPr>
          <w:trHeight w:val="233"/>
        </w:trPr>
        <w:tc>
          <w:tcPr>
            <w:tcW w:w="8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Jan, 3, 2024</w:t>
            </w:r>
          </w:p>
        </w:tc>
      </w:tr>
      <w:tr>
        <w:trPr>
          <w:trHeight w:val="25"/>
        </w:trPr>
        <w:tc>
          <w:tcPr>
            <w:tcW w:w="8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3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consideration</w:t>
            </w: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r>
      <w:tr>
        <w:trPr>
          <w:trHeight w:val="26"/>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3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6"/>
        </w:trPr>
        <w:tc>
          <w:tcPr>
            <w:tcW w:w="8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8"/>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price</w:t>
            </w:r>
          </w:p>
        </w:tc>
        <w:tc>
          <w:tcPr>
            <w:tcW w:w="3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w:t>
            </w:r>
          </w:p>
        </w:tc>
      </w:tr>
      <w:tr>
        <w:trPr>
          <w:trHeight w:val="265"/>
        </w:trPr>
        <w:tc>
          <w:tcPr>
            <w:tcW w:w="8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45"/>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0"/>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5"/>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0"/>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6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33"/>
        </w:trPr>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3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14,498</w:t>
            </w:r>
          </w:p>
        </w:tc>
      </w:tr>
      <w:tr>
        <w:trPr>
          <w:trHeight w:val="25"/>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65"/>
        </w:trPr>
        <w:tc>
          <w:tcPr>
            <w:tcW w:w="8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4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5"/>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40"/>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r>
      <w:tr>
        <w:trPr>
          <w:trHeight w:val="25"/>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40"/>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liability</w:t>
            </w: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
        </w:trPr>
        <w:tc>
          <w:tcPr>
            <w:tcW w:w="8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8"/>
        </w:trPr>
        <w:tc>
          <w:tcPr>
            <w:tcW w:w="8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r>
      <w:tr>
        <w:trPr>
          <w:trHeight w:val="245"/>
        </w:trPr>
        <w:tc>
          <w:tcPr>
            <w:tcW w:w="89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r>
      <w:tr>
        <w:trPr>
          <w:trHeight w:val="265"/>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r>
      <w:tr>
        <w:trPr>
          <w:trHeight w:val="258"/>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on acquisition</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0"/>
        </w:trPr>
        <w:tc>
          <w:tcPr>
            <w:tcW w:w="8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the goodwill is not deductible for tax purposes.</w:t>
      </w:r>
    </w:p>
    <w:p>
      <w:pPr>
        <w:spacing w:after="0" w:line="194"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During the three months ended June 30, 2024, the Company recorded measurement period adjustments to decrease the deferred revenue by $0.1 million as the revenue recognition criteria has been met at the acquisition date, to increase the accrued liabilities by $1.9 million resulting from a pre-acquisition legal contingency, and to decrease the deferred tax liability assumed by $0.2 million. Refer to Note 7 to these condensed consolidated financial statements for more information on the loss contingencies. These measurement period adjustments resulted in a decrease of $0.1 million in deferred cash consideration, $0.6 million in deferred equity consideration, and $0.6 million in contingent holdback consideration in accordance with the merger agreement. As a result of the adjusted acquisition-date fair value of assets acquired and liabilities assumed, the Company recorded an increase of $0.3 million to the goodwill recognized. The measurement period adjustments were recorded in the consolidated financial statements as of and for the three months ended June 30, 2024 and were made to reflect facts and circumstances that existed as of the acquisition date.</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June 30, 2024 primarily due to the final assessment of the fair values of the intangible assets, contingent sales tax liability assumed, and fair value of the contingent acquisition liabilities. The fair value estimates of assets acquired and liabilities assumed is pending the completion of various items,</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acquisition date.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The following table summarizes the preliminary fair values of the identifiable intangible assets acquired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2323"/>
        </w:rPr>
        <w: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life</w:t>
            </w:r>
          </w:p>
        </w:tc>
        <w:tc>
          <w:tcPr>
            <w:tcW w:w="220" w:type="dxa"/>
            <w:vAlign w:val="bottom"/>
          </w:tcPr>
          <w:p>
            <w:pPr>
              <w:spacing w:after="0"/>
              <w:rPr>
                <w:sz w:val="20"/>
                <w:szCs w:val="20"/>
                <w:color w:val="auto"/>
              </w:rPr>
            </w:pPr>
          </w:p>
        </w:tc>
        <w:tc>
          <w:tcPr>
            <w:tcW w:w="21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Preliminary fair value</w:t>
            </w:r>
          </w:p>
        </w:tc>
      </w:tr>
      <w:tr>
        <w:trPr>
          <w:trHeight w:val="26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20" w:type="dxa"/>
            <w:vAlign w:val="bottom"/>
          </w:tcPr>
          <w:p>
            <w:pPr>
              <w:spacing w:after="0"/>
              <w:rPr>
                <w:sz w:val="23"/>
                <w:szCs w:val="23"/>
                <w:color w:val="auto"/>
              </w:rPr>
            </w:pPr>
          </w:p>
        </w:tc>
        <w:tc>
          <w:tcPr>
            <w:tcW w:w="210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January 3, 2024</w:t>
            </w:r>
          </w:p>
        </w:tc>
      </w:tr>
      <w:tr>
        <w:trPr>
          <w:trHeight w:val="26"/>
        </w:trPr>
        <w:tc>
          <w:tcPr>
            <w:tcW w:w="67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8"/>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40"/>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2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5"/>
        </w:trPr>
        <w:tc>
          <w:tcPr>
            <w:tcW w:w="6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5"/>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Tradename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2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40"/>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Conversation data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5"/>
        </w:trPr>
        <w:tc>
          <w:tcPr>
            <w:tcW w:w="67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83"/>
        </w:trPr>
        <w:tc>
          <w:tcPr>
            <w:tcW w:w="674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incurred $1.9 million in acquisition related expenses, of which $0.5 million and $0.8 million were incurred during the three and six months ended June 30, 2024, respectively, and recorded as general and administration expenses in its condensed consolidated statements of operations and comprehensive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financial results of SYNQ3 are included in these unaudited condensed consolidated financial statements from the date of the acquisition. The acquired business contributed revenue of $6.1 million and net loss of $3.1 million to the Company for the period from January 3, 2024 to June 30, 2024.</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includes unaudited pro forma financial information that presents combined results of the Company as if the business combination was completed on January 1, 2023, the beginning of the comparable prior annual reporting period.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160" w:type="dxa"/>
            <w:vAlign w:val="bottom"/>
          </w:tcPr>
          <w:p>
            <w:pPr>
              <w:spacing w:after="0"/>
              <w:rPr>
                <w:sz w:val="20"/>
                <w:szCs w:val="20"/>
                <w:color w:val="auto"/>
              </w:rPr>
            </w:pPr>
          </w:p>
        </w:tc>
      </w:tr>
      <w:tr>
        <w:trPr>
          <w:trHeight w:val="25"/>
        </w:trPr>
        <w:tc>
          <w:tcPr>
            <w:tcW w:w="5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3"/>
        </w:trPr>
        <w:tc>
          <w:tcPr>
            <w:tcW w:w="5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20" w:type="dxa"/>
            <w:vAlign w:val="bottom"/>
          </w:tcPr>
          <w:p>
            <w:pPr>
              <w:spacing w:after="0"/>
              <w:rPr>
                <w:sz w:val="20"/>
                <w:szCs w:val="20"/>
                <w:color w:val="auto"/>
              </w:rPr>
            </w:pPr>
          </w:p>
        </w:tc>
        <w:tc>
          <w:tcPr>
            <w:tcW w:w="216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5"/>
        </w:trPr>
        <w:tc>
          <w:tcPr>
            <w:tcW w:w="5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3"/>
        </w:trPr>
        <w:tc>
          <w:tcPr>
            <w:tcW w:w="5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7"/>
              </w:rPr>
              <w:t>June 30, 2023</w:t>
            </w:r>
          </w:p>
        </w:tc>
        <w:tc>
          <w:tcPr>
            <w:tcW w:w="520" w:type="dxa"/>
            <w:vAlign w:val="bottom"/>
          </w:tcPr>
          <w:p>
            <w:pPr>
              <w:spacing w:after="0"/>
              <w:rPr>
                <w:sz w:val="20"/>
                <w:szCs w:val="20"/>
                <w:color w:val="auto"/>
              </w:rPr>
            </w:pPr>
          </w:p>
        </w:tc>
        <w:tc>
          <w:tcPr>
            <w:tcW w:w="2160" w:type="dxa"/>
            <w:vAlign w:val="bottom"/>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97"/>
              </w:rPr>
              <w:t>June 30, 2023</w:t>
            </w:r>
          </w:p>
        </w:tc>
      </w:tr>
      <w:tr>
        <w:trPr>
          <w:trHeight w:val="25"/>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23,340</w:t>
            </w:r>
          </w:p>
        </w:tc>
      </w:tr>
      <w:tr>
        <w:trPr>
          <w:trHeight w:val="24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AI, Inc.</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(26,190)</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(56,997)</w:t>
            </w:r>
          </w:p>
        </w:tc>
      </w:tr>
    </w:tbl>
    <w:p>
      <w:pPr>
        <w:spacing w:after="0" w:line="3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unaudited pro forma financial information includes the combined historical operating results of the Company and SYNQ3 prior to the acquisition, with adjustments to give effect for the SYNQ3 Acquisition and related events. Pro forma adjustments have been made to reflect the incremental intangible asset amortization to be incurred based on the fair values and useful lives of each identifiable intangible asset, incremental stock-based compensation related to inducement equity awards, incremental compensation related to amended severance agreements, incremental transaction costs related to the acquisition, change in fair value of contingent acquisition liabilities, elimination of interest expense related to SYNQ3’s previously outstanding debt, elimination of amortization expense related to SYNQ3's previously recognized goodwill, and the related tax effects of pro forma adjustments for the period. These unaudited pro forma results are presented for informational purpose only and are not necessarily indicative of what the actual results of operations of the combined</w:t>
      </w:r>
    </w:p>
    <w:p>
      <w:pPr>
        <w:spacing w:after="0" w:line="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company would have been if the acquisition had occurred at the beginning of the period presented, nor are they indicative of future results of operations. The unaudited pro forma results are based on the preliminary purchase price allocation and will be updated to reflect the final amounts as the allocation is finalized during the measurement period.</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combination included in the reported pro forma revenue and earnings.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w:t>
      </w:r>
    </w:p>
    <w:p>
      <w:pPr>
        <w:spacing w:after="0" w:line="234"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On June 14, 2024, the Company completed an immaterial acquisition for total preliminary purchase consideration of $1.0 million. As part of the acquisition, the Company acquired net assets of $2.2 million, including intangible assets of $2.6 million, and recognized a preliminary gain on bargain purchase of $1.2 million within other income (expense), net in the condensed consolidated statements of operations and comprehensive loss during the three and six months ended June 30, 2024, resulting from a favorable fair value of identifiable net assets acquired at the date of acquisition as compared with the Company’s purchase price. The Company was able to negotiate a bargain purchase price as a result of the recurring losses and pre-filing bankruptcy status of the selling entity.</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preliminary purchase price allocation has not been finalized as of June 30, 2024 primarily due to the final assessment of the fair values of the intangible assets.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acquisition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The following table summarizes the preliminary fair values of the identifiable intangible assets acquired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2323"/>
        </w:rPr>
        <w: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60" w:type="dxa"/>
            <w:vAlign w:val="bottom"/>
          </w:tcPr>
          <w:p>
            <w:pPr>
              <w:spacing w:after="0"/>
              <w:rPr>
                <w:sz w:val="20"/>
                <w:szCs w:val="20"/>
                <w:color w:val="auto"/>
              </w:rPr>
            </w:pPr>
          </w:p>
        </w:tc>
        <w:tc>
          <w:tcPr>
            <w:tcW w:w="436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400" w:type="dxa"/>
            <w:vAlign w:val="bottom"/>
          </w:tcPr>
          <w:p>
            <w:pPr>
              <w:spacing w:after="0"/>
              <w:rPr>
                <w:sz w:val="20"/>
                <w:szCs w:val="20"/>
                <w:color w:val="auto"/>
              </w:rPr>
            </w:pPr>
          </w:p>
        </w:tc>
        <w:tc>
          <w:tcPr>
            <w:tcW w:w="192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65"/>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436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400" w:type="dxa"/>
            <w:vAlign w:val="bottom"/>
          </w:tcPr>
          <w:p>
            <w:pPr>
              <w:spacing w:after="0"/>
              <w:rPr>
                <w:sz w:val="23"/>
                <w:szCs w:val="23"/>
                <w:color w:val="auto"/>
              </w:rPr>
            </w:pPr>
          </w:p>
        </w:tc>
        <w:tc>
          <w:tcPr>
            <w:tcW w:w="19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at acquisition</w:t>
            </w:r>
          </w:p>
        </w:tc>
      </w:tr>
      <w:tr>
        <w:trPr>
          <w:trHeight w:val="25"/>
        </w:trPr>
        <w:tc>
          <w:tcPr>
            <w:tcW w:w="45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4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5"/>
        </w:trPr>
        <w:tc>
          <w:tcPr>
            <w:tcW w:w="4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3"/>
        </w:trPr>
        <w:tc>
          <w:tcPr>
            <w:tcW w:w="4560" w:type="dxa"/>
            <w:vAlign w:val="bottom"/>
            <w:tcBorders>
              <w:top w:val="single" w:sz="8" w:color="auto"/>
            </w:tcBorders>
          </w:tcPr>
          <w:p>
            <w:pPr>
              <w:spacing w:after="0"/>
              <w:rPr>
                <w:sz w:val="20"/>
                <w:szCs w:val="20"/>
                <w:color w:val="auto"/>
              </w:rPr>
            </w:pPr>
          </w:p>
        </w:tc>
        <w:tc>
          <w:tcPr>
            <w:tcW w:w="43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5"/>
        </w:trPr>
        <w:tc>
          <w:tcPr>
            <w:tcW w:w="4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incurred $0.1 million in acquisition related expenses, all of which were incurred during the three and six months ended June 30, 2024 and recorded as general and administration expenses in its condensed consolidated statements of operations and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financial results of the acquired entity are included in these unaudited condensed consolidated financial statements from the date of the acquisition. The Company has not separately presented pro forma results of operations reflecting the acquisition or revenue and operating losses of the acquired entity for the period from acquisition date to June 30, 2024 as the impacts were not material to the condensed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(3) monetization, and</w:t>
      </w:r>
    </w:p>
    <w:p>
      <w:pPr>
        <w:spacing w:after="0" w:line="36" w:lineRule="exact"/>
        <w:rPr>
          <w:sz w:val="20"/>
          <w:szCs w:val="20"/>
          <w:color w:val="auto"/>
        </w:rPr>
      </w:pPr>
    </w:p>
    <w:p>
      <w:pPr>
        <w:ind w:firstLine="6"/>
        <w:spacing w:after="0" w:line="251" w:lineRule="auto"/>
        <w:tabs>
          <w:tab w:leader="none" w:pos="25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Revenues are reported net of applicable sales and use taxes that are passed through to customers. The Company applies significant judgement in identifying and evaluating any terms and conditions in contracts which impact revenue recognition.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platform over the contract period without taking possession of the software.</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revenues for these activities are recognized over the period which the hosted services are provided and is included within hosted services revenue.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derived as a result of the SYNQ3 Acquisition are categorized as hosted services revenue.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Revenues from distinct professional services, such as non-integrated development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revenues are determined to be recognized at a point in time.</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and is based on either input or output measure. During the three and six months ended June 30, 2024, $1.4 million and $2.9 million, respectively, of professional service revenue was recognized over time. During the three and six months ended June 30, 2024, there was immaterial professional service revenue recognized at a point in time when the performance obligation was fulfilled and control of the service was transferred to the customer. During the three and six months ended June 30, 2023, $4.3 million and $5.0 million, respectively, of professional service revenue was recognized over time. During the three and six months ended June 30, 2023, there was zero and $0.9 million, respectively, of professional service revenue recognized at a point in time when the performance obligation was fulfilled and control of the service was transferred to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amount of revenue is based on actual monetization generated or usage,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Licensing</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licenses voice solutions that are embedded in customer’s products. Licensing revenues are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For royalty arrangements that include fixed considerations related to a minimum guarantee from a customer, the fixed consideration allocated to the license is recognized when the control of the license passes to the customer. The Company provides assurance-type warranty services and to date, post-contract support has been an immaterial performance obligation within the context of the contract.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80"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long-term contracts do not have significant financing components, as there is generally payment and performance in each year of the contract. The Company has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If there is a period of one year or longer between the transfer of promised services and payment, it is generally for reasons other than financing, thus, the Company does not adjust the transaction price for financing components.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2024 and 2023, revenue under each performance obligation was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31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308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3"/>
        </w:trPr>
        <w:tc>
          <w:tcPr>
            <w:tcW w:w="5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8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Pr>
          <w:p>
            <w:pPr>
              <w:spacing w:after="0"/>
              <w:rPr>
                <w:sz w:val="20"/>
                <w:szCs w:val="20"/>
                <w:color w:val="auto"/>
              </w:rPr>
            </w:pPr>
          </w:p>
        </w:tc>
        <w:tc>
          <w:tcPr>
            <w:tcW w:w="2020" w:type="dxa"/>
            <w:vAlign w:val="bottom"/>
            <w:gridSpan w:val="4"/>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6"/>
              </w:rPr>
              <w:t>June 30,</w:t>
            </w:r>
          </w:p>
        </w:tc>
      </w:tr>
      <w:tr>
        <w:trPr>
          <w:trHeight w:val="25"/>
        </w:trPr>
        <w:tc>
          <w:tcPr>
            <w:tcW w:w="5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233"/>
        </w:trPr>
        <w:tc>
          <w:tcPr>
            <w:tcW w:w="60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5"/>
        </w:trPr>
        <w:tc>
          <w:tcPr>
            <w:tcW w:w="5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882"/>
        </w:trPr>
        <w:tc>
          <w:tcPr>
            <w:tcW w:w="608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50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Hosted services</w:t>
            </w:r>
          </w:p>
        </w:tc>
        <w:tc>
          <w:tcPr>
            <w:tcW w:w="520" w:type="dxa"/>
            <w:vAlign w:val="bottom"/>
            <w:tcBorders>
              <w:top w:val="single" w:sz="8" w:color="auto"/>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w:t>
            </w: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r>
      <w:tr>
        <w:trPr>
          <w:trHeight w:val="26"/>
        </w:trPr>
        <w:tc>
          <w:tcPr>
            <w:tcW w:w="5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6"/>
        </w:trPr>
        <w:tc>
          <w:tcPr>
            <w:tcW w:w="5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3"/>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2024 and 2023, the disaggregated revenue by geographic location was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2540" w:type="dxa"/>
            <w:vAlign w:val="bottom"/>
            <w:gridSpan w:val="4"/>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3"/>
        </w:trPr>
        <w:tc>
          <w:tcPr>
            <w:tcW w:w="4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0" w:type="dxa"/>
            <w:vAlign w:val="bottom"/>
            <w:gridSpan w:val="3"/>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Pr>
          <w:p>
            <w:pPr>
              <w:spacing w:after="0"/>
              <w:rPr>
                <w:sz w:val="20"/>
                <w:szCs w:val="20"/>
                <w:color w:val="auto"/>
              </w:rPr>
            </w:pPr>
          </w:p>
        </w:tc>
      </w:tr>
      <w:tr>
        <w:trPr>
          <w:trHeight w:val="26"/>
        </w:trPr>
        <w:tc>
          <w:tcPr>
            <w:tcW w:w="4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49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4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4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r>
      <w:tr>
        <w:trPr>
          <w:trHeight w:val="25"/>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4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5"/>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r>
      <w:tr>
        <w:trPr>
          <w:trHeight w:val="24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5"/>
        </w:trPr>
        <w:tc>
          <w:tcPr>
            <w:tcW w:w="4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13,462</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25,056</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*Revenue by geographic region is allocated to individual countries based on the billing location of the customer. The end customer location may be different than the customer's billing location.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2024 and 2023, the disaggregated revenue by recognition pattern was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254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5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0" w:type="dxa"/>
            <w:vAlign w:val="bottom"/>
            <w:gridSpan w:val="3"/>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r>
      <w:tr>
        <w:trPr>
          <w:trHeight w:val="25"/>
        </w:trPr>
        <w:tc>
          <w:tcPr>
            <w:tcW w:w="5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0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5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13,535</w:t>
            </w:r>
          </w:p>
        </w:tc>
      </w:tr>
      <w:tr>
        <w:trPr>
          <w:trHeight w:val="24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5"/>
        </w:trPr>
        <w:tc>
          <w:tcPr>
            <w:tcW w:w="5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13,462</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revenues are derived from Houndified Products, which are voice-enabled tangible products across the automotive and consumer electronics industries. Revenues from Product Royalties are based on volume, usage or life of the products, which are driven by number of devices, users or unit of time. Service Subscription revenues are generated through Houndified Services, which include customer services, food ordering, content, appointments and voice commerce. Subscription revenues are derived from monthly fees based on usage-based revenue, revenue per query or revenue per user. Both Houndified Products and Houndified Services may include professional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services that develop and customize the Houndify platform to fit customers’ specific needs. Revenues from Monetization are generated from the SoundHound music identification app and are primarily attributable to user ad impression revenue.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2024 and 2023, the disaggregated revenue by service type was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252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4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gridSpan w:val="3"/>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r>
      <w:tr>
        <w:trPr>
          <w:trHeight w:val="26"/>
        </w:trPr>
        <w:tc>
          <w:tcPr>
            <w:tcW w:w="4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49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4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r>
      <w:tr>
        <w:trPr>
          <w:trHeight w:val="24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5"/>
        </w:trPr>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58"/>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13,462</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15,458</w:t>
            </w:r>
          </w:p>
        </w:tc>
      </w:tr>
      <w:tr>
        <w:trPr>
          <w:trHeight w:val="20"/>
        </w:trPr>
        <w:tc>
          <w:tcPr>
            <w:tcW w:w="4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providing access to software, licensing right to use software, or providing services in exchange for consideration from the customer. The timing of the Company’s performance often differs from the timing of the customer’s payment, which results in the recognition of a receivable, a contract asset or deferred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 2023, accounts receivable, net of allowances, was $3.4 million, contract assets were $8.7 million and deferred revenue was $13.4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 asset and unbilled accounts receivable, net as of June 30, 2024 and December 31, 2023 consists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Balance Sheet Presentation</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352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 receivables - current</w:t>
            </w:r>
          </w:p>
        </w:tc>
        <w:tc>
          <w:tcPr>
            <w:tcW w:w="4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net of allowance</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9,859</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r>
      <w:tr>
        <w:trPr>
          <w:trHeight w:val="231"/>
        </w:trPr>
        <w:tc>
          <w:tcPr>
            <w:tcW w:w="352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credit losses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
        </w:trPr>
        <w:tc>
          <w:tcPr>
            <w:tcW w:w="35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w:t>
            </w: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net of allowance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r>
      <w:tr>
        <w:trPr>
          <w:trHeight w:val="237"/>
        </w:trPr>
        <w:tc>
          <w:tcPr>
            <w:tcW w:w="35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credit losses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 receivables - non-current</w:t>
            </w: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non-current, net of</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352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
        </w:trPr>
        <w:tc>
          <w:tcPr>
            <w:tcW w:w="35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non-current</w:t>
            </w: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non-current, net of</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w:t>
            </w:r>
          </w:p>
        </w:tc>
      </w:tr>
      <w:tr>
        <w:trPr>
          <w:trHeight w:val="231"/>
        </w:trPr>
        <w:tc>
          <w:tcPr>
            <w:tcW w:w="352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5"/>
        </w:trPr>
        <w:tc>
          <w:tcPr>
            <w:tcW w:w="352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change in the Company's contract assets and contract liabilities during the current period was primarily the result of the timing differences between the Company's performance, invoicing and customer payments. The Company has not recorded any asset impairment charges related to contract assets during the periods presented in the condensed consolidated financial statements.</w:t>
      </w:r>
    </w:p>
    <w:p>
      <w:pPr>
        <w:spacing w:after="0" w:line="178"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Revenues recognized included in the balances of the deferred revenue at the beginning of the reporting period were $1.3 million and $3.0 million, respectively, for the three and six months ended June 30, 2024 as compared to $2.2 million and $5.0 million, respectively, for the three and six months ended June 30, 2023.</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2024, the aggregate amount of the transaction price allocated to the remaining performance obligations related to customer contracts that were unsatisfied or partially unsatisfied was $10.6 million. Given the applicable contract terms, $5.5 million is expected to be recognized as revenue within one year, $3.1 million is expected to be recognized between 2 to 5 years and the remainder of $2.0 million is expected to be recognized after 5 years. This amount does not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change in the carrying value of goodwill including the effect of measurement period adjustments for the six months ended June 30, 2024, was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SYNQ3</w:t>
            </w: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6"/>
        </w:trPr>
        <w:tc>
          <w:tcPr>
            <w:tcW w:w="94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3"/>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has applied the acquisition method of accounting in accordance with ASC 805 and recognized assets acquired and liabilities assumed of SYNQ3 at their fair value as of the date of acquisition, with the excess purchase consideration recorded to goodwill. As the Company finalizes the estimation of the fair value of the assets acquired and liabilities assumed, additional adjustments to the amount of goodwill may be necessary. Refer to Note 3 for further information on the measurement period adjustments of SYNQ3 Acquisition.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value, accumulated amortization and net carrying value of intangible assets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360" w:type="dxa"/>
            <w:vAlign w:val="bottom"/>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23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6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r>
      <w:tr>
        <w:trPr>
          <w:trHeight w:val="239"/>
        </w:trPr>
        <w:tc>
          <w:tcPr>
            <w:tcW w:w="3360" w:type="dxa"/>
            <w:vAlign w:val="bottom"/>
          </w:tcPr>
          <w:p>
            <w:pPr>
              <w:spacing w:after="0"/>
              <w:rPr>
                <w:sz w:val="20"/>
                <w:szCs w:val="20"/>
                <w:color w:val="auto"/>
              </w:rPr>
            </w:pPr>
          </w:p>
        </w:tc>
        <w:tc>
          <w:tcPr>
            <w:tcW w:w="18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8"/>
              </w:rPr>
              <w:t>Gross Carrying Value</w:t>
            </w:r>
          </w:p>
        </w:tc>
        <w:tc>
          <w:tcPr>
            <w:tcW w:w="660" w:type="dxa"/>
            <w:vAlign w:val="bottom"/>
          </w:tcPr>
          <w:p>
            <w:pPr>
              <w:spacing w:after="0"/>
              <w:rPr>
                <w:sz w:val="20"/>
                <w:szCs w:val="20"/>
                <w:color w:val="auto"/>
              </w:rPr>
            </w:pPr>
          </w:p>
        </w:tc>
        <w:tc>
          <w:tcPr>
            <w:tcW w:w="23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6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Net Carrying Value</w:t>
            </w:r>
          </w:p>
        </w:tc>
        <w:tc>
          <w:tcPr>
            <w:tcW w:w="640" w:type="dxa"/>
            <w:vAlign w:val="bottom"/>
          </w:tcPr>
          <w:p>
            <w:pPr>
              <w:spacing w:after="0"/>
              <w:rPr>
                <w:sz w:val="20"/>
                <w:szCs w:val="20"/>
                <w:color w:val="auto"/>
              </w:rPr>
            </w:pPr>
          </w:p>
        </w:tc>
      </w:tr>
      <w:tr>
        <w:trPr>
          <w:trHeight w:val="25"/>
        </w:trPr>
        <w:tc>
          <w:tcPr>
            <w:tcW w:w="33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60" w:type="dxa"/>
            <w:vAlign w:val="bottom"/>
            <w:tcBorders>
              <w:bottom w:val="single" w:sz="8" w:color="CCEEFF"/>
            </w:tcBorders>
            <w:shd w:val="clear" w:color="auto" w:fill="CCEEFF"/>
          </w:tcPr>
          <w:p>
            <w:pPr>
              <w:jc w:val="right"/>
              <w:ind w:right="16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380" w:type="dxa"/>
            <w:vAlign w:val="bottom"/>
            <w:tcBorders>
              <w:bottom w:val="single" w:sz="8" w:color="CCEEFF"/>
            </w:tcBorders>
            <w:shd w:val="clear" w:color="auto" w:fill="CCEEFF"/>
          </w:tcPr>
          <w:p>
            <w:pPr>
              <w:jc w:val="right"/>
              <w:ind w:right="21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660" w:type="dxa"/>
            <w:vAlign w:val="bottom"/>
            <w:tcBorders>
              <w:bottom w:val="single" w:sz="8" w:color="CCEEFF"/>
            </w:tcBorders>
            <w:shd w:val="clear" w:color="auto" w:fill="CCEEFF"/>
          </w:tcPr>
          <w:p>
            <w:pPr>
              <w:jc w:val="right"/>
              <w:ind w:right="14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r>
      <w:tr>
        <w:trPr>
          <w:trHeight w:val="24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r>
      <w:tr>
        <w:trPr>
          <w:trHeight w:val="25"/>
        </w:trPr>
        <w:tc>
          <w:tcPr>
            <w:tcW w:w="3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5"/>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4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Conversation data</w:t>
            </w:r>
          </w:p>
        </w:tc>
        <w:tc>
          <w:tcPr>
            <w:tcW w:w="18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5"/>
        </w:trPr>
        <w:tc>
          <w:tcPr>
            <w:tcW w:w="33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3"/>
        </w:trPr>
        <w:tc>
          <w:tcPr>
            <w:tcW w:w="3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shd w:val="clear" w:color="auto" w:fill="CCEEFF"/>
          </w:tcPr>
          <w:p>
            <w:pPr>
              <w:jc w:val="right"/>
              <w:ind w:right="16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2380" w:type="dxa"/>
            <w:vAlign w:val="bottom"/>
            <w:tcBorders>
              <w:bottom w:val="single" w:sz="8" w:color="auto"/>
            </w:tcBorders>
            <w:shd w:val="clear" w:color="auto" w:fill="CCEEFF"/>
          </w:tcPr>
          <w:p>
            <w:pPr>
              <w:jc w:val="right"/>
              <w:ind w:right="21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660" w:type="dxa"/>
            <w:vAlign w:val="bottom"/>
            <w:tcBorders>
              <w:bottom w:val="single" w:sz="8" w:color="auto"/>
            </w:tcBorders>
            <w:shd w:val="clear" w:color="auto" w:fill="CCEEFF"/>
          </w:tcPr>
          <w:p>
            <w:pPr>
              <w:jc w:val="right"/>
              <w:ind w:right="14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Amortization expense of intangible assets was $1.0 million and $2.1 million for the three and six months ended June 30, 2024. These expenses were recorded as $0.4 million and $0.9 million, respectively, within cost of revenues for the three and six months ended June 30, 2024, and $0.6 million and $1.2 million, respectively, within operating expenses for the three and six months ended June 30, 2024. There was no amortization expense during the three and six months ended June 30,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amortization expense of intangible assets held as of June 30, 2024, are as follows (in thousands):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625475</wp:posOffset>
            </wp:positionV>
            <wp:extent cx="7134860" cy="168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6"/>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0" w:type="dxa"/>
            <w:vAlign w:val="bottom"/>
          </w:tcPr>
          <w:p>
            <w:pPr>
              <w:spacing w:after="0"/>
              <w:rPr>
                <w:sz w:val="1"/>
                <w:szCs w:val="1"/>
                <w:color w:val="auto"/>
              </w:rPr>
            </w:pPr>
          </w:p>
        </w:tc>
      </w:tr>
      <w:tr>
        <w:trPr>
          <w:trHeight w:val="239"/>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0" w:type="dxa"/>
            <w:vAlign w:val="bottom"/>
          </w:tcPr>
          <w:p>
            <w:pPr>
              <w:spacing w:after="0"/>
              <w:rPr>
                <w:sz w:val="1"/>
                <w:szCs w:val="1"/>
                <w:color w:val="auto"/>
              </w:rPr>
            </w:pPr>
          </w:p>
        </w:tc>
      </w:tr>
      <w:tr>
        <w:trPr>
          <w:trHeight w:val="26"/>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58"/>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ACCRUED LIABILITIES</w:t>
            </w: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8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3"/>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0" w:type="dxa"/>
            <w:vAlign w:val="bottom"/>
          </w:tcPr>
          <w:p>
            <w:pPr>
              <w:spacing w:after="0"/>
              <w:rPr>
                <w:sz w:val="1"/>
                <w:szCs w:val="1"/>
                <w:color w:val="auto"/>
              </w:rPr>
            </w:pP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vendor payables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6"/>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lender fees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0" w:type="dxa"/>
            <w:vAlign w:val="bottom"/>
          </w:tcPr>
          <w:p>
            <w:pPr>
              <w:spacing w:after="0"/>
              <w:rPr>
                <w:sz w:val="1"/>
                <w:szCs w:val="1"/>
                <w:color w:val="auto"/>
              </w:rPr>
            </w:pP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litigation liabilities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3"/>
        </w:trPr>
        <w:tc>
          <w:tcPr>
            <w:tcW w:w="8100" w:type="dxa"/>
            <w:vAlign w:val="bottom"/>
          </w:tcPr>
          <w:p>
            <w:pPr>
              <w:spacing w:after="0"/>
              <w:rPr>
                <w:sz w:val="20"/>
                <w:szCs w:val="20"/>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0" w:type="dxa"/>
            <w:vAlign w:val="bottom"/>
          </w:tcPr>
          <w:p>
            <w:pPr>
              <w:spacing w:after="0"/>
              <w:rPr>
                <w:sz w:val="1"/>
                <w:szCs w:val="1"/>
                <w:color w:val="auto"/>
              </w:rPr>
            </w:pPr>
          </w:p>
        </w:tc>
      </w:tr>
      <w:tr>
        <w:trPr>
          <w:trHeight w:val="25"/>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Aggregate non-cancelable future minimum payments were as follows as of June 30, 2024 (in thousands):</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9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4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5"/>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4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5"/>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58"/>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83,500</w:t>
            </w:r>
          </w:p>
        </w:tc>
      </w:tr>
      <w:tr>
        <w:trPr>
          <w:trHeight w:val="20"/>
        </w:trPr>
        <w:tc>
          <w:tcPr>
            <w:tcW w:w="9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Prior to the SYNQ3 Acquisition, SYNQ3 filed a litigation against its landlord, TEBO in the United States District Court of Colorado, and TEBO counterclaimed in May 2022. On June 2, 2022, the District Court entered a judgment that was in favor of SYNQ3. TEBO filed the notice of appeal in July, 2023. On June 27, 2024, the Colorado Court of Appeals reversed the judgment and remanded the case to the District Court to enter judgment in favor of TEBO on both SYNQ3’s claim and TEBO’s counterclaim and to conduct further proceedings as are necessary to determine the damages, attorney fees and costs, if any, to be awarded to TEBO. In accordance with ASC 450, Contingencies, the Company estimated and recorded a liability of $1.9 million under accrued liabilities as of June 30, 2024.</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$1.0 million as of June 30, 2024 and $0.2 million as of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Warrants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Credit Agreement (as defined in Note 9), on the Term Loan Closing Date the Company issued warrants to purchase up to 3,301,536 shares of the Company’s Class A Common Stock to the Agent and its assign (the “Term Loan Warrants”). The Term Loan Warrants have a per share exercise price of $2.59 and may be exercised, including on a cashless basis, by the holder at any time prior to the 10-year anniversary of the issue date. The Term Loan Warrants will be automatically cashless exercised immediately prior to a change in control of the Company. The Term Loan Warrants are indexed to the Company's stock and were classified as an equity instrument. On the Term Loan Closing Date, this resulted in the Company allocating the gross proceeds and issuance costs between the Term Loan and the Term Loan Warrants based on their relative fair values, resulting in the initial recognition of the Term Loan Warrant at $4.1 million as additional paid-in-capital on the condensed consolidated balance sheets.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March 2024, the Company issued 2,269,982 shares of the Company's Class A Common Stock resulting from the cashless exercise in full of the Term Loan Warrants that were outstanding. As of June 30, 2024, all of the Term Loan Warrants had been exercised and no Term Loan Warrants are outstanding.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the ATSP Merger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26, 2022 (the "Closing"),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as well as the other transactions contemplated by the Merger Agreement (the merger and such other transactions collectively referred to the “ATSP Merger”).</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ATSP Merger,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Subsequent to the closing of the ATSP Merger, the Company’s Public Warrants continue to be classified as equity instruments, as they are indexed to the Company’s stock.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the ATSP Merger,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Private Warrants were initially classified as derivative liability instruments as they met the definition of a derivative and were not considered indexed in the Company’s own stock as the settlement value could be dependent on who held the Private Warrants at the time of exercise. Upon the Closing of the ATSP Merger, the Company modified its Private Warrants to be identical to its Public Warrants. Therefore, the Private Warrants met requirements for classification as equity instruments, as they are indexed to the Company’s stock.</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June 30, 2024, there were 3,665,996 Public Warrants and Private Warrants issued and outstanding. There have been no exercises during the three and six months ended June 30, 2024 and June 30,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NOTE PAYABLE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SVB March 2021 Note</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2021, the Company entered into a loan and security agreement with a commercial bank to borrow $30.0 million. The loan bore interest at an annual rate equal to the greater of 9.00% or 5.75% above the Prime Rate. During the three and six months ended June 30, 2023, the interest rate was 13.50%. Payments were interest-only for the first twelve months and are now principal and interest through maturity. During the three and six months ended June 30, 2023, the Company recorded $0.4 million and $1.1 million, respectively, in interest expense.</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Concurrently with the Company's entry into the Credit Agreement (as defined below), the Company used a portion of the proceeds to prepay in full all outstanding obligations under, and terminated, the SVB March 2021 Note. In connection with the SVB March 2021 Note prepayment, the Company paid a total of $18.5 million on April 14, 2023, which consisted of (i) the remaining principal amount outstanding of $18.1 million, (ii) a prepayment premium of $0.3 million, (iii) accrued and unpaid interest of $0.1 million and (iv) a nominal amount for transaction expenses, resulting in a loss on debt extinguishment of $0.4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 June 2021 Note</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lender to obtain credit extensions to the Company. Extensions were available in $5.0 million increments up to a total commitment amount of $15.0 million. The Company drew an initial $5.0 million on June 14, 2021 and the remaining $10.0 million on December 1, 2021. The loan bore interest at an annual rate equal to the greater of 9.00% or 5.75% above the Prime Rate. During the three months ended June 30, 2023, the interest rate was 13.50%. Payments were interest-only for the first twelve months and principal and interest through maturity. During the three and six months ended June 30, 2023, the Company recorded $0.6 million and $1.0 million in interest expense.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Concurrently with the Company’s entry into the Credit Agreement (as defined below), the Company used a portion of the proceeds to prepay in full all outstanding obligations under, and terminated, the SCI June 2021 Note. In connection with the SCI June 2021 Note prepayment on April 14, 2023, the Company paid a total of approximately $11.7 million, which consisted of (i) the remaining principal amount outstanding of approximately $11.5 million, (ii) a prepayment premium of approximately $0.2 million and (iii) a nominal amount for transaction expenses, resulting in loss on debt extinguishment of $0.4 million.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April 14, 2023 (the “Term Loan Closing Date”), the Company entered into a Senior Secured Term Loan Credit Agreement (the “Credit Agreement”). The Credit Agreement provides for a term loan facility in an aggregate principal amount of up to $100.0 million (the “Term Loan”). The Credit Agreement also permits the Company to request additional commitments of up to $25.0 million in the aggregate, with funding of such commitments in the sole discretion of the lenders under certain circumstances, which will be subject to the same terms as the Term Loan if funded. On the Term Loan closing date, the Company also entered into a Guarantee and Collateral Agreement. In addition, the Company is obligated to pay incremental lender fees (the "Lender fees"), beginning on the Term Loan closing date, initially at a rate of 3.5% of the principal amount of the Term Loans for the first 18 months paid semi-annually to provide a collateral protection insurance policy on behalf of the lenders. Such rate for the Lender Fees will decrease to 2.5% after the 18-month anniversary of the Term Loan Closing Date. As the lenders are the sole beneficiary of the insurance policy, the Lender Fees are deemed to be additional fees payable to the Lenders and is therefore being recognized as interest expense over the term of the Term Loan based on effective interest method.</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w:t>
      </w:r>
    </w:p>
    <w:p>
      <w:pPr>
        <w:ind w:firstLine="6"/>
        <w:spacing w:after="0" w:line="251"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certain fees and expenses incurred in connection with entering into the Credit Agreement, and (iv) fund the Lender Fees, together with related taxes, with the remaining proceeds to be used to fund growth investments and for general corporate purposes as permitted under the Credit Agreement.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outstanding principal balance of the Term Loan bears interest at the applicable margin plus, at the Company’s election, either (i) the Term SOFR rate published by CME Group Benchmark Administration Limited for a one-month interest period plus 0.15% or (ii) the alternate base rate (“ABR”), which is a per annum rate equal to the greatest of (a) the Prime Rate (as defined in the Credit Agreement), (b) the NYFRB Rate (as defined in the Credit Agreement) plus 0.50% and (c) the Term SOFR rate plus 1.00%. The applicable margin under the Credit Agreement is 8.50% per annum with respect to SOFR loans, and</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7.50% per annum with respect to ABR loans. As of June 30, 2024, the contractual interest rate was approximately 14.0%. The Company was amortizing the discounts on an effective interest basis over the period from issuance through April 14, 2027 (the “Maturity Date”). The effective interest rate was 25.18% for the quarter ended June 30, 2024. The Company incurred $2.6 million and $6.0 million, respectively, in stated interest in the condensed consolidated statements of operations and comprehensive loss for the three and six months ended June 30, 2024, and paid $0.0 million and $3.5 million for the respective periods. During the three and six months ended June 30, 2024, the Company recorded $0.3 million and $1.5 million in interest expense related to the debt discount.</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7, 2024, the Company entered into a letter agreement (the “Payoff Letter”) to prepay in full all indebtedness and other amounts outstanding and owing under the Credit Agreement. In connection with the Term Loan prepayment, the Company paid a total of $105.6 million on June 7, 2024, which consisted of (i) the remaining principal amount outstanding of $100.0 million, (ii) a prepayment premium of $5.0 million, (iii) transaction expenses of $0.6 million, resulting in a loss on debt extinguishment of $15.6 million. Accordingly, the accrued and unpaid interest of $2.6 million was waived under the Payoff Letter.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debt balances as of June 30, 2024 and December 31, 2023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3"/>
        </w:trPr>
        <w:tc>
          <w:tcPr>
            <w:tcW w:w="4400" w:type="dxa"/>
            <w:vAlign w:val="bottom"/>
          </w:tcPr>
          <w:p>
            <w:pPr>
              <w:spacing w:after="0"/>
              <w:rPr>
                <w:sz w:val="20"/>
                <w:szCs w:val="20"/>
                <w:color w:val="auto"/>
              </w:rPr>
            </w:pPr>
          </w:p>
        </w:tc>
        <w:tc>
          <w:tcPr>
            <w:tcW w:w="48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440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4880" w:type="dxa"/>
            <w:vAlign w:val="bottom"/>
            <w:tcBorders>
              <w:bottom w:val="single" w:sz="8" w:color="CCEEFF"/>
            </w:tcBorders>
            <w:gridSpan w:val="2"/>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4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debt</w:t>
            </w:r>
          </w:p>
        </w:tc>
        <w:tc>
          <w:tcPr>
            <w:tcW w:w="3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44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37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(15,688)</w:t>
            </w:r>
          </w:p>
        </w:tc>
        <w:tc>
          <w:tcPr>
            <w:tcW w:w="0" w:type="dxa"/>
            <w:vAlign w:val="bottom"/>
          </w:tcPr>
          <w:p>
            <w:pPr>
              <w:spacing w:after="0"/>
              <w:rPr>
                <w:sz w:val="1"/>
                <w:szCs w:val="1"/>
                <w:color w:val="auto"/>
              </w:rPr>
            </w:pPr>
          </w:p>
        </w:tc>
      </w:tr>
      <w:tr>
        <w:trPr>
          <w:trHeight w:val="25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37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700" w:type="dxa"/>
            <w:vAlign w:val="bottom"/>
            <w:vMerge w:val="restart"/>
          </w:tcPr>
          <w:p>
            <w:pPr>
              <w:jc w:val="right"/>
              <w:ind w:right="2292"/>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4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0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RESTRUCTURING</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January 2023, the Company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Costs associated with the Restructuring Plan consisted of employee severance payments, employee benefits and share-based compensation. The costs associated with the Restructuring Plan were recorded to the restructuring expense line item within our condensed consolidated statements of operations as incurred. During the three and six months ended June 30, 2023, we recorded $0.2 million and $3.8 million, respectively, of restructuring expenses in connection with the Restructuring Plan, of which $0.1 million and $1.4 million, respectively, were cash payments. The Restructuring Plan was substantially complete as of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PREFERRED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Series A Preferred Stock</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Between January 18, 2023 and January 20, 2023, the Company entered into Preferred Stock Purchase Agreements (the “Purchase Agreements”) with certain investors (the “Investors”), pursuant to which the Company issued and sold to the Investors an aggregate of 835,011 shares of its newly designated Series A</w:t>
      </w:r>
    </w:p>
    <w:p>
      <w:pPr>
        <w:jc w:val="both"/>
        <w:ind w:right="20"/>
        <w:spacing w:after="0" w:line="304" w:lineRule="auto"/>
        <w:rPr>
          <w:sz w:val="20"/>
          <w:szCs w:val="20"/>
          <w:color w:val="auto"/>
        </w:rPr>
      </w:pPr>
      <w:r>
        <w:rPr>
          <w:rFonts w:ascii="Times New Roman" w:cs="Times New Roman" w:eastAsia="Times New Roman" w:hAnsi="Times New Roman"/>
          <w:sz w:val="18"/>
          <w:szCs w:val="18"/>
          <w:color w:val="auto"/>
        </w:rPr>
        <w:t>Convertible Preferred Stock for issuance price of $30.00 per share, raising an aggregate of approximately $25.0 million in cash proceeds. As of June 30, 2024</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17"/>
          <w:szCs w:val="17"/>
          <w:color w:val="auto"/>
        </w:rPr>
        <w:t>ll the Series A Preferred Stock have been converted to Class A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Liquidation Preference per share of Preferred Stock was initially equal to $30.00, the original issue price per share. On January 1, 2024, the Company's Series A Preferred Stock holders received their latest dividends paid-in-kind as an increase in Liquidation Preference, thereby increasing the Liquidation Preference per share to approximately $34.13.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Preferred Stock is not mandatorily redeemable.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As of June 30, 2024, the condition of automatic conversion was met and all the remaining Series A Preferred Stock were automatically converted.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2024, 70,241 shares and 475,005 shares, respectively, of preferred stock were converted into 2,553,361 shares and 16,624,215 shares, respectively, of Class A Common Stock. The conversion was pursuant to the original terms of the agreement and therefore the carrying value of Series A Preferred Stock was converted into Class A Common Stock with no gain or loss upon conversion. There were no conversions during the three and six months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Investors do not have voting rights, except with respect to certain protective provisions and as required by the Delaware General Corporation Law. However, as long as the Series A Preferred Stock are outstanding, the Company may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not take certain actions that may materially and adversely impact the powers, preferences, or rights of the Investors without the consent of at least a majority of the Investors.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COMMON STOCK</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17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and B Common Stock are entitled to one vote and ten votes per share respectively on all matters submitted to the stockholders for their vote or approval.</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shall convert into one fully paid and nonassessable share of Class A Common Stock upon mandatory or optional conversion. Shares of Class B Common Stock will be automatically converted into shares of Class A Common Stock upon the occurrence of certain future events, generally including transfers, subject to limited exceptions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During the three and six months ended June 30, 2024, certain holders of Class B Common Stock optionally converted zero and 4,750,000 shares, respectively, of Class B Common Stock into the same number of shares of Class A Common Stock. During the three and six months ended June 30, 2023, certain holders of Class B Common Stock optionally converted 1,700,000 shares of Class B Common Stock into the same number of shares of Class A Common Stock.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Line of Credit ("ELOC")</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August 16, 2022, the Company entered into a common stock purchase agreement (“Common Stock Purchase Agreement”) and related registration rights agreement (the “CFPI Registration Rights Agreement”) with CF Principal Investments LLC (the “Counterparty”). Pursuant to the Common Stock Purchase Agreement, the Company had the right, but not the obligation, to direct the Counterparty to purchase up to 25,000,000 shares of Class A Common Stock, subject to certain limitations and conditions (the "ELOC Program") at a purchase price equal to 97% of the volume weighted average stock price for a given purchase date. In connection with the execution of the Common Stock Purchase Agreement and the side letter on February 14, 2023, the Company issued 250,000 shares of Common Stock (the “Initial Commitment Shares”), and additional cash commitment fee of $0.3 million.</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recorded Common Stock Purchase Agreement as a derivative liability with an initial fair value of $1.1 million based on the upfront commitment fee in the form of proceeds from future issuance of commitment shares to the Counterparty plus certain fees and expenses as specified in the Purchase Agreement.</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recorded loss on changes in the fair value of the derivative liability associated with the ELOC Program of $1.3 million and $1.9 million, respectively, for the three and six months ended June 30, 2023 as other income (expense), net on its condensed consolidated statements of operations and comprehensive loss. The Company incurred third-party costs of zero and $0.2 million, respectively, related to the execution of the Common Stock Purchase Agreement which were recorded as general and administrative expenses in the condensed consolidated statements of operations and comprehensive loss for the three and six months ended June 30, 2023.</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2023, the Company sold the entirety of the 25,000,000 shares for aggregate proceeds of approximately $71.7 million, with the volume weighted average stock price of shares purchased by the Counterparty ranging from $1.75 to $4.26 per share.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July 28, 2023, the Company entered into a Controlled Equity Offering Sales Agreement (the “Sales Agreement”) with Cantor Fitzgerald &amp; Co., H.C. Wainwright &amp; Co., LLC, and D.A. Davidson &amp; Co. (each a “Sales Agent” and collectively, the “Sales Agents”), pursuant to which the Company may offer and sell up to $150,000,000 of shares of our Class A Common Stock from time to time through or to the Sales Agents acting as agent or principal. Sales of our Class A Common Stock, if any, under the Sales Agreement will be made at market prices by any method that is deemed to be an “at the market offering” as defined in Rule 415 under the Securities Act. We will pay the Sales Agents commission for their services in acting as agent in the sale of our Class A Common Stock. The Sales Agents are entitled to aggregate compensation at a fixed commission rate of 2.5% of the gross sales price per share sold under the Sales Agreement. We have also agreed to reimburse the Sales Agents for certain specified expenses, including the reasonable and documented fees and disbursements of its legal counsel in an amount not to exceed $75,000 in the aggregate in connection with the execution of the Sales Agreement.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sold a total of zero and 37,907,219 shares, respectively, of our common stock under the Sales Agreement, at a weighted-average price of $3.62 per share and raised $137.3 million of gross proceeds, which resulted in complete utilization of the Sales Agreement as of March 31, 2024. After deducting approximately $3.4 million of commissions and offering costs incurred by the Company, the net proceeds from sales of common stock was $133.8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Distribution Agreement</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April 9, 2024, the Company entered into an Equity Distribution Agreement (the “Equity Distribution Agreement”) with Citigroup Global Markets Inc., Barclays Capital Inc., Wedbush Securities Inc., Northland Securities, Inc. and Ladenburg Thalmann &amp; Co. Inc. (each, a “Manager,” and, collectively, the “Managers”) with respect to an at-the-market equity program under which the Company may offer and sell aggregate gross sale proceeds up to $150,000,000 of shares of its Class A Common Stock from time to time through the Managers (the “ATM Offering”). Sales of Class A Common Stock, if any, under the Equity Distribution Agreement will be made at market prices by any method that is deemed to be an “at the market offering” as defined in Rule 415 under the Securities Act. The Managers will be entitled to commission at a fixed rate of 2.5% of the gross sales price per share for their services in acting as agent in the sale of the Company's Class A Common Stock. The Company will reimburse the Managers for certain specified expenses in connection with the execution of the Equity Distribution Agreement.</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sold a total of 21,228,617 shares of our common stock under the Equity Distribution Agreement, at a weighted-average price of $4.73 per share and raised $100.4 million of gross proceeds. After deducting approximately $2.5 million of commissions and offering costs incurred by the Company, the net proceeds from sales of common stock was $97.9 million. As of June 30, 2024, the Company had a remaining capacity to sell up to an additional $49.6 million of the Company's common stock under the Equity Distribution Agreement. Refer to Note 19 to the unaudited condensed consolidated financial statements for the completion of the ATM Offering in July,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 INCENTIVE PLANS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Equity Incentive Plan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April 2016, we adopted the 2016 Equity Incentive Plan (the “2016 Plan”) as a successor and continuation of the 2006 Plan. Under the 2016 Plan, the Company was permitted to grant awards of stock options and Restricted Stock Units ("RSUs"), as well as stock appreciation rights and other stock awards. The Company no longer has shares available for issuance under the 2016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Incentive Award Plan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adopted the 2022 Incentive Award Plan (the “2022 Incentive Plan”, collectively, with the 2006 Plan and the 2016 Plan, the “Plans”) effective April 26, 2022. As of June 30, 2024, the Company had 9,265,374 shares remaining for issuance under the 2022 Incentive Plan.</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adopted the 2022 Employee Stock Purchase Plan (the “ESPP”) effective April 26, 2022. An aggregate of 3,930,074 shares of the Company’s Class A Common Stock has been reserved for issuance or transfer pursuant to rights granted under the ESPP (“Aggregate Number”). As of June 30, 2024, 816,479 shares of Class A Common Stock were issued under the ESPP.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June 30, 2024, the total unrecognized stock-based compensation expense related to the unvested stock options was approximately $2.8 million, which we expect to recognize over a weighted-average period of 1.09 years. There were no options granted during the three and six months ended June 30,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RSUs granted generally vest over a four-year period, with 25% cliff vesting after one year and then ratably on a quarterly basis for the remaining three years. Besides RSUs with vesting condition tied to requisite service period, the Company also issues RSUs with vesting conditions tied to certain market conditions (“Market-Based RSUs”) and RSUs with vesting conditions tied to certain performance criteria ("Performance-Based RSUs").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SYNQ3 Acquisition, the Company granted 1,434,978 RSUs (the "Retention Pool"), 25% of which is subject to service conditions that vest at the end of each of the upcoming three fiscal years and 75% of which is subject to both service and performance-based vesting conditions at the end of each of the upcoming three fiscal years, respectively.</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performance level for each of the fiscal years 2024, 2025 and 2026 is based on tiered annual revenue targets, subject to a floor of $9.0 million, $21.0 million and $30.0 million, respectively, with vesting ranging from 50% to 100% of the RSUs granted depending on the level of achievement of the specified revenue target in each year.</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assesses the probability of vesting of the above performance-based awards from the Retention Pool every reporting period. As of June 30, 2024, performance level of 2024 revenue amount was not probable of being met and performance levels of 2025 and 2026 were probable of being met.</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also granted 1,952,000 RSUs that vest over a four-year requisite service period to SYNQ3 employees. Additionally, the Company granted 607,008 and 1,005,208 RSUs, respectively, to other employees of the Company during the three and six months ended June 30, 2024. As a result, the Company granted total of 607,008 and 4,392,186 RSUs, respectively, during the three and six months ended June 30, 2024.</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June 30, 2024, the total unrecognized stock-based compensation expense related to the unvested RSUs with service conditions was approximately $41.9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2024, the total unrecognized stock-based compensation expense related to the unvested Market-Based RSUs was approximately $0.1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Market-Based RSUs granted during the three and six months ended June 30, 2024.</w:t>
      </w:r>
    </w:p>
    <w:p>
      <w:pPr>
        <w:spacing w:after="0" w:line="1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June 30, 2024, the total unrecognized stock-based compensation expense related to the unvested Performance-based RSUs was approximately $8.9 million. There were 300,000 and 1,376,234 Performance-Based RSUs, respectively, granted during the three and six months ended June 30, 2024.</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unrecognized stock-based compensation related to unvested RSUs is $50.9 million and this will vest over a weighted average period of 2.24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SYNQ3 Acquisition, a total of 2,033,156 unvested restricted Class A Common Stock shares </w:t>
      </w:r>
      <w:r>
        <w:rPr>
          <w:rFonts w:ascii="Times New Roman" w:cs="Times New Roman" w:eastAsia="Times New Roman" w:hAnsi="Times New Roman"/>
          <w:sz w:val="18"/>
          <w:szCs w:val="18"/>
          <w:i w:val="1"/>
          <w:iCs w:val="1"/>
          <w:color w:val="auto"/>
        </w:rPr>
        <w:t>("RSAs")</w:t>
      </w:r>
      <w:r>
        <w:rPr>
          <w:rFonts w:ascii="Times New Roman" w:cs="Times New Roman" w:eastAsia="Times New Roman" w:hAnsi="Times New Roman"/>
          <w:sz w:val="18"/>
          <w:szCs w:val="18"/>
          <w:color w:val="auto"/>
        </w:rPr>
        <w:t xml:space="preserve"> were issued, 25% of which are subject to service conditions that vest at the end of each of the upcoming three fiscal years in three tranches, and 75% of which is subject to both service and performance-based vesting conditions in three tranches.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performance level for each of the fiscal years 2024, 2025 and 2026 is based on tiered annual revenue targets, subject to a floor of $9.0 million, $21.0 million and $30.0 million, respectively, with vesting ranging from 50% to 100% of the RSAs granted depending on the level of achievement of the specified revenue target in each year.</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assesses the probability of vesting of the above performance-based awards every reporting period. As of June 30, 2024, the performance level of the 2024 revenue amount was not probable of being met and performance levels of 2025 and 2026 were probable of being met.</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June 30, 2024, the total unrecognized stock-based compensation expense related to the unvested RSAs subject to service-based vesting condition and unvested RSAs subject to performance-based vesting condition was approximately $0.8 million and $2.7 million, respectively, over a weighted average period of 2.19 years. Refer to Note 3 for further information on the SYNQ3 Acquisition.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Stock-based compensation is classified in the following expense accounts on the condensed consolidated statements of operations and comprehensive loss for the period ended June 30, 2024, and 2023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252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5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3"/>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r>
      <w:tr>
        <w:trPr>
          <w:trHeight w:val="25"/>
        </w:trPr>
        <w:tc>
          <w:tcPr>
            <w:tcW w:w="5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3"/>
        </w:trPr>
        <w:tc>
          <w:tcPr>
            <w:tcW w:w="50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5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4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5"/>
        </w:trPr>
        <w:tc>
          <w:tcPr>
            <w:tcW w:w="5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r>
      <w:tr>
        <w:trPr>
          <w:trHeight w:val="24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5"/>
        </w:trPr>
        <w:tc>
          <w:tcPr>
            <w:tcW w:w="5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58"/>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13,947</w:t>
            </w:r>
          </w:p>
        </w:tc>
      </w:tr>
      <w:tr>
        <w:trPr>
          <w:trHeight w:val="20"/>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OTHER INCOME (EXPENSE), NET</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Other income (expense), net on the condensed consolidated statements of operations is comprised of the following for the three and six months ended June 30, 2024 and 2023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2480" w:type="dxa"/>
            <w:vAlign w:val="bottom"/>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20" w:type="dxa"/>
            <w:vAlign w:val="bottom"/>
            <w:gridSpan w:val="3"/>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0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4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96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bargain purchase</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ELOC commitment fees and reimbursement cost to Counterparty</w:t>
            </w:r>
          </w:p>
        </w:tc>
        <w:tc>
          <w:tcPr>
            <w:tcW w:w="96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58"/>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6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NET LOSS PER SHARE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three and six months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0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(50,737)</w:t>
            </w:r>
          </w:p>
        </w:tc>
        <w:tc>
          <w:tcPr>
            <w:tcW w:w="0" w:type="dxa"/>
            <w:vAlign w:val="bottom"/>
          </w:tcPr>
          <w:p>
            <w:pPr>
              <w:spacing w:after="0"/>
              <w:rPr>
                <w:sz w:val="1"/>
                <w:szCs w:val="1"/>
                <w:color w:val="auto"/>
              </w:rPr>
            </w:pPr>
          </w:p>
        </w:tc>
      </w:tr>
      <w:tr>
        <w:trPr>
          <w:trHeight w:val="24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5"/>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Net loss attributable to SoundHound common shareholders (in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(52,296)</w:t>
            </w: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dilutive</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331,830,608</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220,772,111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309,213,583</w:t>
            </w: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212,970,561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and six months ended June 30, 2024 and 2023, the diluted net loss per share is equal to the basic net loss per share as the effect of potentially dilutive securities would have been antidilutive.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three and six months ended June 30,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As of June 30,</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w:t>
            </w: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28,919,026</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31,295,962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25,050,330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3,665,996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6,967,532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share awards</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2,033,156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10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1,906,746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36,524,924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63,313,824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2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 tax expense and the effective tax rate were as follows (in thousands):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310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0" w:type="dxa"/>
            <w:vAlign w:val="bottom"/>
          </w:tcPr>
          <w:p>
            <w:pPr>
              <w:spacing w:after="0"/>
              <w:rPr>
                <w:sz w:val="1"/>
                <w:szCs w:val="1"/>
                <w:color w:val="auto"/>
              </w:rPr>
            </w:pPr>
          </w:p>
        </w:tc>
      </w:tr>
      <w:tr>
        <w:trPr>
          <w:trHeight w:val="233"/>
        </w:trPr>
        <w:tc>
          <w:tcPr>
            <w:tcW w:w="4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gridSpan w:val="3"/>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jc w:val="center"/>
              <w:ind w:left="79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7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(36,684)</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(22,890)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(69,398)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(49,991)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933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recorded effective tax rate differs from the U.S. statutory rate primarily due to an increase in the domestic valuation allowance caused by tax losses, foreign withholding taxes, foreign tax rate differentials from the U.S. domestic statutory tax rate and tax benefit resulting from acquisitions.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MEASUREMENTS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financial instruments that are measured or disclosed at fair value on a recurring basis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6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17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31"/>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bills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9"/>
        </w:trPr>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159,462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6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51"/>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acquisition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0" w:type="dxa"/>
            <w:vAlign w:val="bottom"/>
          </w:tcPr>
          <w:p>
            <w:pPr>
              <w:spacing w:after="0"/>
              <w:rPr>
                <w:sz w:val="1"/>
                <w:szCs w:val="1"/>
                <w:color w:val="auto"/>
              </w:rPr>
            </w:pPr>
          </w:p>
        </w:tc>
      </w:tr>
      <w:tr>
        <w:trPr>
          <w:trHeight w:val="271"/>
        </w:trPr>
        <w:tc>
          <w:tcPr>
            <w:tcW w:w="6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60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9"/>
        </w:trPr>
        <w:tc>
          <w:tcPr>
            <w:tcW w:w="60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31"/>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6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bills</w:t>
            </w:r>
          </w:p>
        </w:tc>
        <w:tc>
          <w:tcPr>
            <w:tcW w:w="124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35,961</w:t>
            </w:r>
          </w:p>
        </w:tc>
        <w:tc>
          <w:tcPr>
            <w:tcW w:w="1540" w:type="dxa"/>
            <w:vAlign w:val="bottom"/>
            <w:gridSpan w:val="2"/>
            <w:shd w:val="clear" w:color="auto" w:fill="CCEEFF"/>
          </w:tcPr>
          <w:p>
            <w:pPr>
              <w:jc w:val="right"/>
              <w:ind w:right="12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59"/>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54,542</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71"/>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90,503</w:t>
            </w:r>
          </w:p>
        </w:tc>
        <w:tc>
          <w:tcPr>
            <w:tcW w:w="1540" w:type="dxa"/>
            <w:vAlign w:val="bottom"/>
            <w:gridSpan w:val="2"/>
            <w:shd w:val="clear" w:color="auto" w:fill="CCEEFF"/>
          </w:tcPr>
          <w:p>
            <w:pPr>
              <w:jc w:val="right"/>
              <w:ind w:right="12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Acquisition Liabilities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Holdback Consideration</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reconciliation of the Company's Contingent Holdback Consideration measured at fair value, including the effect of measurement period adjustments, on a recurring basis using unobservable inputs (Level 3)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SYNQ3</w:t>
            </w: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5"/>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9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3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6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6"/>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9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9"/>
        </w:trPr>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6"/>
        </w:trPr>
        <w:tc>
          <w:tcPr>
            <w:tcW w:w="96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cash portion of the Contingent Holdback Consideration was estimated based upon the holdback period of fifteen months, and discounted using the risk-free interest rate based on the U.S. Treasury zero-coupon yield curve on the valuation date for a maturity similar to the fifteen-month holdback period. The fair value of the equity portion of the Contingent Holdback Consideration was estimated based upon the value of the Company’s Class A Common Stock price.</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fair value of the Contingent Holdback Consideration was initially measured on January 3, 2024, the date on which the Company completed the acquisition of SYNQ3. For the three and six months ended June 30, 2024, the Company recognized a $1.2 million gain and a $0.3 million loss, respectively, related to the Contingent Holdback Consideration.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Contingent Holdback Consideration has been estimated as of the Closing Date and June 30, 2024, under the following assumptions: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500" w:type="dxa"/>
            <w:vAlign w:val="bottom"/>
            <w:shd w:val="clear" w:color="auto" w:fill="CCEEFF"/>
          </w:tcPr>
          <w:p>
            <w:pPr>
              <w:spacing w:after="0"/>
              <w:rPr>
                <w:sz w:val="22"/>
                <w:szCs w:val="22"/>
                <w:color w:val="auto"/>
              </w:rPr>
            </w:pPr>
          </w:p>
        </w:tc>
        <w:tc>
          <w:tcPr>
            <w:tcW w:w="208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January 3, 2024</w:t>
            </w:r>
          </w:p>
        </w:tc>
        <w:tc>
          <w:tcPr>
            <w:tcW w:w="166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3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6"/>
        </w:trPr>
        <w:tc>
          <w:tcPr>
            <w:tcW w:w="75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Holdback period</w:t>
            </w:r>
          </w:p>
        </w:tc>
        <w:tc>
          <w:tcPr>
            <w:tcW w:w="2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1.25 years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years</w:t>
            </w:r>
          </w:p>
        </w:tc>
      </w:tr>
      <w:tr>
        <w:trPr>
          <w:trHeight w:val="26"/>
        </w:trPr>
        <w:tc>
          <w:tcPr>
            <w:tcW w:w="75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Earnout Consideration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Earnout Consideration measured at fair value on a recurring basis using unobservable inputs (Level 3)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SYNQ3</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5"/>
        </w:trPr>
        <w:tc>
          <w:tcPr>
            <w:tcW w:w="8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3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5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r>
      <w:tr>
        <w:trPr>
          <w:trHeight w:val="25"/>
        </w:trPr>
        <w:tc>
          <w:tcPr>
            <w:tcW w:w="8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58"/>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r>
      <w:tr>
        <w:trPr>
          <w:trHeight w:val="20"/>
        </w:trPr>
        <w:tc>
          <w:tcPr>
            <w:tcW w:w="8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recognized a loss of $0.1 million and $2.7 million, respectively, related to the Contingent Earnout Consideration, reflected in the change in fair value of contingent acquisition liabilities in the condensed consolidated statement of operations and comprehensive loss.</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utilizes a Monte Carlo simulation to value the Contingent Earnout Consideration. The Company selected this model as it believes it is reflective of all significant assumptions that market participants would likely consider in negotiating the transfer of the Contingent Earnout Consideration. Such assumptions include, among other inputs, expected stock price volatility, risk-free rates, and change in control assumptions. The Company estimates the expected volatility of its common stock based on historical volatility of a peer group, considering the remaining term of the Contingent Earnout Consideration. The risk-free interest rate is based on the U.S. Treasury zero-coupon yield curve on the valuation date for a maturity similar to the expected remaining life of the Contingent Earnout Consideration. The expected life of the Contingent Earnout Consideration is assumed to be equivalent to their remaining contractual term. The dividend rate is based on the historical rate, which the Company anticipates to remain at zero.</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the Contingent Earnout Consideration has been estimated as of the Closing Date and June 30, 2024, with the following assumptions for the unobservable inputs: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680" w:type="dxa"/>
            <w:vAlign w:val="bottom"/>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January 3, 2024</w:t>
            </w:r>
          </w:p>
        </w:tc>
        <w:tc>
          <w:tcPr>
            <w:tcW w:w="15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12.6 %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5"/>
        </w:trPr>
        <w:tc>
          <w:tcPr>
            <w:tcW w:w="76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5"/>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9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115.3 %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r>
      <w:tr>
        <w:trPr>
          <w:trHeight w:val="24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5"/>
        </w:trPr>
        <w:tc>
          <w:tcPr>
            <w:tcW w:w="76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5"/>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0.0 %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9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0.5 - 2.5 years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0.25 - 2 years</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three and six months ended June 30, 2024 and 2023.</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REVISION OF PREVIOUSLY ISSUED FINANCIAL STATEMENTS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period ended September 30, 2023, the Company identified immaterial prior period errors related to following: 1) accounting for the ELOC as a derivative instrument; 2) classification of Lender Fees and allocation of the warrants in connection with the Term Loan; and 3) the incorrect recording of in-kind dividends associated with the Company’s Series A Preferred Stock. The identified errors were included in the Company's previously issued quarterly condensed consolidated financial statements for the three and six months ended June 30, 2023.</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SEC Staff Accounting Bulletin No. 99, “Materiality,” and SEC Staff Accounting Bulletin No. 108, “Considering the Effects of Prior Year Misstatements when Quantifying Misstatements in Current Year Financial Statements;” the Company evaluated the errors and determined that the related impacts were not material to its condensed consolidated financial statements for the prior year periods when they occurred, but the Company determined it would be appropriate to correct the errors in the current period in the Company’s consolidated statements of operations and comprehensive loss, consolidated balance sheets, consolidated statements of cash flows or consolidated statements of stockholders’ deficit for any periods impacted.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revised the previously issued condensed consolidated balance sheets, condensed consolidated statements of operations and comprehensive loss, condensed consolidated statements of cash flows and condensed consolidated statements of redeemable convertible preferred stock and stockholders’ deficit as of and for the three and six months ended June 30, 2023, and as of and for the three months ended March 31, 2023. All relevant prior period amounts affected by these revisions have been corrected in the notes in this Form 10-Q.</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tables reflect the impact of these revisions on the Company’s unaudited condensed consolidated financial statements as of and for the three and six months ended June 30, 2023 (</w:t>
      </w:r>
      <w:r>
        <w:rPr>
          <w:rFonts w:ascii="Times New Roman" w:cs="Times New Roman" w:eastAsia="Times New Roman" w:hAnsi="Times New Roman"/>
          <w:sz w:val="18"/>
          <w:szCs w:val="18"/>
          <w:i w:val="1"/>
          <w:iCs w:val="1"/>
          <w:color w:val="auto"/>
        </w:rPr>
        <w:t>dollars in thousands, except per share amounts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June 30, 2023</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1"/>
        </w:trPr>
        <w:tc>
          <w:tcPr>
            <w:tcW w:w="4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5"/>
        </w:trPr>
        <w:tc>
          <w:tcPr>
            <w:tcW w:w="42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w:t>
            </w:r>
          </w:p>
        </w:tc>
      </w:tr>
      <w:tr>
        <w:trPr>
          <w:trHeight w:val="24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24,131</w:t>
            </w:r>
          </w:p>
        </w:tc>
      </w:tr>
      <w:tr>
        <w:trPr>
          <w:trHeight w:val="25"/>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2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82,300</w:t>
            </w:r>
          </w:p>
        </w:tc>
      </w:tr>
      <w:tr>
        <w:trPr>
          <w:trHeight w:val="24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5"/>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118,968</w:t>
            </w:r>
          </w:p>
        </w:tc>
      </w:tr>
      <w:tr>
        <w:trPr>
          <w:trHeight w:val="24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567,794</w:t>
            </w:r>
          </w:p>
        </w:tc>
      </w:tr>
      <w:tr>
        <w:trPr>
          <w:trHeight w:val="25"/>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(554,179)</w:t>
            </w:r>
          </w:p>
        </w:tc>
      </w:tr>
      <w:tr>
        <w:trPr>
          <w:trHeight w:val="24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38,610</w:t>
            </w:r>
          </w:p>
        </w:tc>
      </w:tr>
      <w:tr>
        <w:trPr>
          <w:trHeight w:val="25"/>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157,578</w:t>
            </w:r>
          </w:p>
        </w:tc>
      </w:tr>
      <w:tr>
        <w:trPr>
          <w:trHeight w:val="889"/>
        </w:trPr>
        <w:tc>
          <w:tcPr>
            <w:tcW w:w="4260" w:type="dxa"/>
            <w:vAlign w:val="bottom"/>
          </w:tcPr>
          <w:p>
            <w:pPr>
              <w:spacing w:after="0"/>
              <w:rPr>
                <w:sz w:val="24"/>
                <w:szCs w:val="24"/>
                <w:color w:val="auto"/>
              </w:rPr>
            </w:pPr>
          </w:p>
        </w:tc>
        <w:tc>
          <w:tcPr>
            <w:tcW w:w="23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2"/>
        </w:trPr>
        <w:tc>
          <w:tcPr>
            <w:tcW w:w="426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7"/>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2023</w:t>
            </w: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1"/>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5"/>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(23,307)</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accrual of Series A Preferred Stock paid-in-kind dividends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(21,932)</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(24,184)</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6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5"/>
        </w:trPr>
        <w:tc>
          <w:tcPr>
            <w:tcW w:w="6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7"/>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Six Months Ended June 30, 2023</w:t>
            </w: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1"/>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5"/>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(41,685)</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(49,991)</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(50,737)</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accrual of Series A Preferred Stock paid-in-kind dividends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(48,301)</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(52,296)</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6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5"/>
        </w:trPr>
        <w:tc>
          <w:tcPr>
            <w:tcW w:w="6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7"/>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2023</w:t>
            </w:r>
          </w:p>
        </w:tc>
      </w:tr>
      <w:tr>
        <w:trPr>
          <w:trHeight w:val="25"/>
        </w:trPr>
        <w:tc>
          <w:tcPr>
            <w:tcW w:w="5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1"/>
        </w:trPr>
        <w:tc>
          <w:tcPr>
            <w:tcW w:w="5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 (Deficit)</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5"/>
        </w:trPr>
        <w:tc>
          <w:tcPr>
            <w:tcW w:w="5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8"/>
              </w:rPr>
              <w:t>3,597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567,794</w:t>
            </w: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8"/>
              </w:rPr>
              <w:t>(3,776)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(554,179)</w:t>
            </w:r>
          </w:p>
        </w:tc>
      </w:tr>
      <w:tr>
        <w:trPr>
          <w:trHeight w:val="26"/>
        </w:trPr>
        <w:tc>
          <w:tcPr>
            <w:tcW w:w="5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8"/>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(23,307)</w:t>
            </w:r>
          </w:p>
        </w:tc>
      </w:tr>
      <w:tr>
        <w:trPr>
          <w:trHeight w:val="889"/>
        </w:trPr>
        <w:tc>
          <w:tcPr>
            <w:tcW w:w="5360" w:type="dxa"/>
            <w:vAlign w:val="bottom"/>
          </w:tcPr>
          <w:p>
            <w:pPr>
              <w:spacing w:after="0"/>
              <w:rPr>
                <w:sz w:val="24"/>
                <w:szCs w:val="24"/>
                <w:color w:val="auto"/>
              </w:rPr>
            </w:pPr>
          </w:p>
        </w:tc>
        <w:tc>
          <w:tcPr>
            <w:tcW w:w="12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1"/>
        </w:trPr>
        <w:tc>
          <w:tcPr>
            <w:tcW w:w="53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7"/>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Six Months Ended June 30, 2023</w:t>
            </w: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1"/>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5"/>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(50,737)</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(34,201)</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common stock under the ELOC program, net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71,455</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154,558</w:t>
            </w:r>
          </w:p>
        </w:tc>
      </w:tr>
      <w:tr>
        <w:trPr>
          <w:trHeight w:val="265"/>
        </w:trPr>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unpaid debt issuance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debt discount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to settle commitment shares related to the ELOC program</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July 2024, the Company sold 10,465,581 shares of our common stock under the Equity Distribution Agreement at an average price of $4.74 per share for $49.6 million of gross proceeds. The commissions and offering costs borne by the Company were approximately $1.2 million. Following this issuance, the Company has fully utilized the capacity to sell Company's common stock under the Equity Distribution Agreement.</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August 6, 2024, the Company acquired all the capital stock of Amelia Holdings, Inc., a privately-held company which provides a conversational AI platform, for approximately $80.0 million of consideration, consisting of $10.0 million of cash and 13,084,112 shares of the Company's Class A Common Stock, subject to adjustments set forth in the purchase agreement. In addition, the Company has agreed to issue up to 16,822,429 shares of its Class A Common Stock in additional consideration to the sellers based on the achievement of certain revenue targets for 2025 and 2026. In connection with the transaction, the Company assumed a senior secured term loan facility with a maturity date of June 30, 2026, and on August 7, 2024, the Company paid $70.0 million to retire a majority of the assumed debt, leaving a remaining balance of approximately $39.7 million. Given the acquisition date, the Company is in the process of developing its fair value assumptions for the consideration, assets acquired, and liabilities assumed. As a result, we are unable to provide the amounts recognized as of the acquisition date for the major classes of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4" w:lineRule="exact"/>
        <w:rPr>
          <w:sz w:val="20"/>
          <w:szCs w:val="20"/>
          <w:color w:val="auto"/>
        </w:rPr>
      </w:pPr>
    </w:p>
    <w:p>
      <w:pPr>
        <w:jc w:val="both"/>
        <w:ind w:firstLine="318"/>
        <w:spacing w:after="0" w:line="201"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SoundHound should be read together with our unaudited interim condensed consolidated financial statements and the related notes thereto included elsewhere in this Quarterly Report on Form 10-Q ("Form 10-Q") and the audited consolidated financial statements and notes thereto and Management’s Discussion and Analysis of Financial Condition and Results of Operation as of and for the year ended December 31, 2023 (“2023”) included in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 K for 2023 filed with the SEC on March 1, 2024 ("Form 10-K"). Some of the information contained in this discussion and analysis or set forth elsewhere in this report,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pacing w:after="0" w:line="185"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i w:val="1"/>
          <w:iCs w:val="1"/>
          <w:color w:val="auto"/>
        </w:rPr>
        <w:t>We have revised the previously issued condensed consolidated statements of operations and comprehensive loss, condensed consolidated balance sheets, condensed consolidated statements of cash flows and condensed consolidated statements of stockholders’ deficit tables as of and for the three and six months ended June 30, 2023 to correct for such errors as described in Note 18 of our notes to the condensed consolidated financial statements. All relevant prior period amounts affected by these revisions have been corrected in Management’s Discussion and Analysis of Financial Condition and Results of Operation in this Form 10-Q.</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1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5" w:lineRule="exact"/>
        <w:rPr>
          <w:sz w:val="20"/>
          <w:szCs w:val="20"/>
          <w:color w:val="auto"/>
        </w:rPr>
      </w:pPr>
    </w:p>
    <w:p>
      <w:pPr>
        <w:ind w:right="440" w:firstLine="318"/>
        <w:spacing w:after="0" w:line="251"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155 patents granted and over 115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over $140 billion per year by 2024.</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our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believe that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 of the product. For example, the product could be a TV, a coffee machine, a car, a wearable device, a robot, a smart speaker, an appliance or other devices,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few seconds, but it can take many steps to use alternative interfaces such as a remote control or a companion app.</w:t>
      </w:r>
    </w:p>
    <w:p>
      <w:pPr>
        <w:spacing w:after="0" w:line="1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up to your coffee machine and asking for a triple shot extra hot latte. While you are waiting for your drink, you can ask for weather and sports scores, and if you desire, you can even order bagels from your favorite nearby bakery.</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collects royalty revenue when our technology is placed in a car, smart speaker or an appliance, for example.</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7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third pillar seeks to create a monetization ecosystem that brings the services from pillar two to the products in pillar one. When the users of a voice-enabled product in pillar one access the voice-enabled services of pillar two, these services generate new leads and transactions. SoundHound will generate monetization revenue from the services for generating these leads and transactions, and we will share the revenue with the product creators of pillar one.</w:t>
      </w:r>
    </w:p>
    <w:p>
      <w:pPr>
        <w:spacing w:after="0" w:line="159"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w:t>
      </w:r>
    </w:p>
    <w:p>
      <w:pPr>
        <w:spacing w:after="0" w:line="185"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During the periods presented in the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over time, from leads and transactions on voice-enabled products from voice-enabled services, which we expect will provide much more seamless opportunities for consumers to access goods and services that they covet as we further build out and scale the voice-enabled ecosystem.</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While all three pillars contribute to our revenues today, the majority of the contribution is currently from our first pillar with only a small contribution from pillar three from our music identification app. Over time, the subscription and monetization portions are expected to grow and make a bigger contribution to our overall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SYNQ3 Acquisition</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December 2023, we entered an Agreement and Plan of Merger with a closing date of January 3, 2024 with Synq3, Inc. ("SYNQ3"), a leading provider of voice AI and other technology solutions to the restaurant industry, to acquire its issued and outstanding equity. The acquisition of SYNQ3 is expected to expand our AI customer service solutions and create the largest Voice AI provider for restaurants. We believe the acquisition will significantly extend our market reach to over 10,000 signed locations and accelerate the deployment of leading-edge generative AI capabilities to the industry — strengthening SoundHound’s leadership as we move to rapidly roll out our proprietary AI solutions to restaurants across the U.S. and beyond. Together, with a total of more than 25 national and multinational chains, the highly complementary businesses will match nearly two decades of SoundHound AI innovation with decades of SYNQ3 industry expertise and established relationships. We have incurred certain significant costs relating to the Acquisition, such as legal, accounting, financial advisory, printing and other professional services fees, as well as other customary payments.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1A. Risk Factors" in our Form 10-K for a discussion regarding the risks associated with the acquisitions.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entered into an Equity Distribution Agreement (the “Equity Distribution Agreement”) on April 9, 2024 with Citigroup Global Markets Inc., Barclays Capital Inc., Wedbush Securities Inc., Northland Securities, Inc. and Ladenburg Thalmann &amp; Co. Inc. (collectively, the "Managers") with respect to an at-the-market equity program. Under this program, we may offer and sell aggregate gross sale proceeds up to $150.0 million of shares of our Class A Common Stock ("Class A Common Stock") through the Managers. As of July 11, 2024, we have fully utilized the capacity to sell common stock under the Equity Distribution Agreement. Refer to the "Liquidity and Capital Resources" section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Demands, Commitments, Events or Uncertainties Impacting Our Business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many factors that present significant opportunities for us but also pose risks and challenges, including the following:</w:t>
      </w:r>
    </w:p>
    <w:p>
      <w:pPr>
        <w:spacing w:after="0" w:line="159" w:lineRule="exact"/>
        <w:rPr>
          <w:sz w:val="20"/>
          <w:szCs w:val="20"/>
          <w:color w:val="auto"/>
        </w:rPr>
      </w:pPr>
    </w:p>
    <w:p>
      <w:pPr>
        <w:jc w:val="both"/>
        <w:ind w:left="640" w:hanging="316"/>
        <w:spacing w:after="0" w:line="25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in our technology in the form of dedicated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We will continue to invest in the development of our software platform to deliver consumers with continually improving value and delight. Our investments include continuous enhancements to our technology we've developed over the last two decades, investments in data to help refine and improve our underlying algorithms and other costs to attract and retain a world-class technical workforce.</w:t>
      </w:r>
    </w:p>
    <w:p>
      <w:pPr>
        <w:spacing w:after="0" w:line="176" w:lineRule="exact"/>
        <w:rPr>
          <w:rFonts w:ascii="Times New Roman" w:cs="Times New Roman" w:eastAsia="Times New Roman" w:hAnsi="Times New Roman"/>
          <w:sz w:val="18"/>
          <w:szCs w:val="18"/>
          <w:color w:val="auto"/>
        </w:rPr>
      </w:pPr>
    </w:p>
    <w:p>
      <w:pPr>
        <w:jc w:val="both"/>
        <w:ind w:left="640" w:hanging="316"/>
        <w:spacing w:after="0" w:line="24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Revenue Growth. </w:t>
      </w:r>
      <w:r>
        <w:rPr>
          <w:rFonts w:ascii="Times New Roman" w:cs="Times New Roman" w:eastAsia="Times New Roman" w:hAnsi="Times New Roman"/>
          <w:sz w:val="18"/>
          <w:szCs w:val="18"/>
          <w:color w:val="auto"/>
        </w:rPr>
        <w:t>Our commercial success, including acceptance and use of our applications, will depend on a number of factors, some of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As we build new customer relationships, we continually focus on maintaining and growing our existing relationships through long-term partnerships through significant upfront investment in customer specific engineering projects. Additionally, we may look to acquire other companies in the industry to develop synergies with our existing business.</w:t>
      </w:r>
    </w:p>
    <w:p>
      <w:pPr>
        <w:spacing w:after="0" w:line="187"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 increase our gross margins by scaling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76"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 affected by many factors, including seasonal demand.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anticipate that we will experience fluctuations in customer and user demand based on seasonality. For example, in the past, we have seen approximately one third of our revenue in the first half of the year with the remaining two thirds in the second half. Additionally, given that we address markets across several different industry verticals, the associated overall seasonality impact to us may not be consistent year-to-year.</w:t>
      </w:r>
    </w:p>
    <w:p>
      <w:pPr>
        <w:spacing w:after="0" w:line="176" w:lineRule="exact"/>
        <w:rPr>
          <w:rFonts w:ascii="Times New Roman" w:cs="Times New Roman" w:eastAsia="Times New Roman" w:hAnsi="Times New Roman"/>
          <w:sz w:val="18"/>
          <w:szCs w:val="18"/>
          <w:color w:val="auto"/>
        </w:rPr>
      </w:pPr>
    </w:p>
    <w:p>
      <w:pPr>
        <w:jc w:val="both"/>
        <w:ind w:left="640" w:hanging="316"/>
        <w:spacing w:after="0" w:line="26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 reach. For example, we have globalized our 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include 25 languages. We view opportunities for conversational Voice AI to be global in reach, and we expect our growth to be fueled across multiple geographies.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SoundHound generates revenues through: (1) “Product Royalties,” meaning royalties from voice-enabled products which are driven by volume, usage or life of applicable products and are affected by number of devices, users and units of usage, (2) “Service Subscriptions,” meaning subscription revenues, derived from monthly fees based on usage-based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revenue per query or revenue per user, and (3) “Monetization,” meaning revenues generated from focused ad targeting to users of products and services that employ our technologies. Currently, our monetization revenue is derived only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$10.6 million as of June 30, 2024. Given the applicable contract terms, $5.5 million is expected to be recognized as revenue within one year, $3.1 million is expected to be recognized between 2 to 5 years and the remainder of $2.0 million is expected to be recognized after 5 years.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acquisitions, the supply and demand of end user products such as automobiles, the size and success of our sales force and the number of users who are aware of and use our application. See Note 4 to our unaudited condensed consolidated financial statements included within this report for more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classify our operating expenses into the following seven categories, which are cost of revenues, sales and marketing, research and development, general and administrative, change in fair value of contingent acquisition liabilities, amortization of intangible assets and restructuring. With respect to sales and marketing, research and development, and general and administrative, each expense category includes overhead, including rent and related occupancy costs, which is allocated based on headcount. We plan to continue investing to support our go-to-market strategies and customer engagement, develop our current and future applications and support our operations as a public company. While our gross margin may continue to fluctuate in the near-term due to revenue contributions from varying product mixes, as well as acquisitions, we expect it will stabilize as we continue to scale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including personnel costs under call centers that are directly related to these revenue streams. Additionally, our cost of revenues also includes the amortization of developed technology acquired from SYNQ3 and other acquisition as intangible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Sales and marketing expenses consist of personnel-related costs of the sales and marketing team, promotional campaigns, advertising fees and other marketing related costs. Advertising costs are expensed to sales and marketing when incurred.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associated with the design and development of new products in the periods in which they are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Acquisition Liabilities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change in fair value of contingent acquisition liabilities is related to contingent consideration from the SYNQ3 acquisition. The contingent consideration was determined to be liability classified and is remeasured as of each reporting period with a corresponding change in fair value recorded.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Amortization of acquired customer relationships, tradename and conversation data is included within operating expenses and arises from the amortization of assets acquired through the acquisitions. We review intangible assets for impairment at least annually, or whenever events or changes in circumstances indicate that the carrying amount may not be recoverable. If an evaluation of recoverability is required, the estimated undiscounted future cash flows directly associated with the asset are compared with the asset’s carrying amount. If the estimated future cash flows from the use of the asset are less than the carrying value, an impairment charge would be recorded to write down the asset to its estimated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Restructuring expenses consisted of employee severance payments, employee benefits and share-based compensation related to reduced headcount from our restructuring plan ("Restructuring Plan") announced in January 2023. The Restructuring Plan was complete as of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Loss on extinguishment of debt represents the loss associated with the repayment of the Senior Secured Term Loan Credit Agreement with ACP Post OAK Credit II LLC (the "Term Loan") in June 2024 and the repayment of the 2021 note payable ("SVB March 2021 Note") and 2021 convertible note ("SCI June 2021 Note") in April 2023. See Note 9 to our unaudited condensed consolidated financial statements included within this report for more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formerly outstanding convertible notes and term debt during the relevant periods, as well as the amortization of debt discounts and issuance costs over the life of the instruments or a shorter period if a lender can demand payment in the event certain events occur that are outside of our control.</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issuance of debt instruments with direct transaction costs, embedded derivatives and warrant instruments has resulted in debt discounts. Direct transaction costs consist of various transaction fees and third-party costs, such as bank and legal fees, that are incurred upon issuance. We expect the impact of the discounts from debt issuance costs to the interest expense will decrease due to the repayment of Term Loan in June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Other income (expense), net consists of the change in fair value related to our derivative liability, interest income, gain on bargain purchase and other income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Income tax expense includes federal, state and foreign taxes and is based on reported income before income taxes. We are in a cumulative loss position for tax purposes based on historical earnings. As of December 31, 2023, we had $395.5 million of U.S. federal and $109.4 million of state net operating loss carryforwards available to reduce future taxable income. The federal and state net operating loss carryforwards will start to expire in 2025 and 2028, respectively, with the exception of $306.8 million federal net operating loss carryforwards and $5.6 million state net operating loss carryforwards, which can be carried forward indefinitely.</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had federal and state research and development credit carryforwards of $14.4 million and $10.9 million, respectively, as of December 31, 2023. The federal credits will expire starting in 2029 if not utilized. The state credits can be carried forward indefinitely. We also had Canadian SR&amp;ED tax credits of $1.7 million, which expire starting in 2038 if not utilized.</w:t>
      </w:r>
    </w:p>
    <w:p>
      <w:pPr>
        <w:spacing w:after="0" w:line="16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utilization of net operating loss carryforwards and tax credits may be subject to annual limitations due to certain ownership changes. Our net operating loss carryforwards and tax credits could expire before utilization if subject to annual limitations.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set forth the significant components of our results of operations for the three and six months ended June 30, 2024 and 2023 ($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35,447</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(21,985)</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1762 %</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33"/>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6"/>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(36,684)</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6"/>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(37,322)</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0"/>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75,570</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(50,514)</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5"/>
        </w:trPr>
        <w:tc>
          <w:tcPr>
            <w:tcW w:w="49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4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1762 %</w:t>
            </w:r>
          </w:p>
        </w:tc>
      </w:tr>
      <w:tr>
        <w:trPr>
          <w:trHeight w:val="26"/>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6"/>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(18,884)</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3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(69,398)</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5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(70,331)</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Not meaningful</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gross profit and gross margin ($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tcPr>
          <w:p>
            <w:pPr>
              <w:spacing w:after="0"/>
              <w:rPr>
                <w:sz w:val="18"/>
                <w:szCs w:val="18"/>
                <w:color w:val="auto"/>
              </w:rPr>
            </w:pPr>
          </w:p>
        </w:tc>
      </w:tr>
      <w:tr>
        <w:trPr>
          <w:trHeight w:val="233"/>
        </w:trPr>
        <w:tc>
          <w:tcPr>
            <w:tcW w:w="6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6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8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8,751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4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5"/>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8,482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58"/>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580" w:type="dxa"/>
            <w:vAlign w:val="bottom"/>
          </w:tcPr>
          <w:p>
            <w:pPr>
              <w:spacing w:after="0"/>
              <w:rPr>
                <w:sz w:val="18"/>
                <w:szCs w:val="18"/>
                <w:color w:val="auto"/>
              </w:rPr>
            </w:pPr>
          </w:p>
        </w:tc>
      </w:tr>
      <w:tr>
        <w:trPr>
          <w:trHeight w:val="233"/>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8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25,056</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15,458</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9,649</w:t>
            </w:r>
          </w:p>
        </w:tc>
        <w:tc>
          <w:tcPr>
            <w:tcW w:w="80" w:type="dxa"/>
            <w:vAlign w:val="bottom"/>
          </w:tcPr>
          <w:p>
            <w:pPr>
              <w:spacing w:after="0"/>
              <w:rPr>
                <w:sz w:val="20"/>
                <w:szCs w:val="20"/>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5"/>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15,407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11,652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58"/>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summarize our revenues by type and geographic regions for the three and six months ended June 30, 2024 and 2023 ($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789 %</w:t>
            </w:r>
          </w:p>
        </w:tc>
      </w:tr>
      <w:tr>
        <w:trPr>
          <w:trHeight w:val="26"/>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803 %</w:t>
            </w:r>
          </w:p>
        </w:tc>
      </w:tr>
      <w:tr>
        <w:trPr>
          <w:trHeight w:val="26"/>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25,056</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50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gridSpan w:val="3"/>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446 %</w:t>
            </w:r>
          </w:p>
        </w:tc>
      </w:tr>
      <w:tr>
        <w:trPr>
          <w:trHeight w:val="25"/>
        </w:trPr>
        <w:tc>
          <w:tcPr>
            <w:tcW w:w="4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5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13,462</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0"/>
        </w:trPr>
        <w:tc>
          <w:tcPr>
            <w:tcW w:w="4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80" w:type="dxa"/>
            <w:vAlign w:val="bottom"/>
          </w:tcPr>
          <w:p>
            <w:pPr>
              <w:spacing w:after="0"/>
              <w:rPr>
                <w:sz w:val="20"/>
                <w:szCs w:val="20"/>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Pr>
          <w:p>
            <w:pPr>
              <w:spacing w:after="0"/>
              <w:rPr>
                <w:sz w:val="20"/>
                <w:szCs w:val="20"/>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5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25,056</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Total revenues increased by $4.7 million, or 54%, in the three months ended June 30, 2024 compared to the same period in 2023. The increase of $3.2 million in service subscription revenue, primarily based in the Americas, was driven by the contribution of SYNQ3 revenue. There was also an increase in product royalties revenue due to unit-based royalty increases from customers in the Asia and EMEA regions.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Total revenues increased by $9.6 million, or 62%, in the six months ended June 30, 2024 compared to the same period in 2023. The increase of $6.4 million in service subscription revenue, primarily based in the Americas, was driven by the contribution of SYNQ3 revenue. There was also an increase in product royalties revenue due to unit-based royalty increases and professional services from customers in the Asia and EMEA regions.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Cost of revenues increased by $3.2 million, or 172%, and $5.8 million, or 154% in the three and six months ended June 30, 2024, respectively, compared to the same periods in 2023. Gross margin decreased to 63% and 61% during the</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three and six months ended June 30, 2024, respectively, compared to 79% and 75% during the same periods in 2023 primarily due to the acquisition of SYNQ3, which included a mix of lower margin call center agent business and amortization of acquired intangible assets. In the past, our gross margin has fluctuated and may continue to fluctuate from quarter to quarter due to revenue contributions from varying product mixes. However, we expect to gradually improve gross margins in the mid-term, especially as it relates the integration of SYNQ3.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Sales and marketing expenses increased by $0.6 million, or 11%, in the three months ended June 30, 2024 compared to the same period in 2023, primarily due to increases in 2024 of $0.5 million in personnel-related costs, $0.2 million in consulting fees and $0.1 million in travel expenses, which were partially offset by a decrease of $0.2 million incurred for information technology and facility allocations.</w:t>
      </w:r>
    </w:p>
    <w:p>
      <w:pPr>
        <w:spacing w:after="0" w:line="178"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Sales and marketing expenses increased by $1.2 million, or 12%, in the six months ended June 30, 2024 compared to the same period in 2023, primarily due to increases in 2024 of $1.3 million in personnel-related costs and $0.3 million in consulting fees, which were partially offset by a decrease of $0.4 million incurred for information technology and facility allocations.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increased by $4.0 million, or 34%, in the three months ended June 30, 2024 compared to the same period in 2023. The increase in research and development expenses was primarily due to increased personnel-related costs of $3.0 million, spending on cloud computing services of $1.4 million and consulting fees of $0.2 million. This is partially offset by the reduced information technology and facility allocations of $0.3 million, legal and professional fees of $0.2 million and office expenses of $0.1 million. Included in the research and development expense is an increase of $1.1 million arising from the SYNQ3 acquisition, stemming from increased personnel-related costs.</w:t>
      </w:r>
    </w:p>
    <w:p>
      <w:pPr>
        <w:spacing w:after="0" w:line="1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increased by $4.7 million, or 18%, in the six months ended June 30, 2024 compared to the same period in 2023. The increase in research and development expenses was primarily due to increased personnel-related costs of $3.9 million and spending on cloud computing services of $2.6 million. This is partially offset by the reduced information technology and facility allocations of $1.2 million, office expenses of $0.3 million, legal and professional fees of $0.2 million and equipment rental fee of $0.1 million. Included in the research and development expense is an increase of $1.7 million arising from the SYNQ3 acquisition, stemming from increased personnel-related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increased by $3.1 million, or 48%, in the three months ended June 30, 2024 compared to the same period in 2023. The increase in general and administrative expenses was primarily due to an increase of $2.5 million in legal and professional fees, of which $0.5 million relate to the SYNQ3 Acquisition, $0.5 million in personnel-related costs, $0.4 million in information technology and facility allocations, and $0.2 million in bad debt expenses. The SYNQ3 Acquisition led to increases in personnel-related costs, amortization expense and office expenses. This increase was offset by reductions of $0.2 million in consulting fees, $0.2 million in insurance expense and $0.2 million in property-related expenses.</w:t>
      </w:r>
    </w:p>
    <w:p>
      <w:pPr>
        <w:spacing w:after="0" w:line="18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General and administrative expenses increased by $6.1 million, or 44%, in the six months ended June 30, 2024 compared to the same period in 2023. The increase in general and administrative expenses was primarily due to an increase of $4.6 million in legal and professional fees, of which $0.8 million relate to the SYNQ3 Acquisition, $1.6 million in information technology and facility allocations, $1.6 million in personnel-related costs and $0.3 million in bad debt expenses. The SYNQ3 Acquisition led to increases in personnel-related costs, amortization expense and office expenses. This increase was offset by reductions of $0.9 million in office expenses, $0.7 million in insurance expense, $0.3 million in consulting fees and $0.1 million in property-related expenses.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the short term as we invest in our control environment. However, in the long term, we expect general and administrative expenses to grow at a rate below that of our revenue, aligning with our strategic emphasis on cost effectiveness and sustainable financial performance.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Acquisition Liabilities</w:t>
      </w:r>
    </w:p>
    <w:p>
      <w:pPr>
        <w:spacing w:after="0" w:line="221"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change in fair value of acquisition related liabilities, which is driven by the movement in our stock price, was a gain of $1.1 million and a loss of $3.1 million for the three and six months ended June 30, 2024, respectively. We will continue to review our estimates on the quarterly basis over the remaining earnout period until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1"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Amortization of acquired developed technology is included within cost of revenues, while the amortization of other intangible assets, including acquired customer relationships, tradename and conversation data, are included within operating expenses. All intangible assets are amortized on a straight-line basis over their estimated useful lives.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amortization of intangible assets by operating expense category ($ in thousands):</w:t>
      </w:r>
    </w:p>
    <w:p>
      <w:pPr>
        <w:spacing w:after="0" w:line="26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62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0" w:type="dxa"/>
            <w:vAlign w:val="bottom"/>
            <w:gridSpan w:val="3"/>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Pr>
          <w:p>
            <w:pPr>
              <w:spacing w:after="0"/>
              <w:rPr>
                <w:sz w:val="20"/>
                <w:szCs w:val="20"/>
                <w:color w:val="auto"/>
              </w:rPr>
            </w:pPr>
          </w:p>
        </w:tc>
      </w:tr>
      <w:tr>
        <w:trPr>
          <w:trHeight w:val="26"/>
        </w:trPr>
        <w:tc>
          <w:tcPr>
            <w:tcW w:w="4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2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
        </w:trPr>
        <w:tc>
          <w:tcPr>
            <w:tcW w:w="4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8"/>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amortization</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620" w:type="dxa"/>
            <w:vAlign w:val="bottom"/>
            <w:gridSpan w:val="4"/>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gridSpan w:val="3"/>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
        </w:trPr>
        <w:tc>
          <w:tcPr>
            <w:tcW w:w="4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8"/>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amortization</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1"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There were no restructuring expenses resulting from the Restructuring Plan recorded in the three and six months ended June 30, 2024 as the Restructuring Plan was complete as of December 31, 2023, compared to $0.2 million and $3.8 million of expenses incurred in the three and six months ended June 30,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1"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Loss on extinguishment of debt increased by $14.8 million, or 1762% in the three and six months ended June 30, 2024 compared to the same periods in 2023. The increase in loss on extinguishment of debt was attributable to a $15.6 million loss on repayment of Term Loan in June 2024 compared to a $0.8 million loss on repayment of SVB March 2021 Note and SCI June 2021 Note in April, 2023. See Note 9 to our unaudited condensed consolidated financial statements included within this report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1"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Interest expense decreased by $0.6 million, or 14% in the three months ended June 30, 2024 compared to the same period in 2023. The decrease in interest expense was primarily attributable to the early repayment of Term Loan in June, 2024, resulting in the decrease in interest expense.</w:t>
      </w:r>
    </w:p>
    <w:p>
      <w:pPr>
        <w:spacing w:after="0" w:line="163"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Interest expense increased by $3.9 million, or 67% in the six months ended June 30, 2024 compared to the same period in 2023. The increase in interest expense was primarily attributable to higher interest cost of $6.0 million resulting from increased interest rate and higher outstanding balance, plus $1.5 million amortization of debt discounts on the Term Loan executed in April 2023 in the six months ended June 30, 2024, relative to those on our SVB March 2021 Note and SCI June 2021 Note, which were terminated at the time that the Term Loan was obtained. The increase in the interest expense was partially offset by the decrease in relation to the repayment of Term Loan in June, 2024. We expect interest expense will decrease as a result of the extinguishment of the debt.</w:t>
      </w:r>
    </w:p>
    <w:p>
      <w:pPr>
        <w:sectPr>
          <w:pgSz w:w="11900" w:h="16838" w:orient="portrait"/>
          <w:cols w:equalWidth="0" w:num="1">
            <w:col w:w="11340"/>
          </w:cols>
          <w:pgMar w:left="320" w:top="331" w:right="2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31" w:right="2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24"/>
        </w:trPr>
        <w:tc>
          <w:tcPr>
            <w:tcW w:w="694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following tables summarize our other income (expense), net, by type ($ in thousands):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6"/>
        </w:trPr>
        <w:tc>
          <w:tcPr>
            <w:tcW w:w="4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3"/>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6"/>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3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6"/>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4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3"/>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6"/>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3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ELOC commitment fees and reimbursement cost to Counterparty</w:t>
            </w:r>
          </w:p>
        </w:tc>
        <w:tc>
          <w:tcPr>
            <w:tcW w:w="3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5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280" w:hanging="274"/>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13"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Interest Income</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Interest income increased by $2.1 million, or 295%, and $3.8 million, or 432% in the three and six months ended June 30, 2024 compared to the same periods in 2023. The increase was primarily attributable to interest earned on greater money market and treasury bond balances during the three and six months ended June 30, 2024, as we engaged in significant transactions that increased our liquidity. Refer to "Liquidity and Capital Resources" for a discussion of the changes in our business that led to an increase in cash for the period ended June 30, 2024.</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Loss on Change in Fair Value of Equity Line of Credit Program</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recorded loss on changes in the fair value of the derivative liability associated with the ELOC (as defined below) of $1.3 million and $1.9 million for the three and six months ended June 30, 2023 as other income (expense), net on our consolidated statements of operations and comprehensive loss. There was no change in fair value of the derivative liability associated with the ELOC for the three and six months ended June 30, 2024 as we sold the entirety of the 25,000,000 shares under the ELOC during the year ended December 31, 2023.</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Gain on Bargain Purchase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gain on bargain purchase was $1.2 million recorded within other income (expense), net in the condensed consolidated statements of operations and comprehensive loss in the three and six months ended June 30, 2024 as a result of a favorable fair value of identifiable net assets acquired from an immaterial acquisition at the date of acquisition as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compared with the purchase price. See Note 3 to our unaudited condensed consolidated financial statements included within this report for more information.</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provision for income taxes ($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457"/>
        </w:trPr>
        <w:tc>
          <w:tcPr>
            <w:tcW w:w="4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3"/>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5"/>
        </w:trPr>
        <w:tc>
          <w:tcPr>
            <w:tcW w:w="4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Provision for income taxes increased by $221 thousand, or 53%, and $187 thousand, or 25% in the three and six months ended June 30, 2024, respectively, compared to the same periods in 2023. This increase was primarily attributed to increased withholding tax that resulted from increased billing to foreign customers partially offset by the increased tax benefit from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Total unrestricted cash and cash equivalents on hand as of June 30, 2024 was $200.2 million. Although we have incurred recurring losses each year since our inception, we expect we will be able to fund our operations for at least the next twelve months. We believe we will meet longer-term expected future cash requirements and obligations through a combination of cash flows from operating activities, available cash balances and sales of common stock under our Equity Distribution Agreement (as defined below). Our condensed consolidated financial statements have been prepared assuming that we will continue as a going concern, which contemplates, among other things, the realization of assets and satisfaction of liabilities in the normal course of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Cash and Material Cash Requirements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which are sourced primarily from the sale of marketable securities. The primary uses of cash include the funding of operating expenses, as well as acquisition related costs. There were no material changes to our material cash requirements as disclosed in our audited consolidated financial statements for the fiscal year ended December 31, 2023 in our Annual Report on Form 10-K (our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entered into the Equity Distribution Agreement with the Managers on April 9, 2024 with regards to an at-the-market equity program. Under this program, we may offer and sell aggregate gross sale proceeds up to $150.0 million of shares of our Class A Common Stock from time to time through the Managers. Sales of Class A Common Stock, if any, under the Equity Distribution Agreement will be made at market prices by any method that is deemed to be an “at the market offering” as defined in Rule 415 under the Securities Act. The Managers will be entitled to commission at a fixed rate of 2.5% of the gross sales price per share for their services in acting as agent in the sale of our Class A Common Stock. We will reimburse the Managers for certain specified expenses in connection with the execution of the Equity Distribution Agreement.</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and six months ended June 30, 2024, we sold 21,228,617 shares of our common stock under the Equity Distribution Agreement at an average price of $4.73 per share for $100.4 million of gross proceeds. After deducting approximately $2.5 million of commissions and offering costs incurred by us, the net proceeds from sales of common stock was $97.9 million.</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July 2024, we sold 10,465,581 shares of our common stock under the Equity Distribution Agreement at an average price of $4.74 per share for $49.6 million of gross proceeds. After deducting approximately $1.2 million of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commissions and offering costs incurred by us, the net proceeds from sales of common stock was $48.4 million. Following this issuance, we have fully utilized the capacity to sell Company's common stock under the Equity Distribution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SYNQ3 Acquisition</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January 3, 2024 (the "Closing Date"), we acquired all of the issued and outstanding equity of SYNQ3, a leading provider of voice AI and other technology solutions to the restaurant industry, for total preliminary purchase consideration of $15.7 million (the “SYNQ3 Acquisition”).</w:t>
      </w:r>
    </w:p>
    <w:p>
      <w:pPr>
        <w:spacing w:after="0" w:line="19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total preliminary purchase consideration includes $3.9 million in cash paid and 5,755,910 in shares of our Class A Common Stock issued as of the Closing Date. We also withheld purchase consideration of $0.5 million in cash and 1,179,514 shares of our Class A Common Stock, subject to customary net working capital adjustments, to partially secure the indemnification obligations of SYNQ3's former stockholders under the merger agreement and agreed to pay up to $0.8 million in cash and 1,434,936 in shares of our Class A Common Stock to certain former stockholders of SYNQ3 based upon the achievement of specified future milestones. We also issued 2,033,156 restricted shares of our Class A Common Stock subject to time and performance-based vesting conditions.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incurred $1.9 million in acquisition related expenses, of which $0.5 million and $0.8 million were incurred during the three and six months ended June 30, 2024, respectively, and recorded as general and administration expenses in its condensed consolidated statements of operations and comprehensive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Holdback</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$0.5 million in cash and 1,179,514 shares of our Class A Common Stock is being withheld for a period of 15 months (the “Holdback Amount”). We determined that there are two components to the Holdback Amount related to deferred consideration and contingent consideration, each comprised of cash and shares.</w:t>
      </w:r>
    </w:p>
    <w:p>
      <w:pPr>
        <w:spacing w:after="0" w:line="191" w:lineRule="exact"/>
        <w:rPr>
          <w:sz w:val="20"/>
          <w:szCs w:val="20"/>
          <w:color w:val="auto"/>
        </w:rPr>
      </w:pPr>
    </w:p>
    <w:p>
      <w:pPr>
        <w:ind w:right="60" w:firstLine="318"/>
        <w:spacing w:after="0" w:line="244" w:lineRule="auto"/>
        <w:rPr>
          <w:sz w:val="20"/>
          <w:szCs w:val="20"/>
          <w:color w:val="auto"/>
        </w:rPr>
      </w:pPr>
      <w:r>
        <w:rPr>
          <w:rFonts w:ascii="Times New Roman" w:cs="Times New Roman" w:eastAsia="Times New Roman" w:hAnsi="Times New Roman"/>
          <w:sz w:val="18"/>
          <w:szCs w:val="18"/>
          <w:color w:val="auto"/>
        </w:rPr>
        <w:t>The deferred cash holdback consideration of $0.1 million and the deferred share holdback consideration of 361,145 shares of our Class A Common Stock (collectively, the “Deferred Consideration”) were not recognized as of the Closing Date as such amounts were offset by the indemnification obligations of SYNQ3's former stockholders.</w:t>
      </w:r>
    </w:p>
    <w:p>
      <w:pPr>
        <w:spacing w:after="0" w:line="21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contingent cash and share holdback consideration to be issued is variable (“Contingent Holdback Consideration”). Final amounts to be issued will be reduced based upon future actions and settlements with third parties to resolve assumed contingent sales tax liabilities and certain other assumed contingent liabilities of SYNQ3 in connection with the SYNQ3 Acquisition. We accounted for the Contingent Holdback Consideration as a liability on the condensed consolidated balance sheet. As of the Closing Date, the Contingent Holdback Consideration was estimated to be $0.4 million in aggregate and to be settled in $0.1 million cash and the remainder in shares of our Class A Common Stock. The Contingent Holdback Consideration will be subsequently remeasured at each reporting date with changes in fair value recognized as a component of operating expense on our condensed consolidated statement of operations and comprehensive loss. For the three and six months ended June 30, 2024, we recognized a $1.2 million gain and a $0.3 million loss, respectively, related to the Contingent Holdback Consideration.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also agreed to pay in aggregate up to $0.8 million in cash and 1,434,936 in shares of Class A Common Stock, to certain stockholders of SYNQ3 based on tiered annual revenue targets for each fiscal year 2024, 2025 and 2026 (the “Contingent Earnout Consideration”). We accounted for the Contingent Earnout Consideration as a liability within contingent acquisition liabilities on our condensed consolidated balance sheet and will subsequently remeasure the liability at each reporting date with changes in fair value recognized as a component of operating expense in our condensed consolidated statement of operations and comprehensive loss. As of the Closing Date, the Contingent Earnout Consideration was estimated to be $1.7 million in aggregate and to be settled in $0.2 million cash and the remainder in shares of our Class A Common Stock. For the three and six months ended June 30, 2024, we recognized a loss of $0.1 million and $2.7 million, respectively, related to the Contingent Earnout Consideration, reflected in the change in fair value of contingent acquisition liabilities in the condensed consolidated statement of operations and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2,033,156 restricted shares of our Class A Common Stock issued at the Closing Date to certain continuing employees of SYNQ3 subject to time and performance-based vesting conditions was determined to be a separate transaction from the SYNQ3 Acquisition and therefore is excluded from purchase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condition of the SYNQ3 Acquisition, we additionally granted certain employees awards with future vesting conditions. As a result, we determined that these awards should be accounted for separately from the SYNQ3 Acquisition and therefore are excluded from purchase consideration.</w:t>
      </w:r>
    </w:p>
    <w:p>
      <w:pPr>
        <w:spacing w:after="0" w:line="16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During the three months ended June 30, 2024, we recorded measurement period adjustments to decrease the deferred revenue by $0.1 million as the revenue recognition criteria has been met at the acquisition date, to increase the accrued litigation liabilities by $1.9 million resulting from a pre-acquisition legal contingency, and to decrease the deferred tax liabilities assumed by $0.2 million. Refer to Note 7 to these condensed consolidated financial statements for more information on the loss contingencies. These measurement period adjustments resulted in a decrease of $0.1 million in deferred cash consideration, $0.6 million in deferred equity consideration, and $0.6 million in contingent holdback consideration in accordance with the merger agreement. As a result of the adjusted acquisition-date fair value of assets acquired and liabilities assumed, we booked an increase of $0.3 million to the goodwill recognized. The measurement period adjustments were recorded in the consolidated financial statements as of and for the three months ended June 30, 2024 and was made to reflect facts and circumstances that existed as of the acquisition date.</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June 30, 2024 primarily due to the final assessment of the fair values of the intangible assets, contingent sales tax liability assumed, and fair value of the contingent acquisition liabilities.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We expect to finalize the purchase price allocation within 12 months from the acquisition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June 14, 2024, we completed an immaterial acquisition for total preliminary purchase consideration of $1.0 million. As part of the acquisition, we acquired net assets of $2.2 million, including intangible assets of $2.6 million, and recognized a preliminary gain on bargain purchase of $1.2 million within other income (expense), net in the condensed consolidated statements of operations and comprehensive loss during the three and six months ended June 30, 2024, resulting from a favorable fair value of identifiable net assets acquired at the date of acquisition as compared with the purchase price. We were able to negotiate a bargain purchase price as a result of the recurring losses and pre-filling bankruptcy status of the selling entity.</w:t>
      </w:r>
    </w:p>
    <w:p>
      <w:pPr>
        <w:spacing w:after="0" w:line="1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June 30, 2024 primarily due to the final assessment of the fair values of the intangible assets.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We expect to finalize the purchase price allocation within 12 months from the acquisition date.</w:t>
      </w:r>
    </w:p>
    <w:p>
      <w:pPr>
        <w:spacing w:after="0" w:line="1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incurred $0.1 million in acquisition related expenses, and all of which were incurred during the three and six months ended June 30, 2024 and recorded as general and administration expenses in its condensed consolidated statements of operations and comprehensive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July 28, 2023, we entered into the Sales Agreement with Cantor Fitzgerald &amp; Co., H.C. Wainwright &amp; Co., LLC, and D.A. Davidson &amp; Co. (each a “Sales Agent” and collectively, the “Sales Agents”), pursuant to which we may offer and sell up to $150.0 million of shares of our Class A Common Stock from time to time through or to the Sales Agents acting as agent or principal. Sales of our Class A Common Stock, if any, under the Sales Agreement will be made at market prices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by any method that is deemed to be an “at the market offering” as defined in Rule 415 under the Securities Act. We will pay the Sales Agents commission for their services in acting as agent in the sale of our Class A Common Stock. The Sales Agents are entitled to aggregate compensation at a fixed commission rate of 2.5% of the gross sales price per share sold under the Sales Agreement. We have also agreed to reimburse the Sales Agents for certain specified expenses, including the reasonable and documented fees and disbursements of its legal counsel in an amount not to exceed $75 thousand in the aggregate in connection with the execution of the Sales Agreement.</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we sold a total of 37,907,219 shares of our common stock under the Sales Agreement at a weighted-average price of $3.62 per share and raised $137.3 million of gross proceeds, which resulted in complete utilization of the Sales Agreement as of March 31, 2024. After deducting approximately $3.4 million of commissions and offering costs incurred by us, the net proceeds from sales of common stock was $133.8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April 14, 2023 (the “Term Loan Closing Date”), we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entirety of which was funded on the Term Loan Closing Date.</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2024, the interest rate was approximately 14.0%. 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payments prior to the Maturity Date. Refer to Note 9 of the unaudited condensed consolidated financial statements for further information regarding the Credit Agreement, and amortization of the debt issuance cost and debt discount.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Line of Credit (ELOC)</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August 16, 2022, we entered into a common stock purchase agreement (the “Common Stock Purchase Agreement”) and related registration rights agreement (the “CFPI Registration Rights Agreement”) with CF Principal Investments LLC (the “Counterparty”). Pursuant to the Common Stock Purchase Agreement, we have the right to sell to the Counterparty up to the lesser of (i) 25,000,000 shares of Class A Common Stock and (ii) the Exchange Cap (as defined in the Common Stock Purchase Agreement), subject to certain limitations and conditions set forth in the Common Stock Purchase Agreement (the "ELOC Shares"). On February 14, 2023, our Registration Statement on Form S-1 registering the resale of the ELOC Shares (the "ELOC Registration Statement") was declared effective. On March 31, 2023, a post-effective amendment to the ELOC Registration Statement was declared effective. We have utilized and expect to continue to utilize proceeds from the ELOC for working capital and other general corporate purposes. During the year ended December 31, 2023, we sold the entirety of the 25,000,000 shares under the ELOC program for aggregate proceeds of approximately $71.7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or around January 20, 2023, we entered into Preferred Stock Purchase Agreements with certain investors (the "Investors"), pursuant to which we issued and sold to the Investors an aggregate of 835,011 shares of our newly designated Series A Convertible Preferred Stock for an aggregate issue price of approximately $25.0 million.</w:t>
      </w:r>
    </w:p>
    <w:p>
      <w:pPr>
        <w:spacing w:after="0" w:line="17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into such number of shares of Class A Common Stock equal to the liquidation preference per share ("Liquidation Preference")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During the three and six months ended June 30, 2024, 70,241 shares and 475,005 shares, respectively, of preferred stock were converted into 2,553,361 shares and 16,624,215 shares, respectively, of Class A Common Stock. The conversion was pursuant to the original terms of the agreement and therefore the carrying value of Series A Preferred Stock was converted into Class A Common Stock with no gain or loss upon conversion.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2024, All the Series A Preferred Stock have been converted to Class A Common Stock.</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holders of Series A Preferred Stock were entitled to cumulative dividends payable for such share at the rate of 14% per annum, compounding semi-annually to Liquidation Preference on January 1 and July 1 of each year. Total cumulative dividends attributable to Series A Preferred Stock for the three and six months ended June 30, 2024 were $0.1 million and $0.4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Refer to Note 7 and Note 9 to the unaudited condensed consolidated financial statements for more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 in thousands):</w:t>
      </w:r>
    </w:p>
    <w:p>
      <w:pPr>
        <w:spacing w:after="0" w:line="26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2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5194935</wp:posOffset>
            </wp:positionH>
            <wp:positionV relativeFrom="paragraph">
              <wp:posOffset>19685</wp:posOffset>
            </wp:positionV>
            <wp:extent cx="19437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(34,201)</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154,558</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 equivalents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Net cash used in operating activities was $40.4 million during the six months ended June 30, 2024 compared to $34.2 million during the six months ended June 30, 2023. The $6.2 million increase in cash used in operating activities was primarily due to our increased net loss of $19.6 million, an increase in gain on bargain purchase of $1.2 million, a decrease in loss on change in fair value of ELOC program of $1.9 million and a net decrease in changes in operating assets and liabilities of $2.4 million. This was partially offset by an increase of $14.8 million in loss on early extinguishment of debt, $3.1 million in change in the fair value of contingent acquisition liabilities and $1.3 million in depreciation and amortization.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used in investing activities was $4.8 million during the six months ended June 30, 2024 compared to $293 thousand during the six months ended June 30, 2023. The $4.5 million increase in cash used in investing activities was primarily driven by the acquisitions.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Net cash provided by financing activities was $137.0 million during the six months ended June 30, 2024 compared to $154.6 million during the six months ended June 30, 2023. The $17.5 million decrease in cash provided by financing activities was primarily due to $105.5 million in the repayment of Term Loan during the six months ended June 30, 2024 compared to $35.0 million in the repayment of SVB March 2021 Note and SCI June 2021 Note during the six months ended June 30, 2023. The decrease was partially offset by $232.0 million in net proceeds from sales of Class A Common Stock under the Sales Agreement during the six months ended June 30, 2024 compared to $71.5 million in net proceeds from sales of Class A Common Stock under the ELOC program during the six months ended June 30, 2023. In addition,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experienced an increase of $24.9 million in net proceeds from the one-time issuance of Series A Preferred Stock and $85.1 million in net proceeds from the issuance of Term Loan during the six months ended June 30,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Additionally, we have, and may in the future, indemnify third parties in connection with our issuance of securities (including pursuant to our at-the-market offering program) and in connection with acquisitions of other companies. Our liability is generally limited to the aggregate amount of consideration actually received in these instances. We have never incurred costs to defend lawsuits or settle claims related to these indemnification agreements. As a result, we believe the fair value of these agreements is minimal.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condensed consolidated financial statements included elsewhere in this report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a discussion of our critical accounting policies, see “Management’s discussion and analysis of financial condition and results of operations” and the notes to the condensed consolidated financial statements included in our Form 10-K, which was filed with the SEC on March 1, 2024. We have identified and disclosed new significant accounting policies related to the current period that we determined were critical accounting policies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Contingent Consideration</w:t>
      </w:r>
    </w:p>
    <w:p>
      <w:pPr>
        <w:spacing w:after="0" w:line="2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We allocate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Management’s estimates of fair value are based upon assumptions believed to be reasonable, but the estimates and assumptions are inherently uncertain and subject to refinement. The estimates and assumptions used in valuing intangible assets include, but are not limited to, the amount and timing of projected future cash flows and discount rate used to determine the present value of these cash flows and asset lives. These estimates are inherently uncertain and, therefore, actual results may differ from the estimates made. As a result, during the measurement period of up to one year from the acquisition date, we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condensed consolidated statements of operations. Acquisition-related expenses are recognized separately from the business combination and expensed as incurred.</w:t>
      </w:r>
    </w:p>
    <w:p>
      <w:pPr>
        <w:spacing w:after="0" w:line="19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Certain business combinations include contingent consideration arrangements, which are generally based on achievement of future financial performance or future events. If it is determined the contingent consideration arrangement is not compensatory, we estimate fair value of contingent consideration payments as part of the initial purchase price and records the estimated fair value of contingent consideration as a liability in the condensed consolidated balance sheet. We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review and assess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condensed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Our policy is to review goodwill for impairment annually on October 1st unless a triggering event requires an analysis sooner. There was no goodwill impairment for the three and six months ended June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with Definite Lives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intangible assets consist principally of developed technology, customer relationships, tradename, and conversation data. We assess the appropriate method of amortization of the intangible assets that reflects the pattern in which the economic benefits of the intangible assets are consumed. We 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w:t>
      </w:r>
    </w:p>
    <w:p>
      <w:pPr>
        <w:spacing w:after="0" w:line="1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in market risks from the information presented in Part II, Item 7A. “Quantitative and Qualitative Disclosures About Market Risk” in our Form 10-K, except as disclosed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previously had and may in the future have exposure to interest rate risk, primarily in the form of variable-rate borrowings. As of June 30, 2024, we had no outstanding borrowings.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condensed consolidated financial statements are presented in U.S. dollars, which is also the functional currency for our foreign operations. Where transactions may be denominated in foreign currencies, we are subject to market risk with respect to fluctuations in the relative value of currencies. During the three and six months ended June 30, 2024, we recorded exchange rate losses of approximately $168.2 thousand and $422.1 thousand, respectively. During the three and six months ended June 30, 2023, we recorded exchange rate losses of approximately $120.4 thousand and $262.7 thousand, respectively. We do not believe that an immediate 10% increase or decrease in the relative value of the U.S. dollar to other currencies would have a material effect on operating results.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 and Chief Finance Officer, as appropriate to allow timely decisions regarding required disclosure.</w:t>
      </w:r>
    </w:p>
    <w:p>
      <w:pPr>
        <w:spacing w:after="0" w:line="18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 and Chief Finance Officer, we conducted an evaluation of the effectiveness of our disclosure controls and procedures (as such term is defined in Rules 13a-15(e) and 15d-15(e) under the Exchange Act) as of and for the six months ended June 30, 2024. Based on this evaluation, our Chief Executive Office and Chief Finance Officer have concluded that our disclosure controls and procedures were not effective due to the material weaknesses in its internal control over financial reporting, which were previously identified and reported in our 2023 Form 10-K as part of Management's report on Internal Control over Financial Reporting for the year ended December 31, 2023. The elements of our remediation plan can only be accomplished over time. As a result, we performed additional analysis as deemed necessary to ensure that our condensed financial statements were prepared in accordance with U.S. generally accepted accounting principles. Accordingly, management believes that the condensed financial statements included in the Quarterly Report present fairly, in all material respects, our financial position, results of operations and cash flows for the periods presented.</w:t>
      </w:r>
    </w:p>
    <w:p>
      <w:pPr>
        <w:spacing w:after="0" w:line="1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accordance with the Compliance and Disclosure Interpretations issued by SEC staff, companies are allowed to exclude acquired businesses from the assessment of internal control over financial reporting during the first year after completion of an acquisition and from the assessment of disclosure controls and procedures that are subsumed in the internal control over financial reporting. Based on this guidance, our assessment of the effectiveness of the Company’s disclosure controls and procedures as of June 30, 2024 excluded the portion of disclosure controls and procedures that are subsumed by internal control over financial reporting of acquired entities. The Company completed the acquisition of SYNQ3 on January 3, 2024. SYNQ3’s total assets represented approximately 5% of the Company's consolidated total assets, excluding the effects of purchase accounting, and its revenues represented approximately 26% and 24%, respectively, of the Company's consolidated total revenues for the three and six months ended June 30, 2024. The Company completed an immaterial acquisition on June 14, 2024. Total assets, excluding the effects of purchase accounting, and revenue from the acquired entity were not material to the Company's unaudited condensed consolidated financial statements as of and for the three and six months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Reported Material Weaknesses</w:t>
      </w:r>
    </w:p>
    <w:p>
      <w:pPr>
        <w:spacing w:after="0" w:line="21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reported in Part II, Item 9A. "Controls and Procedures" of our Form 10-K, we previously identified material weaknesses in our internal control over financial reporting related to the control environment as the Company lacked sufficient oversight of activities related to its internal control over financial reporting due to a lack of appropriate level of experience and training commensurate with its financial reporting requirements; risk assessment as changes to existing controls or the implementation of new controls have not been sufficient to respond to changes to the risks of material misstatement to financial reporting; the accounting for complex financing transactions, segregation of duties, and certain information technology (IT) general controls related to user access controls, program change management controls and computer operations controls over information systems relevant to the preparation of the preparation of our financial statements. The material weaknesses related to the control environment, risk assessment and complex financing transactions resulted in the revision of the consolidated financial statements as of and for the periods ended September 30, 2022, December 31, 2022, March 31, 2023, and June 30, 2023. The material weaknesses related to segregation of duties and IT general controls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Plan to Remediate the Material Weaknesses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remediation actions are currently being implemented and are in progress:</w:t>
      </w:r>
    </w:p>
    <w:p>
      <w:pPr>
        <w:spacing w:after="0" w:line="217" w:lineRule="exact"/>
        <w:rPr>
          <w:sz w:val="20"/>
          <w:szCs w:val="20"/>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perform a risk assessment that includes the identification and walkthrough of key business processes and conducting design and operational control testing to address key risks.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 segregation of duties assessment identifying key conflicts and mitigating controls.</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a Segregation of Duties automated tool for our Enterprise Resource Planning (ERP) system. Additionally, we have initiated the design and implementation of similar controls for the remaining financially relevant applications. Improvements have been implemented in tool utilization to strengthen the segregation of duties.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controls related to the review of Service Organization Control reports, which cover program change management and computer operations for many of the applications that we rely on for financial reporting.</w:t>
      </w:r>
    </w:p>
    <w:p>
      <w:pPr>
        <w:spacing w:after="0" w:line="16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policies and procedures for the quarterly user access review of all users with access to the financially relevant systems and then implemented the quarterly user access review for one design cycle.</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the controls related to review and approval of complex financing transactions.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implementation of an automated month and quarter-end accounting close workflow tool to facilitate the review and support of key financial close process controls.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plans to hire personnel with expertise in internal controls.</w:t>
      </w:r>
    </w:p>
    <w:p>
      <w:pPr>
        <w:spacing w:after="0" w:line="21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management completes the design and implementation of the measures described above, the controls operate for a sufficient period of time, and management has concluded, through testing, that the controls are effective.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32"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of the Exchange Act) during the quarter ended June 30, 2024 that materially affected, or are reasonably likely to materially affect, the Company’s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material set forth in the section titled “Legal Proceedings” in Note 7 of our Notes to condensed consolidated Financial Statements is incorporated herein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9"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7"/>
          <w:szCs w:val="17"/>
          <w:color w:val="auto"/>
        </w:rPr>
        <w:t>Our operations and financial results are subject to various risks and uncertainties, including those described in Part I, Item 1A, "Risk Factors" in our Annual Report on Form 10-K for the year ended December 31, 2023, as updated in our Quarterly Report on Form 10-Q for the quarter ended March 31, 2024, which could adversely affect our business, financial condition, results of operations, cash flows, and the trading price of our stock. There have been no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changes from these risk factors during the quarter ended June 30,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00" w:lineRule="exact"/>
        <w:rPr>
          <w:sz w:val="20"/>
          <w:szCs w:val="20"/>
          <w:color w:val="auto"/>
        </w:rPr>
      </w:pP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19" w:lineRule="exact"/>
        <w:rPr>
          <w:sz w:val="20"/>
          <w:szCs w:val="20"/>
          <w:color w:val="auto"/>
        </w:rPr>
      </w:pPr>
    </w:p>
    <w:p>
      <w:pPr>
        <w:jc w:val="both"/>
        <w:ind w:firstLine="238"/>
        <w:spacing w:after="0" w:line="274" w:lineRule="auto"/>
        <w:rPr>
          <w:sz w:val="20"/>
          <w:szCs w:val="20"/>
          <w:color w:val="auto"/>
        </w:rPr>
      </w:pPr>
      <w:r>
        <w:rPr>
          <w:rFonts w:ascii="Times New Roman" w:cs="Times New Roman" w:eastAsia="Times New Roman" w:hAnsi="Times New Roman"/>
          <w:sz w:val="18"/>
          <w:szCs w:val="18"/>
          <w:color w:val="auto"/>
        </w:rPr>
        <w:t>During the fiscal quarter ended June 30, 2024, the following Section 16 officers and directors adopted, modified or terminated a “Rule 10b5-1 trading arrangement” (as defined in Item 408 of Regulation S-K of the Exchange Act):</w:t>
      </w:r>
    </w:p>
    <w:p>
      <w:pPr>
        <w:spacing w:after="0" w:line="163" w:lineRule="exact"/>
        <w:rPr>
          <w:sz w:val="20"/>
          <w:szCs w:val="20"/>
          <w:color w:val="auto"/>
        </w:rPr>
      </w:pPr>
    </w:p>
    <w:p>
      <w:pPr>
        <w:jc w:val="both"/>
        <w:ind w:left="640" w:hanging="316"/>
        <w:spacing w:after="0" w:line="25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 Hom, Chief Product Officer and Director, adopted a new trading plan on May 31, 2024 (with the first trade under the new plan not to be made prior to September 18, 2024). The trading plan will be effective until December 15, 2024 and provides for the sale of up to 200,000 shares of Mr. Hom’s 2,012,588 shares of Class B common stock and up to 83,064 shares of Class A common stock issuable upon vesting and settlement of certain RSUs and PSUs, provided that certain conditions are met.</w:t>
      </w:r>
    </w:p>
    <w:p>
      <w:pPr>
        <w:spacing w:after="0" w:line="18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Ball, Director, adopted a modified trading plan on June 28, 2024 (with the first trade under the new plan not to be made prior to September 27, 2024). The trading plan will be effective until December 31, 2024 and provides for the sale of up to 221,506 shares of Class A common stock, provided that certain conditions are met.</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fiscal quarter ended June 30, 2024 by our directors and Section 16 officers. Each of the Rule 10b5-1 trading arrangements are in accordance with our Insider Trading Policy and actual sale transactions made pursuant to such trading arrangements will be disclosed publicly in Section 16 filings with the SEC in accordance with applicable securities laws, rules and regulations.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7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160" w:type="dxa"/>
            <w:vAlign w:val="bottom"/>
            <w:gridSpan w:val="3"/>
          </w:tcPr>
          <w:p>
            <w:pPr>
              <w:ind w:left="25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
        </w:trPr>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2"/>
        </w:trPr>
        <w:tc>
          <w:tcPr>
            <w:tcW w:w="1640" w:type="dxa"/>
            <w:vAlign w:val="bottom"/>
            <w:tcBorders>
              <w:bottom w:val="single" w:sz="8" w:color="CCEE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460" w:type="dxa"/>
            <w:vAlign w:val="bottom"/>
            <w:tcBorders>
              <w:bottom w:val="single" w:sz="8" w:color="0000FF"/>
            </w:tcBorders>
            <w:gridSpan w:val="3"/>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Securities Exchange Act Rules 13a-14(a) and 15(d)-14(a), as adopted</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38"/>
        </w:trPr>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0000FF"/>
            </w:tcBorders>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FF"/>
                <w:w w:val="97"/>
              </w:rPr>
              <w:t>Pursuant to Section 302 of the Sarbanes-Oxley Act of 2002</w:t>
            </w:r>
          </w:p>
        </w:tc>
        <w:tc>
          <w:tcPr>
            <w:tcW w:w="5280" w:type="dxa"/>
            <w:vAlign w:val="bottom"/>
            <w:tcBorders>
              <w:bottom w:val="single" w:sz="8" w:color="CCEEFF"/>
            </w:tcBorders>
            <w:gridSpan w:val="2"/>
            <w:shd w:val="clear" w:color="auto" w:fill="CCEEFF"/>
          </w:tcPr>
          <w:p>
            <w:pPr>
              <w:spacing w:after="0"/>
              <w:rPr>
                <w:sz w:val="20"/>
                <w:szCs w:val="20"/>
                <w:color w:val="auto"/>
              </w:rPr>
            </w:pPr>
          </w:p>
        </w:tc>
      </w:tr>
      <w:tr>
        <w:trPr>
          <w:trHeight w:val="199"/>
        </w:trPr>
        <w:tc>
          <w:tcPr>
            <w:tcW w:w="164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4"/>
          </w:tcPr>
          <w:p>
            <w:pPr>
              <w:spacing w:after="0" w:line="19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Securities Exchange Act Rules 13a-14(a) and 15(d)-14(a), as adopted</w:t>
            </w:r>
          </w:p>
        </w:tc>
      </w:tr>
      <w:tr>
        <w:trPr>
          <w:trHeight w:val="192"/>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8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46"/>
        </w:trPr>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2880" w:type="dxa"/>
            <w:vAlign w:val="bottom"/>
            <w:tcBorders>
              <w:top w:val="single" w:sz="8" w:color="0000FF"/>
            </w:tcBorders>
          </w:tcPr>
          <w:p>
            <w:pPr>
              <w:spacing w:after="0"/>
              <w:rPr>
                <w:sz w:val="4"/>
                <w:szCs w:val="4"/>
                <w:color w:val="auto"/>
              </w:rPr>
            </w:pPr>
          </w:p>
        </w:tc>
        <w:tc>
          <w:tcPr>
            <w:tcW w:w="5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99"/>
        </w:trPr>
        <w:tc>
          <w:tcPr>
            <w:tcW w:w="1640" w:type="dxa"/>
            <w:vAlign w:val="bottom"/>
            <w:tcBorders>
              <w:bottom w:val="single" w:sz="8" w:color="CCEEFF"/>
            </w:tcBorders>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bottom w:val="single" w:sz="8" w:color="0000FF"/>
            </w:tcBorders>
            <w:gridSpan w:val="3"/>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w w:val="98"/>
              </w:rPr>
              <w:t>Certification of Principal Executive Officer Pursuant to 18 U.S.C. Section 1350, as adopted Pursuant to Section 906 of the Sarbanes-</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38"/>
        </w:trPr>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0000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FF"/>
                <w:w w:val="96"/>
              </w:rPr>
              <w:t>Oxley Act of 2002</w:t>
            </w:r>
          </w:p>
        </w:tc>
        <w:tc>
          <w:tcPr>
            <w:tcW w:w="8160" w:type="dxa"/>
            <w:vAlign w:val="bottom"/>
            <w:tcBorders>
              <w:bottom w:val="single" w:sz="8" w:color="CCEEFF"/>
            </w:tcBorders>
            <w:gridSpan w:val="3"/>
            <w:shd w:val="clear" w:color="auto" w:fill="CCEEFF"/>
          </w:tcPr>
          <w:p>
            <w:pPr>
              <w:spacing w:after="0"/>
              <w:rPr>
                <w:sz w:val="20"/>
                <w:szCs w:val="20"/>
                <w:color w:val="auto"/>
              </w:rPr>
            </w:pPr>
          </w:p>
        </w:tc>
      </w:tr>
      <w:tr>
        <w:trPr>
          <w:trHeight w:val="199"/>
        </w:trPr>
        <w:tc>
          <w:tcPr>
            <w:tcW w:w="164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4"/>
          </w:tcPr>
          <w:p>
            <w:pPr>
              <w:spacing w:after="0" w:line="199"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r>
      <w:tr>
        <w:trPr>
          <w:trHeight w:val="192"/>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top w:val="single" w:sz="8" w:color="0000FF"/>
              <w:bottom w:val="single" w:sz="8" w:color="0000FF"/>
            </w:tcBorders>
          </w:tcPr>
          <w:p>
            <w:pPr>
              <w:spacing w:after="0" w:line="192" w:lineRule="exact"/>
              <w:rPr>
                <w:sz w:val="20"/>
                <w:szCs w:val="20"/>
                <w:color w:val="auto"/>
              </w:rPr>
            </w:pPr>
            <w:r>
              <w:rPr>
                <w:rFonts w:ascii="Times New Roman" w:cs="Times New Roman" w:eastAsia="Times New Roman" w:hAnsi="Times New Roman"/>
                <w:sz w:val="18"/>
                <w:szCs w:val="18"/>
                <w:color w:val="0000FF"/>
                <w:w w:val="96"/>
              </w:rPr>
              <w:t>Oxley Act of 2002</w:t>
            </w:r>
          </w:p>
        </w:tc>
        <w:tc>
          <w:tcPr>
            <w:tcW w:w="8140" w:type="dxa"/>
            <w:vAlign w:val="bottom"/>
            <w:tcBorders>
              <w:top w:val="single" w:sz="8" w:color="0000FF"/>
            </w:tcBorders>
            <w:gridSpan w:val="2"/>
          </w:tcPr>
          <w:p>
            <w:pPr>
              <w:spacing w:after="0"/>
              <w:rPr>
                <w:sz w:val="16"/>
                <w:szCs w:val="16"/>
                <w:color w:val="auto"/>
              </w:rPr>
            </w:pP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134860" cy="5721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572135"/>
                    </a:xfrm>
                    <a:prstGeom prst="rect">
                      <a:avLst/>
                    </a:prstGeom>
                    <a:noFill/>
                  </pic:spPr>
                </pic:pic>
              </a:graphicData>
            </a:graphic>
          </wp:anchor>
        </w:drawing>
      </w:r>
    </w:p>
    <w:p>
      <w:pPr>
        <w:spacing w:after="0" w:line="41" w:lineRule="exact"/>
        <w:rPr>
          <w:sz w:val="20"/>
          <w:szCs w:val="20"/>
          <w:color w:val="auto"/>
        </w:rPr>
      </w:pPr>
    </w:p>
    <w:p>
      <w:pPr>
        <w:jc w:val="both"/>
        <w:ind w:left="1760" w:right="20" w:hanging="1065"/>
        <w:spacing w:after="0" w:line="274" w:lineRule="auto"/>
        <w:tabs>
          <w:tab w:leader="none" w:pos="17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SoundHound AI, Inc.'s Quarterly Report on Form 10-Q for the quarter ended June 30, 2024 formatted in Inline XBRL (Extensible Business Reporting Language) includes: (i) the condensed consolidated balance sheets, (ii) the condensed consolidated statements of operations and comprehensive loss, (iii) the condensed consolidated statements of stockholders' equity, (iv) the condensed consolidated statements of cash flows, and (vi) the notes to condensed consolidated financial statements.</w:t>
      </w:r>
    </w:p>
    <w:p>
      <w:pPr>
        <w:spacing w:after="0" w:line="8"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336" w:lineRule="exact"/>
        <w:rPr>
          <w:sz w:val="20"/>
          <w:szCs w:val="20"/>
          <w:color w:val="auto"/>
        </w:rPr>
      </w:pPr>
    </w:p>
    <w:p>
      <w:pPr>
        <w:ind w:right="9900" w:firstLine="6"/>
        <w:spacing w:after="0" w:line="564" w:lineRule="auto"/>
        <w:tabs>
          <w:tab w:leader="none" w:pos="26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 ** Furnished.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right="20" w:firstLine="636"/>
        <w:spacing w:after="0" w:line="274"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520" w:type="dxa"/>
            <w:vAlign w:val="bottom"/>
          </w:tcPr>
          <w:p>
            <w:pPr>
              <w:spacing w:after="0"/>
              <w:rPr>
                <w:sz w:val="20"/>
                <w:szCs w:val="20"/>
                <w:color w:val="auto"/>
              </w:rPr>
            </w:pPr>
          </w:p>
        </w:tc>
        <w:tc>
          <w:tcPr>
            <w:tcW w:w="770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SOUNDHOUND AI, INC.</w:t>
            </w:r>
          </w:p>
        </w:tc>
      </w:tr>
      <w:tr>
        <w:trPr>
          <w:trHeight w:val="5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31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Keyvan Mohajer</w:t>
            </w:r>
          </w:p>
        </w:tc>
      </w:tr>
      <w:tr>
        <w:trPr>
          <w:trHeight w:val="26"/>
        </w:trPr>
        <w:tc>
          <w:tcPr>
            <w:tcW w:w="35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3"/>
        </w:trPr>
        <w:tc>
          <w:tcPr>
            <w:tcW w:w="3520" w:type="dxa"/>
            <w:vAlign w:val="bottom"/>
          </w:tcPr>
          <w:p>
            <w:pPr>
              <w:spacing w:after="0"/>
              <w:rPr>
                <w:sz w:val="20"/>
                <w:szCs w:val="20"/>
                <w:color w:val="auto"/>
              </w:rPr>
            </w:pPr>
          </w:p>
        </w:tc>
        <w:tc>
          <w:tcPr>
            <w:tcW w:w="31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65"/>
        </w:trPr>
        <w:tc>
          <w:tcPr>
            <w:tcW w:w="3520" w:type="dxa"/>
            <w:vAlign w:val="bottom"/>
          </w:tcPr>
          <w:p>
            <w:pPr>
              <w:spacing w:after="0"/>
              <w:rPr>
                <w:sz w:val="23"/>
                <w:szCs w:val="23"/>
                <w:color w:val="auto"/>
              </w:rPr>
            </w:pPr>
          </w:p>
        </w:tc>
        <w:tc>
          <w:tcPr>
            <w:tcW w:w="31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65"/>
        </w:trPr>
        <w:tc>
          <w:tcPr>
            <w:tcW w:w="35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31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Nitesh Sharan</w:t>
            </w:r>
          </w:p>
        </w:tc>
      </w:tr>
      <w:tr>
        <w:trPr>
          <w:trHeight w:val="25"/>
        </w:trPr>
        <w:tc>
          <w:tcPr>
            <w:tcW w:w="35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3"/>
        </w:trPr>
        <w:tc>
          <w:tcPr>
            <w:tcW w:w="3520" w:type="dxa"/>
            <w:vAlign w:val="bottom"/>
          </w:tcPr>
          <w:p>
            <w:pPr>
              <w:spacing w:after="0"/>
              <w:rPr>
                <w:sz w:val="20"/>
                <w:szCs w:val="20"/>
                <w:color w:val="auto"/>
              </w:rPr>
            </w:pPr>
          </w:p>
        </w:tc>
        <w:tc>
          <w:tcPr>
            <w:tcW w:w="31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w:t>
            </w:r>
          </w:p>
        </w:tc>
      </w:tr>
      <w:tr>
        <w:trPr>
          <w:trHeight w:val="265"/>
        </w:trPr>
        <w:tc>
          <w:tcPr>
            <w:tcW w:w="3520" w:type="dxa"/>
            <w:vAlign w:val="bottom"/>
          </w:tcPr>
          <w:p>
            <w:pPr>
              <w:spacing w:after="0"/>
              <w:rPr>
                <w:sz w:val="23"/>
                <w:szCs w:val="23"/>
                <w:color w:val="auto"/>
              </w:rPr>
            </w:pPr>
          </w:p>
        </w:tc>
        <w:tc>
          <w:tcPr>
            <w:tcW w:w="31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65"/>
        </w:trPr>
        <w:tc>
          <w:tcPr>
            <w:tcW w:w="35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14"/>
        </w:trPr>
        <w:tc>
          <w:tcPr>
            <w:tcW w:w="3520" w:type="dxa"/>
            <w:vAlign w:val="bottom"/>
          </w:tcPr>
          <w:p>
            <w:pPr>
              <w:spacing w:after="0"/>
              <w:rPr>
                <w:sz w:val="24"/>
                <w:szCs w:val="24"/>
                <w:color w:val="auto"/>
              </w:rPr>
            </w:pPr>
          </w:p>
        </w:tc>
        <w:tc>
          <w:tcPr>
            <w:tcW w:w="31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60</w:t>
            </w:r>
          </w:p>
        </w:tc>
        <w:tc>
          <w:tcPr>
            <w:tcW w:w="4540" w:type="dxa"/>
            <w:vAlign w:val="bottom"/>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Keyvan Mohajer, certify that:</w:t>
      </w:r>
    </w:p>
    <w:p>
      <w:pPr>
        <w:spacing w:after="0" w:line="217"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SoundHound AI, Inc.;</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August 9, 2024</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tc>
      </w:tr>
      <w:tr>
        <w:trPr>
          <w:trHeight w:val="239"/>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52"/>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2"/>
        </w:trPr>
        <w:tc>
          <w:tcPr>
            <w:tcW w:w="674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26"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Nitesh Sharan, certify that:</w:t>
      </w:r>
    </w:p>
    <w:p>
      <w:pPr>
        <w:spacing w:after="0" w:line="217"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SoundHound AI, Inc.;</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August 9, 2024</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tc>
      </w:tr>
      <w:tr>
        <w:trPr>
          <w:trHeight w:val="239"/>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w:t>
            </w:r>
          </w:p>
        </w:tc>
      </w:tr>
      <w:tr>
        <w:trPr>
          <w:trHeight w:val="252"/>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2"/>
        </w:trPr>
        <w:tc>
          <w:tcPr>
            <w:tcW w:w="674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26"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SoundHound AI, Inc. (the “Company’s Quarterly Report”) on Form 10-Q for the period ended June 30, 2024,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3318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9, 2024</w:t>
      </w:r>
    </w:p>
    <w:p>
      <w:pPr>
        <w:spacing w:after="0" w:line="32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26"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SoundHound AI, Inc. (the “Company’s Quarterly Report”) on Form 10-Q for the period ended June 30, 2024,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3318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Nitesh Sharan</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9, 2024</w:t>
      </w:r>
    </w:p>
    <w:p>
      <w:pPr>
        <w:spacing w:after="0" w:line="23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1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Roman"/>
      <w:start w:val="3"/>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0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2024-08-09T15:53:18Z</dcterms:created>
  <dcterms:modified xsi:type="dcterms:W3CDTF">2024-08-09T15:53:18Z</dcterms:modified>
</cp:coreProperties>
</file>