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5620" w:type="dxa"/>
        <w:tblCellMar>
          <w:top w:w="0" w:type="dxa"/>
          <w:left w:w="0" w:type="dxa"/>
          <w:bottom w:w="0" w:type="dxa"/>
          <w:right w:w="0" w:type="dxa"/>
        </w:tblCellMar>
      </w:tblPr>
      <w:tr>
        <w:trPr>
          <w:trHeight w:val="216"/>
        </w:trPr>
        <w:tc>
          <w:tcPr>
            <w:tcW w:w="2200" w:type="dxa"/>
            <w:vAlign w:val="bottom"/>
          </w:tcPr>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IOVANNI</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ARUSO</w:t>
            </w:r>
          </w:p>
        </w:tc>
        <w:tc>
          <w:tcPr>
            <w:tcW w:w="2160" w:type="dxa"/>
            <w:vAlign w:val="bottom"/>
            <w:gridSpan w:val="2"/>
          </w:tcPr>
          <w:p>
            <w:pPr>
              <w:ind w:left="620"/>
              <w:spacing w:after="0"/>
              <w:rPr>
                <w:sz w:val="20"/>
                <w:szCs w:val="20"/>
                <w:color w:val="auto"/>
              </w:rPr>
            </w:pPr>
            <w:r>
              <w:rPr>
                <w:rFonts w:ascii="Arial" w:cs="Arial" w:eastAsia="Arial" w:hAnsi="Arial"/>
                <w:sz w:val="18"/>
                <w:szCs w:val="18"/>
                <w:b w:val="1"/>
                <w:bCs w:val="1"/>
                <w:color w:val="auto"/>
                <w:w w:val="91"/>
              </w:rPr>
              <w:t xml:space="preserve">Direct </w:t>
            </w:r>
            <w:r>
              <w:rPr>
                <w:rFonts w:ascii="Arial" w:cs="Arial" w:eastAsia="Arial" w:hAnsi="Arial"/>
                <w:sz w:val="18"/>
                <w:szCs w:val="18"/>
                <w:color w:val="auto"/>
                <w:w w:val="91"/>
              </w:rPr>
              <w:t>212.407.4866</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Partner</w:t>
            </w:r>
          </w:p>
        </w:tc>
        <w:tc>
          <w:tcPr>
            <w:tcW w:w="1080" w:type="dxa"/>
            <w:vAlign w:val="bottom"/>
          </w:tcPr>
          <w:p>
            <w:pPr>
              <w:ind w:left="620"/>
              <w:spacing w:after="0"/>
              <w:rPr>
                <w:sz w:val="20"/>
                <w:szCs w:val="20"/>
                <w:color w:val="auto"/>
              </w:rPr>
            </w:pPr>
            <w:r>
              <w:rPr>
                <w:rFonts w:ascii="Arial" w:cs="Arial" w:eastAsia="Arial" w:hAnsi="Arial"/>
                <w:sz w:val="18"/>
                <w:szCs w:val="18"/>
                <w:b w:val="1"/>
                <w:bCs w:val="1"/>
                <w:color w:val="auto"/>
              </w:rPr>
              <w:t>Main</w:t>
            </w:r>
          </w:p>
        </w:tc>
        <w:tc>
          <w:tcPr>
            <w:tcW w:w="1080" w:type="dxa"/>
            <w:vAlign w:val="bottom"/>
          </w:tcPr>
          <w:p>
            <w:pPr>
              <w:jc w:val="right"/>
              <w:spacing w:after="0"/>
              <w:rPr>
                <w:sz w:val="20"/>
                <w:szCs w:val="20"/>
                <w:color w:val="auto"/>
              </w:rPr>
            </w:pPr>
            <w:r>
              <w:rPr>
                <w:rFonts w:ascii="Arial" w:cs="Arial" w:eastAsia="Arial" w:hAnsi="Arial"/>
                <w:sz w:val="18"/>
                <w:szCs w:val="18"/>
                <w:color w:val="auto"/>
                <w:w w:val="94"/>
              </w:rPr>
              <w:t>212.407.4000</w:t>
            </w:r>
          </w:p>
        </w:tc>
      </w:tr>
      <w:tr>
        <w:trPr>
          <w:trHeight w:val="220"/>
        </w:trPr>
        <w:tc>
          <w:tcPr>
            <w:tcW w:w="2200" w:type="dxa"/>
            <w:vAlign w:val="bottom"/>
          </w:tcPr>
          <w:p>
            <w:pPr>
              <w:spacing w:after="0"/>
              <w:rPr>
                <w:sz w:val="20"/>
                <w:szCs w:val="20"/>
                <w:color w:val="auto"/>
              </w:rPr>
            </w:pPr>
            <w:r>
              <w:rPr>
                <w:rFonts w:ascii="Arial" w:cs="Arial" w:eastAsia="Arial" w:hAnsi="Arial"/>
                <w:sz w:val="18"/>
                <w:szCs w:val="18"/>
                <w:color w:val="auto"/>
              </w:rPr>
              <w:t>345 Park Avenue</w:t>
            </w:r>
          </w:p>
        </w:tc>
        <w:tc>
          <w:tcPr>
            <w:tcW w:w="1080" w:type="dxa"/>
            <w:vAlign w:val="bottom"/>
          </w:tcPr>
          <w:p>
            <w:pPr>
              <w:ind w:left="620"/>
              <w:spacing w:after="0"/>
              <w:rPr>
                <w:sz w:val="20"/>
                <w:szCs w:val="20"/>
                <w:color w:val="auto"/>
              </w:rPr>
            </w:pPr>
            <w:r>
              <w:rPr>
                <w:rFonts w:ascii="Arial" w:cs="Arial" w:eastAsia="Arial" w:hAnsi="Arial"/>
                <w:sz w:val="18"/>
                <w:szCs w:val="18"/>
                <w:b w:val="1"/>
                <w:bCs w:val="1"/>
                <w:color w:val="auto"/>
              </w:rPr>
              <w:t>Fax</w:t>
            </w:r>
          </w:p>
        </w:tc>
        <w:tc>
          <w:tcPr>
            <w:tcW w:w="1080" w:type="dxa"/>
            <w:vAlign w:val="bottom"/>
          </w:tcPr>
          <w:p>
            <w:pPr>
              <w:jc w:val="right"/>
              <w:spacing w:after="0"/>
              <w:rPr>
                <w:sz w:val="20"/>
                <w:szCs w:val="20"/>
                <w:color w:val="auto"/>
              </w:rPr>
            </w:pPr>
            <w:r>
              <w:rPr>
                <w:rFonts w:ascii="Arial" w:cs="Arial" w:eastAsia="Arial" w:hAnsi="Arial"/>
                <w:sz w:val="18"/>
                <w:szCs w:val="18"/>
                <w:color w:val="auto"/>
                <w:w w:val="96"/>
              </w:rPr>
              <w:t>212.937.3943</w:t>
            </w: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New York, NY 10154</w:t>
            </w:r>
          </w:p>
        </w:tc>
        <w:tc>
          <w:tcPr>
            <w:tcW w:w="2160" w:type="dxa"/>
            <w:vAlign w:val="bottom"/>
            <w:gridSpan w:val="2"/>
          </w:tcPr>
          <w:p>
            <w:pPr>
              <w:ind w:left="620"/>
              <w:spacing w:after="0"/>
              <w:rPr>
                <w:sz w:val="20"/>
                <w:szCs w:val="20"/>
                <w:color w:val="auto"/>
              </w:rPr>
            </w:pPr>
            <w:r>
              <w:rPr>
                <w:rFonts w:ascii="Arial" w:cs="Arial" w:eastAsia="Arial" w:hAnsi="Arial"/>
                <w:sz w:val="18"/>
                <w:szCs w:val="18"/>
                <w:color w:val="auto"/>
                <w:w w:val="97"/>
              </w:rPr>
              <w:t>gcaruso@loeb.com</w:t>
            </w:r>
          </w:p>
        </w:tc>
      </w:tr>
    </w:tbl>
    <w:p>
      <w:pPr>
        <w:spacing w:after="0" w:line="20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233680</wp:posOffset>
            </wp:positionH>
            <wp:positionV relativeFrom="page">
              <wp:posOffset>294640</wp:posOffset>
            </wp:positionV>
            <wp:extent cx="1028700"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March 5,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Ms. Karina Dorin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Energy &amp; Transportation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&amp;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320" w:top="1255" w:right="339" w:bottom="144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Amendment 1 to Draft 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Submitted March 1, 2021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CIK No. 0001840856</w:t>
      </w:r>
    </w:p>
    <w:p>
      <w:pPr>
        <w:spacing w:after="0" w:line="200" w:lineRule="exact"/>
        <w:rPr>
          <w:sz w:val="24"/>
          <w:szCs w:val="24"/>
          <w:color w:val="auto"/>
        </w:rPr>
      </w:pPr>
    </w:p>
    <w:p>
      <w:pPr>
        <w:sectPr>
          <w:pgSz w:w="11900" w:h="16838" w:orient="portrait"/>
          <w:cols w:equalWidth="0" w:num="2">
            <w:col w:w="280" w:space="380"/>
            <w:col w:w="10580"/>
          </w:cols>
          <w:pgMar w:left="320" w:top="1255"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Ms. Dorin:</w:t>
      </w:r>
    </w:p>
    <w:p>
      <w:pPr>
        <w:spacing w:after="0" w:line="225" w:lineRule="exact"/>
        <w:rPr>
          <w:sz w:val="24"/>
          <w:szCs w:val="24"/>
          <w:color w:val="auto"/>
        </w:rPr>
      </w:pPr>
    </w:p>
    <w:p>
      <w:pPr>
        <w:jc w:val="both"/>
        <w:spacing w:after="0" w:line="286" w:lineRule="auto"/>
        <w:rPr>
          <w:sz w:val="20"/>
          <w:szCs w:val="20"/>
          <w:color w:val="auto"/>
        </w:rPr>
      </w:pPr>
      <w:r>
        <w:rPr>
          <w:rFonts w:ascii="Arial" w:cs="Arial" w:eastAsia="Arial" w:hAnsi="Arial"/>
          <w:sz w:val="17"/>
          <w:szCs w:val="17"/>
          <w:color w:val="auto"/>
        </w:rPr>
        <w:t>On behalf of our client, Archimedes Tech SPAC Partners Co. (the “Company”), we hereby provide a response to the comments issued in a letter dated March 5, 2021 (the “Staff’s Letter”) regarding the Company’s Registration Statement on Form S-1 (the “Registration Statement”). Contemporaneously, an amended draft Registration Statement is being submitted publicly to accompany this response letter (the “Amended S-1”).</w:t>
      </w:r>
    </w:p>
    <w:p>
      <w:pPr>
        <w:spacing w:after="0" w:line="16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 order to facilitate the review by the Commission’s staff (the “Staff”) of the Registration Statement, we have responded, on behalf of the Company, to the comments set forth in the Staff’s Letter on a point-by-point basis. The numbered paragraphs set forth below respond to the Staff’s comments and correspond to the numbered paragraph in the Staff’s Letter.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531495" cy="531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31495" cy="531495"/>
                    </a:xfrm>
                    <a:prstGeom prst="rect">
                      <a:avLst/>
                    </a:prstGeom>
                    <a:noFill/>
                  </pic:spPr>
                </pic:pic>
              </a:graphicData>
            </a:graphic>
          </wp:anchor>
        </w:drawing>
        <w:t>Karina Dorin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5,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Amendment No.1 to Registration Statement on Form S-1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Statements, page F-1</w:t>
      </w:r>
    </w:p>
    <w:p>
      <w:pPr>
        <w:spacing w:after="0" w:line="225" w:lineRule="exact"/>
        <w:rPr>
          <w:sz w:val="20"/>
          <w:szCs w:val="20"/>
          <w:color w:val="auto"/>
        </w:rPr>
      </w:pPr>
    </w:p>
    <w:p>
      <w:pPr>
        <w:ind w:left="660" w:hanging="652"/>
        <w:spacing w:after="0" w:line="28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Revise your presentation to include only financial statements as of and for the period ending December 31, 2020. Expand your subsequent events footnote as necessary to disclose events or transactions occurring after December 31, 2020.</w:t>
      </w:r>
    </w:p>
    <w:p>
      <w:pPr>
        <w:spacing w:after="0" w:line="161" w:lineRule="exact"/>
        <w:rPr>
          <w:rFonts w:ascii="Arial" w:cs="Arial" w:eastAsia="Arial" w:hAnsi="Arial"/>
          <w:sz w:val="18"/>
          <w:szCs w:val="18"/>
          <w:color w:val="auto"/>
        </w:rPr>
      </w:pPr>
    </w:p>
    <w:p>
      <w:pPr>
        <w:jc w:val="both"/>
        <w:ind w:left="660"/>
        <w:spacing w:after="0" w:line="266" w:lineRule="auto"/>
        <w:rPr>
          <w:rFonts w:ascii="Arial" w:cs="Arial" w:eastAsia="Arial" w:hAnsi="Arial"/>
          <w:sz w:val="18"/>
          <w:szCs w:val="18"/>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has revised its presentation to include only financial statements as of and for the period ending December 31, 2020 on</w:t>
      </w:r>
      <w:r>
        <w:rPr>
          <w:rFonts w:ascii="Arial" w:cs="Arial" w:eastAsia="Arial" w:hAnsi="Arial"/>
          <w:sz w:val="18"/>
          <w:szCs w:val="18"/>
          <w:b w:val="1"/>
          <w:bCs w:val="1"/>
          <w:color w:val="auto"/>
        </w:rPr>
        <w:t xml:space="preserve"> </w:t>
      </w:r>
      <w:r>
        <w:rPr>
          <w:rFonts w:ascii="Arial" w:cs="Arial" w:eastAsia="Arial" w:hAnsi="Arial"/>
          <w:sz w:val="18"/>
          <w:szCs w:val="18"/>
          <w:color w:val="auto"/>
        </w:rPr>
        <w:t>pages F-3, F-4, F-5 and F-6. The Company has expanded its subsequent events footnote to disclose events and transactions occurring after December 31, 2020 on page F-15.</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call me at (212) 407-4866 if you would like additional information with respect to any of the foregoing.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Thank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Giovanni Caruso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Giovanni Caruso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Partner</w:t>
      </w:r>
    </w:p>
    <w:p>
      <w:pPr>
        <w:spacing w:after="0" w:line="206" w:lineRule="exact"/>
        <w:rPr>
          <w:sz w:val="20"/>
          <w:szCs w:val="20"/>
          <w:color w:val="auto"/>
        </w:rPr>
      </w:pPr>
    </w:p>
    <w:p>
      <w:pPr>
        <w:ind w:right="5400"/>
        <w:spacing w:after="0" w:line="474" w:lineRule="auto"/>
        <w:rPr>
          <w:sz w:val="20"/>
          <w:szCs w:val="20"/>
          <w:color w:val="auto"/>
        </w:rPr>
      </w:pPr>
      <w:r>
        <w:rPr>
          <w:rFonts w:ascii="Arial" w:cs="Arial" w:eastAsia="Arial" w:hAnsi="Arial"/>
          <w:sz w:val="14"/>
          <w:szCs w:val="14"/>
          <w:color w:val="auto"/>
        </w:rPr>
        <w:t>Los Angeles New York Chicago Nashville Washington, DC Beijing Hong Kong www.loeb.com A limited liability partnership including professional corporations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2021-08-15T20:47:23Z</dcterms:created>
  <dcterms:modified xsi:type="dcterms:W3CDTF">2021-08-15T20:47:23Z</dcterms:modified>
</cp:coreProperties>
</file>