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4633-s4mef_sound.htm"/>
      <w:bookmarkStart w:id="1" w:name="ksea0304633s4mef_sound"/>
      <w:bookmarkEnd w:id="0"/>
      <w:bookmarkEnd w:id="1"/>
      <w:r>
        <w:rPr>
          <w:rFonts w:ascii="Times New Roman;Times;Serif" w:hAnsi="Times New Roman;Times;Serif"/>
          <w:b/>
          <w:i w:val="false"/>
          <w:caps w:val="false"/>
          <w:smallCaps w:val="false"/>
          <w:sz w:val="20"/>
        </w:rPr>
        <w:t>As filed with the Securities and Exchange Commission on September 4,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b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15" w:type="dxa"/>
        <w:jc w:val="left"/>
        <w:tblInd w:w="0" w:type="dxa"/>
        <w:tblLayout w:type="fixed"/>
        <w:tblCellMar>
          <w:top w:w="0" w:type="dxa"/>
          <w:left w:w="0" w:type="dxa"/>
          <w:bottom w:w="28" w:type="dxa"/>
          <w:right w:w="0" w:type="dxa"/>
        </w:tblCellMar>
      </w:tblPr>
      <w:tblGrid>
        <w:gridCol w:w="2525"/>
        <w:gridCol w:w="60"/>
        <w:gridCol w:w="2375"/>
        <w:gridCol w:w="60"/>
        <w:gridCol w:w="18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b/>
                <w:sz w:val="20"/>
              </w:rPr>
            </w:pPr>
            <w:r>
              <w:rPr>
                <w:b/>
                <w:sz w:val="20"/>
              </w:rPr>
              <w:t>7372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86-1286799</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sz w:val="20"/>
              </w:rPr>
            </w:pPr>
            <w:r>
              <w:rPr>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br/>
        <w:t>Santa Clara, CA 95054</w:t>
        <w:br/>
        <w:t>Telephone: (408) 441-3200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Keyvan Mohajer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(408) 441-3200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tbl>
      <w:tblPr>
        <w:tblW w:w="8925" w:type="dxa"/>
        <w:jc w:val="left"/>
        <w:tblInd w:w="0" w:type="dxa"/>
        <w:tblLayout w:type="fixed"/>
        <w:tblCellMar>
          <w:top w:w="0" w:type="dxa"/>
          <w:left w:w="0" w:type="dxa"/>
          <w:bottom w:w="0" w:type="dxa"/>
          <w:right w:w="0" w:type="dxa"/>
        </w:tblCellMar>
      </w:tblPr>
      <w:tblGrid>
        <w:gridCol w:w="3020"/>
        <w:gridCol w:w="3185"/>
        <w:gridCol w:w="2720"/>
      </w:tblGrid>
      <w:tr>
        <w:trPr/>
        <w:tc>
          <w:tcPr>
            <w:tcW w:w="3020" w:type="dxa"/>
            <w:tcBorders/>
            <w:vAlign w:val="center"/>
          </w:tcPr>
          <w:p>
            <w:pPr>
              <w:pStyle w:val="TableContents"/>
              <w:bidi w:val="0"/>
              <w:spacing w:before="0" w:after="283"/>
              <w:jc w:val="center"/>
              <w:rPr>
                <w:b/>
                <w:sz w:val="20"/>
              </w:rPr>
            </w:pPr>
            <w:r>
              <w:rPr>
                <w:b/>
                <w:sz w:val="20"/>
              </w:rPr>
              <w:t>Luke Bergstrom</w:t>
              <w:br/>
              <w:t>Max Schleusener</w:t>
              <w:br/>
              <w:t>Lauren Lefcoe</w:t>
              <w:br/>
              <w:t>Latham &amp; Watkins LLP</w:t>
              <w:br/>
              <w:t>505 Montgomery Street, Suite 2000</w:t>
              <w:br/>
              <w:t>San Francisco, CA 94111</w:t>
              <w:br/>
              <w:t>(415) 391-0600</w:t>
            </w:r>
          </w:p>
        </w:tc>
        <w:tc>
          <w:tcPr>
            <w:tcW w:w="3185" w:type="dxa"/>
            <w:tcBorders/>
            <w:vAlign w:val="center"/>
          </w:tcPr>
          <w:p>
            <w:pPr>
              <w:pStyle w:val="TableContents"/>
              <w:bidi w:val="0"/>
              <w:spacing w:before="0" w:after="283"/>
              <w:jc w:val="center"/>
              <w:rPr>
                <w:b/>
                <w:sz w:val="20"/>
              </w:rPr>
            </w:pPr>
            <w:r>
              <w:rPr>
                <w:b/>
                <w:sz w:val="20"/>
              </w:rPr>
              <w:t>Monica Greenberg</w:t>
              <w:br/>
              <w:t>Chief Legal &amp; Administrative Officer</w:t>
              <w:br/>
              <w:t>LivePerson, Inc.</w:t>
              <w:br/>
              <w:t>530 7</w:t>
            </w:r>
            <w:r>
              <w:rPr>
                <w:b/>
                <w:position w:val="7"/>
                <w:sz w:val="16"/>
                <w:sz w:val="20"/>
              </w:rPr>
              <w:t>th</w:t>
            </w:r>
            <w:r>
              <w:rPr>
                <w:b/>
                <w:sz w:val="20"/>
              </w:rPr>
              <w:t> Avenue, Floor M1</w:t>
              <w:br/>
              <w:t>New York, NY 10018</w:t>
              <w:br/>
              <w:t>(212) 609-4200</w:t>
            </w:r>
          </w:p>
        </w:tc>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Richter</w:t>
              <w:br/>
              <w:t>Mark Hayek</w:t>
              <w:br/>
              <w:t>Adam Cohen</w:t>
              <w:br/>
              <w:t>Fried, Frank, Harris, Shriver &amp;</w:t>
              <w:br/>
              <w:t>Jacobson LLP</w:t>
              <w:br/>
              <w:t>One New York Plaza</w:t>
              <w:br/>
              <w:t>New York, NY 10004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859-8000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333-296284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sz w:val="20"/>
              </w:rPr>
            </w:pPr>
            <w:r>
              <w:rPr>
                <w:sz w:val="20"/>
              </w:rPr>
              <w:t>Large accelerated filer ☒</w:t>
            </w:r>
          </w:p>
        </w:tc>
        <w:tc>
          <w:tcPr>
            <w:tcW w:w="2465" w:type="dxa"/>
            <w:tcBorders/>
            <w:vAlign w:val="center"/>
          </w:tcPr>
          <w:p>
            <w:pPr>
              <w:pStyle w:val="TableContents"/>
              <w:bidi w:val="0"/>
              <w:spacing w:before="0" w:after="283"/>
              <w:jc w:val="left"/>
              <w:rPr>
                <w:sz w:val="20"/>
              </w:rPr>
            </w:pPr>
            <w:r>
              <w:rPr>
                <w:sz w:val="20"/>
              </w:rPr>
              <w:t>Accelerated filer ☐</w:t>
            </w:r>
          </w:p>
        </w:tc>
      </w:tr>
      <w:tr>
        <w:trPr/>
        <w:tc>
          <w:tcPr>
            <w:tcW w:w="2060" w:type="dxa"/>
            <w:tcBorders/>
            <w:vAlign w:val="center"/>
          </w:tcPr>
          <w:p>
            <w:pPr>
              <w:pStyle w:val="TableContents"/>
              <w:bidi w:val="0"/>
              <w:spacing w:before="0" w:after="283"/>
              <w:jc w:val="left"/>
              <w:rPr>
                <w:sz w:val="20"/>
              </w:rPr>
            </w:pPr>
            <w:r>
              <w:rPr>
                <w:sz w:val="20"/>
              </w:rPr>
              <w:t>Non-accelerated filer ☐</w:t>
            </w:r>
          </w:p>
        </w:tc>
        <w:tc>
          <w:tcPr>
            <w:tcW w:w="2465" w:type="dxa"/>
            <w:tcBorders/>
            <w:vAlign w:val="center"/>
          </w:tcPr>
          <w:p>
            <w:pPr>
              <w:pStyle w:val="TableContents"/>
              <w:bidi w:val="0"/>
              <w:spacing w:before="0" w:after="283"/>
              <w:jc w:val="left"/>
              <w:rPr>
                <w:sz w:val="20"/>
              </w:rPr>
            </w:pPr>
            <w:r>
              <w:rPr>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13e-4(i) (Cross-Border Issuer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14d-1(d) (Cross-Border Third-Party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shall become effective upon filing with the Securities and Exchange Commission in accordance with Rule 462(b)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S-4 is being filed with respect to the registration of the issuance of an additional 726,888 shares of Class A common stock, par value $0.0001 per share, of SoundHound AI, Inc., a Delaware corporation (“SoundHound”), to certain stockholders of LivePerson, Inc., a Delaware corporation (“LivePerson”), immediately following the merger of Lightspeed Merger Sub, Inc., an indirect, wholly owned subsidiary of SoundHound (“Merger Sub I”), with and into LivePerson pursuant to the Amended and Restated Merger Agreement, dated July 2, 2026 (as it may be further amended from time to time, the “Merger Agreement”), by and among LivePerson, SoundHound, Merger Sub I and Lightspeed Merger Sub II Inc., an indirect, wholly owned subsidiary of SoundHound.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SoundHound’s Registration Statement on Form S-4 (File No. 333-296284) (the “Prior Registration Statement”), initially filed by SoundHound on May 27, 2026, amended on July 2, 2026 and July 8, 2026, and declared effective by the Securities and Exchange Commission (the “Commission”) on July 9, 2026. The required opinion of counsel and related consent and accountant’s consent are attached hereto and filed herewith. Pursuant to Rule 462(b), the contents of the Prior Registration Statement, including the exhibits thereto, are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(a)</w:t>
            </w:r>
          </w:p>
        </w:tc>
        <w:tc>
          <w:tcPr>
            <w:tcW w:w="9976" w:type="dxa"/>
            <w:tcBorders/>
            <w:vAlign w:val="center"/>
          </w:tcPr>
          <w:p>
            <w:pPr>
              <w:pStyle w:val="TableContents"/>
              <w:bidi w:val="0"/>
              <w:spacing w:before="0" w:after="283"/>
              <w:jc w:val="both"/>
              <w:rPr>
                <w:sz w:val="20"/>
              </w:rPr>
            </w:pPr>
            <w:r>
              <w:rPr>
                <w:i/>
                <w:sz w:val="20"/>
              </w:rPr>
              <w:t>Exhibits</w:t>
            </w:r>
            <w:r>
              <w:rPr>
                <w:sz w:val="20"/>
              </w:rPr>
              <w:t>. All exhibits filed with or incorporated by reference in the Prior Registration Statement on Form S-4 (File No. 333-296284) are incorporated by reference into, and shall be deemed a part of, this Registration Statement, and the following additional exhibits are filed herewith, as part of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28" w:type="dxa"/>
          <w:right w:w="0" w:type="dxa"/>
        </w:tblCellMar>
      </w:tblPr>
      <w:tblGrid>
        <w:gridCol w:w="725"/>
        <w:gridCol w:w="60"/>
        <w:gridCol w:w="923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3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30463301ex5-1.htm">
              <w:r>
                <w:rPr>
                  <w:rStyle w:val="InternetLink"/>
                  <w:sz w:val="20"/>
                </w:rPr>
                <w:t>Opinion of Latham &amp; Watkins LLP regarding the legality of the securities being registered</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hyperlink w:anchor="ea030463301ex23-1.htm">
              <w:r>
                <w:rPr>
                  <w:rStyle w:val="InternetLink"/>
                  <w:sz w:val="20"/>
                </w:rPr>
                <w:t>Consent of PricewaterhouseCoopers LLP, independent registered public accounting firm for SoundHound AI, Inc.</w:t>
              </w:r>
            </w:hyperlink>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30463301ex23-2.htm">
              <w:r>
                <w:rPr>
                  <w:rStyle w:val="InternetLink"/>
                  <w:sz w:val="20"/>
                </w:rPr>
                <w:t>Consent of Ernst &amp; Young LLP, independent auditor for Interactions Corporation</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left"/>
              <w:rPr/>
            </w:pPr>
            <w:hyperlink w:anchor="ea030463301ex23-3.htm">
              <w:r>
                <w:rPr>
                  <w:rStyle w:val="InternetLink"/>
                  <w:sz w:val="20"/>
                </w:rPr>
                <w:t>Consent of BDO USA, P.C., independent registered public accounting firm for LivePerson, Inc.</w:t>
              </w:r>
            </w:hyperlink>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30463301ex5-1.htm">
              <w:r>
                <w:rPr>
                  <w:rStyle w:val="InternetLink"/>
                  <w:sz w:val="20"/>
                </w:rPr>
                <w:t>Consent of Latham &amp; Watkins LLP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left"/>
              <w:rPr/>
            </w:pPr>
            <w:hyperlink w:anchor="ea030463301ex99-1.htm">
              <w:r>
                <w:rPr>
                  <w:rStyle w:val="InternetLink"/>
                  <w:sz w:val="20"/>
                </w:rPr>
                <w:t>Consent of Houlihan Lokey Capital, Inc., financial advisor for LivePerson, Inc.</w:t>
              </w:r>
            </w:hyperlink>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304633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S-4 and has duly caused this registration statement to be signed on its behalf by the undersigned, thereunto duly authorized, in Santa Clara, California on the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of September, 2026.</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sz w:val="20"/>
              </w:rPr>
            </w:pPr>
            <w:r>
              <w:rPr>
                <w:sz w:val="20"/>
              </w:rPr>
              <w:t>SOUNDHOUND AI, INC.</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50" w:type="dxa"/>
            <w:tcBorders>
              <w:bottom w:val="single" w:sz="12" w:space="0" w:color="000000"/>
            </w:tcBorders>
            <w:tcMar>
              <w:bottom w:w="28" w:type="dxa"/>
            </w:tcMar>
            <w:vAlign w:val="center"/>
          </w:tcPr>
          <w:p>
            <w:pPr>
              <w:pStyle w:val="TableContents"/>
              <w:bidi w:val="0"/>
              <w:spacing w:before="0" w:after="283"/>
              <w:ind w:left="0" w:right="0" w:hanging="200"/>
              <w:jc w:val="left"/>
              <w:rPr>
                <w:sz w:val="20"/>
              </w:rPr>
            </w:pPr>
            <w:r>
              <w:rPr>
                <w:sz w:val="20"/>
              </w:rPr>
              <w:t>/s/ Dr. Keyvan Mohajer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Name: Dr. Keyvan Mohajer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1925"/>
        <w:gridCol w:w="60"/>
        <w:gridCol w:w="3635"/>
        <w:gridCol w:w="60"/>
        <w:gridCol w:w="1550"/>
      </w:tblGrid>
      <w:tr>
        <w:trPr/>
        <w:tc>
          <w:tcPr>
            <w:tcW w:w="1925" w:type="dxa"/>
            <w:tcBorders>
              <w:bottom w:val="single" w:sz="12" w:space="0" w:color="000000"/>
            </w:tcBorders>
            <w:vAlign w:val="center"/>
          </w:tcPr>
          <w:p>
            <w:pPr>
              <w:pStyle w:val="TableContents"/>
              <w:bidi w:val="0"/>
              <w:spacing w:before="0" w:after="283"/>
              <w:jc w:val="center"/>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925" w:type="dxa"/>
            <w:tcBorders>
              <w:bottom w:val="single" w:sz="12" w:space="0" w:color="000000"/>
            </w:tcBorders>
            <w:vAlign w:val="center"/>
          </w:tcPr>
          <w:p>
            <w:pPr>
              <w:pStyle w:val="TableContents"/>
              <w:bidi w:val="0"/>
              <w:spacing w:before="0" w:after="283"/>
              <w:jc w:val="center"/>
              <w:rPr>
                <w:sz w:val="20"/>
              </w:rPr>
            </w:pPr>
            <w:r>
              <w:rPr>
                <w:sz w:val="20"/>
              </w:rPr>
              <w:t>/s/ Dr. 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Chief Executive Officer</w:t>
              <w:b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sz w:val="20"/>
              </w:rPr>
              <w:t>September 4, 2026</w:t>
            </w:r>
          </w:p>
        </w:tc>
      </w:tr>
      <w:tr>
        <w:trPr/>
        <w:tc>
          <w:tcPr>
            <w:tcW w:w="1925" w:type="dxa"/>
            <w:tcBorders/>
            <w:tcMar>
              <w:bottom w:w="0" w:type="dxa"/>
            </w:tcMar>
            <w:vAlign w:val="center"/>
          </w:tcPr>
          <w:p>
            <w:pPr>
              <w:pStyle w:val="TableContents"/>
              <w:bidi w:val="0"/>
              <w:spacing w:before="0" w:after="283"/>
              <w:jc w:val="center"/>
              <w:rPr>
                <w:sz w:val="20"/>
              </w:rPr>
            </w:pPr>
            <w:r>
              <w:rPr>
                <w:sz w:val="20"/>
              </w:rPr>
              <w:t>Dr. 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b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sz w:val="20"/>
              </w:rPr>
              <w:t>September 4, 2026</w:t>
            </w:r>
          </w:p>
        </w:tc>
      </w:tr>
      <w:tr>
        <w:trPr/>
        <w:tc>
          <w:tcPr>
            <w:tcW w:w="1925" w:type="dxa"/>
            <w:tcBorders/>
            <w:tcMar>
              <w:bottom w:w="0" w:type="dxa"/>
            </w:tcMar>
            <w:vAlign w:val="center"/>
          </w:tcPr>
          <w:p>
            <w:pPr>
              <w:pStyle w:val="TableContents"/>
              <w:bidi w:val="0"/>
              <w:spacing w:before="0" w:after="283"/>
              <w:jc w:val="center"/>
              <w:rPr>
                <w:sz w:val="20"/>
              </w:rPr>
            </w:pPr>
            <w:r>
              <w:rPr>
                <w:sz w:val="20"/>
              </w:rPr>
              <w:t>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sz w:val="20"/>
              </w:rPr>
              <w:t>September 4, 2026</w:t>
            </w:r>
          </w:p>
        </w:tc>
      </w:tr>
      <w:tr>
        <w:trPr/>
        <w:tc>
          <w:tcPr>
            <w:tcW w:w="1925" w:type="dxa"/>
            <w:tcBorders/>
            <w:tcMar>
              <w:bottom w:w="0" w:type="dxa"/>
            </w:tcMar>
            <w:vAlign w:val="center"/>
          </w:tcPr>
          <w:p>
            <w:pPr>
              <w:pStyle w:val="TableContents"/>
              <w:bidi w:val="0"/>
              <w:spacing w:before="0" w:after="283"/>
              <w:jc w:val="center"/>
              <w:rPr>
                <w:sz w:val="20"/>
              </w:rPr>
            </w:pPr>
            <w:r>
              <w:rPr>
                <w:sz w:val="20"/>
              </w:rPr>
              <w:t>Dr. Eric Ball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sz w:val="20"/>
              </w:rPr>
              <w:t>September 4, 2026</w:t>
            </w:r>
          </w:p>
        </w:tc>
      </w:tr>
      <w:tr>
        <w:trPr/>
        <w:tc>
          <w:tcPr>
            <w:tcW w:w="1925" w:type="dxa"/>
            <w:tcBorders/>
            <w:tcMar>
              <w:bottom w:w="0" w:type="dxa"/>
            </w:tcMar>
            <w:vAlign w:val="center"/>
          </w:tcPr>
          <w:p>
            <w:pPr>
              <w:pStyle w:val="TableContents"/>
              <w:bidi w:val="0"/>
              <w:spacing w:before="0" w:after="283"/>
              <w:jc w:val="center"/>
              <w:rPr>
                <w:sz w:val="20"/>
              </w:rPr>
            </w:pPr>
            <w:r>
              <w:rPr>
                <w:sz w:val="20"/>
              </w:rPr>
              <w:t>Larry Marcus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sz w:val="20"/>
              </w:rPr>
              <w:t>September 4, 2026</w:t>
            </w:r>
          </w:p>
        </w:tc>
      </w:tr>
      <w:tr>
        <w:trPr/>
        <w:tc>
          <w:tcPr>
            <w:tcW w:w="1925" w:type="dxa"/>
            <w:tcBorders/>
            <w:tcMar>
              <w:bottom w:w="0" w:type="dxa"/>
            </w:tcMar>
            <w:vAlign w:val="center"/>
          </w:tcPr>
          <w:p>
            <w:pPr>
              <w:pStyle w:val="TableContents"/>
              <w:bidi w:val="0"/>
              <w:spacing w:before="0" w:after="283"/>
              <w:jc w:val="center"/>
              <w:rPr>
                <w:sz w:val="20"/>
              </w:rPr>
            </w:pPr>
            <w:r>
              <w:rPr>
                <w:sz w:val="20"/>
              </w:rPr>
              <w:t>Diana Sroka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 xml:space="preserve">The undersigned, by signing his name hereto, signs this registration statement on behalf of the directors of </w:t>
              <w:tab/>
              <w:t>the registrant above in front of whose name an asterisk appears pursuant to powers of attorney duly executed by such directors and filed with the SEC.</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35"/>
        <w:gridCol w:w="1910"/>
        <w:gridCol w:w="75"/>
      </w:tblGrid>
      <w:tr>
        <w:trPr/>
        <w:tc>
          <w:tcPr>
            <w:tcW w:w="335" w:type="dxa"/>
            <w:tcBorders/>
            <w:vAlign w:val="center"/>
          </w:tcPr>
          <w:p>
            <w:pPr>
              <w:pStyle w:val="TableContents"/>
              <w:bidi w:val="0"/>
              <w:spacing w:before="0" w:after="283"/>
              <w:jc w:val="left"/>
              <w:rPr>
                <w:sz w:val="20"/>
              </w:rPr>
            </w:pPr>
            <w:r>
              <w:rPr>
                <w:sz w:val="20"/>
              </w:rPr>
              <w:t>By:</w:t>
            </w:r>
          </w:p>
        </w:tc>
        <w:tc>
          <w:tcPr>
            <w:tcW w:w="19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Dr. Keyvan Mohajer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Dr. Keyvan Mohajer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30463301ex5-1.htm"/>
      <w:bookmarkStart w:id="3" w:name="ksea030463301ex51"/>
      <w:bookmarkEnd w:id="2"/>
      <w:bookmarkEnd w:id="3"/>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7969" w:type="dxa"/>
        <w:jc w:val="left"/>
        <w:tblInd w:w="0" w:type="dxa"/>
        <w:tblLayout w:type="fixed"/>
        <w:tblCellMar>
          <w:top w:w="0" w:type="dxa"/>
          <w:left w:w="0" w:type="dxa"/>
          <w:bottom w:w="0" w:type="dxa"/>
          <w:right w:w="0" w:type="dxa"/>
        </w:tblCellMar>
      </w:tblPr>
      <w:tblGrid>
        <w:gridCol w:w="3630"/>
        <w:gridCol w:w="1776"/>
        <w:gridCol w:w="2563"/>
      </w:tblGrid>
      <w:tr>
        <w:trPr/>
        <w:tc>
          <w:tcPr>
            <w:tcW w:w="3630" w:type="dxa"/>
            <w:tcBorders/>
            <w:vAlign w:val="center"/>
          </w:tcPr>
          <w:p>
            <w:pPr>
              <w:pStyle w:val="TableContents"/>
              <w:bidi w:val="0"/>
              <w:spacing w:before="0" w:after="283"/>
              <w:jc w:val="left"/>
              <w:rPr/>
            </w:pPr>
            <w:r>
              <w:rPr/>
              <w:t> </w:t>
            </w: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p>
        </w:tc>
        <w:tc>
          <w:tcPr>
            <w:tcW w:w="4339" w:type="dxa"/>
            <w:gridSpan w:val="2"/>
            <w:tcBorders/>
            <w:vAlign w:val="center"/>
          </w:tcPr>
          <w:p>
            <w:pPr>
              <w:pStyle w:val="TableContents"/>
              <w:bidi w:val="0"/>
              <w:spacing w:before="0" w:after="283"/>
              <w:jc w:val="left"/>
              <w:rPr/>
            </w:pPr>
            <w:r>
              <w:rPr/>
              <w:t>330 North Wabash Avenue</w:t>
            </w:r>
          </w:p>
        </w:tc>
      </w:tr>
      <w:tr>
        <w:trPr/>
        <w:tc>
          <w:tcPr>
            <w:tcW w:w="3630"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Suite 2800</w:t>
            </w:r>
          </w:p>
        </w:tc>
      </w:tr>
      <w:tr>
        <w:trPr/>
        <w:tc>
          <w:tcPr>
            <w:tcW w:w="3630"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Chicago, Illinois  60611</w:t>
            </w:r>
          </w:p>
        </w:tc>
      </w:tr>
      <w:tr>
        <w:trPr/>
        <w:tc>
          <w:tcPr>
            <w:tcW w:w="3630" w:type="dxa"/>
            <w:vMerge w:val="restart"/>
            <w:tcBorders/>
            <w:vAlign w:val="center"/>
          </w:tcPr>
          <w:p>
            <w:pPr>
              <w:pStyle w:val="TableContents"/>
              <w:bidi w:val="0"/>
              <w:spacing w:before="0" w:after="283"/>
              <w:jc w:val="left"/>
              <w:rPr>
                <w:sz w:val="4"/>
                <w:szCs w:val="4"/>
              </w:rPr>
            </w:pPr>
            <w:r>
              <w:rPr>
                <w:sz w:val="4"/>
                <w:szCs w:val="4"/>
              </w:rPr>
            </w:r>
          </w:p>
        </w:tc>
        <w:tc>
          <w:tcPr>
            <w:tcW w:w="4339" w:type="dxa"/>
            <w:gridSpan w:val="2"/>
            <w:tcBorders/>
            <w:vAlign w:val="center"/>
          </w:tcPr>
          <w:p>
            <w:pPr>
              <w:pStyle w:val="TableContents"/>
              <w:bidi w:val="0"/>
              <w:spacing w:before="0" w:after="283"/>
              <w:jc w:val="left"/>
              <w:rPr/>
            </w:pPr>
            <w:r>
              <w:rPr/>
              <w:t>Tel: +1.312.876.7700  Fax: +1.312.993.9767</w:t>
            </w:r>
          </w:p>
        </w:tc>
      </w:tr>
      <w:tr>
        <w:trPr/>
        <w:tc>
          <w:tcPr>
            <w:tcW w:w="3630" w:type="dxa"/>
            <w:vMerge w:val="continue"/>
            <w:tcBorders/>
            <w:vAlign w:val="center"/>
          </w:tcPr>
          <w:p>
            <w:pPr>
              <w:pStyle w:val="Normal"/>
              <w:bidi w:val="0"/>
              <w:jc w:val="left"/>
              <w:rPr/>
            </w:pPr>
            <w:r>
              <w:rPr/>
            </w:r>
          </w:p>
        </w:tc>
        <w:tc>
          <w:tcPr>
            <w:tcW w:w="4339" w:type="dxa"/>
            <w:gridSpan w:val="2"/>
            <w:tcBorders/>
            <w:vAlign w:val="center"/>
          </w:tcPr>
          <w:p>
            <w:pPr>
              <w:pStyle w:val="TableContents"/>
              <w:bidi w:val="0"/>
              <w:spacing w:before="0" w:after="283"/>
              <w:jc w:val="left"/>
              <w:rPr/>
            </w:pPr>
            <w:r>
              <w:rPr/>
              <w:t>www.lw.com</w:t>
            </w:r>
          </w:p>
        </w:tc>
      </w:tr>
      <w:tr>
        <w:trPr/>
        <w:tc>
          <w:tcPr>
            <w:tcW w:w="3630"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3630"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FIRM / AFFILIATE OFFICES</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Austin</w:t>
            </w:r>
          </w:p>
        </w:tc>
        <w:tc>
          <w:tcPr>
            <w:tcW w:w="2563" w:type="dxa"/>
            <w:tcBorders/>
            <w:vAlign w:val="center"/>
          </w:tcPr>
          <w:p>
            <w:pPr>
              <w:pStyle w:val="TableContents"/>
              <w:bidi w:val="0"/>
              <w:spacing w:before="0" w:after="283"/>
              <w:jc w:val="left"/>
              <w:rPr/>
            </w:pPr>
            <w:r>
              <w:rPr/>
              <w:t>Milan</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Beijing</w:t>
            </w:r>
          </w:p>
        </w:tc>
        <w:tc>
          <w:tcPr>
            <w:tcW w:w="2563" w:type="dxa"/>
            <w:tcBorders/>
            <w:vAlign w:val="center"/>
          </w:tcPr>
          <w:p>
            <w:pPr>
              <w:pStyle w:val="TableContents"/>
              <w:bidi w:val="0"/>
              <w:spacing w:before="0" w:after="283"/>
              <w:jc w:val="left"/>
              <w:rPr/>
            </w:pPr>
            <w:r>
              <w:rPr/>
              <w:t>Munich</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Boston</w:t>
            </w:r>
          </w:p>
        </w:tc>
        <w:tc>
          <w:tcPr>
            <w:tcW w:w="2563" w:type="dxa"/>
            <w:tcBorders/>
            <w:vAlign w:val="center"/>
          </w:tcPr>
          <w:p>
            <w:pPr>
              <w:pStyle w:val="TableContents"/>
              <w:bidi w:val="0"/>
              <w:spacing w:before="0" w:after="283"/>
              <w:jc w:val="left"/>
              <w:rPr/>
            </w:pPr>
            <w:r>
              <w:rPr/>
              <w:t>New York</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Brussels</w:t>
            </w:r>
          </w:p>
        </w:tc>
        <w:tc>
          <w:tcPr>
            <w:tcW w:w="2563" w:type="dxa"/>
            <w:tcBorders/>
            <w:vAlign w:val="center"/>
          </w:tcPr>
          <w:p>
            <w:pPr>
              <w:pStyle w:val="TableContents"/>
              <w:bidi w:val="0"/>
              <w:spacing w:before="0" w:after="283"/>
              <w:jc w:val="left"/>
              <w:rPr/>
            </w:pPr>
            <w:r>
              <w:rPr/>
              <w:t>Orange County</w:t>
            </w:r>
          </w:p>
        </w:tc>
      </w:tr>
      <w:tr>
        <w:trPr/>
        <w:tc>
          <w:tcPr>
            <w:tcW w:w="3630" w:type="dxa"/>
            <w:tcBorders/>
            <w:vAlign w:val="center"/>
          </w:tcPr>
          <w:p>
            <w:pPr>
              <w:pStyle w:val="TableContents"/>
              <w:bidi w:val="0"/>
              <w:spacing w:before="0" w:after="283"/>
              <w:jc w:val="left"/>
              <w:rPr/>
            </w:pPr>
            <w:r>
              <w:rPr/>
              <w:t>September 4, 2026</w:t>
            </w:r>
          </w:p>
        </w:tc>
        <w:tc>
          <w:tcPr>
            <w:tcW w:w="1776" w:type="dxa"/>
            <w:tcBorders/>
            <w:vAlign w:val="center"/>
          </w:tcPr>
          <w:p>
            <w:pPr>
              <w:pStyle w:val="TableContents"/>
              <w:bidi w:val="0"/>
              <w:spacing w:before="0" w:after="283"/>
              <w:jc w:val="left"/>
              <w:rPr/>
            </w:pPr>
            <w:r>
              <w:rPr/>
              <w:t>Chicago</w:t>
            </w:r>
          </w:p>
        </w:tc>
        <w:tc>
          <w:tcPr>
            <w:tcW w:w="2563" w:type="dxa"/>
            <w:tcBorders/>
            <w:vAlign w:val="center"/>
          </w:tcPr>
          <w:p>
            <w:pPr>
              <w:pStyle w:val="TableContents"/>
              <w:bidi w:val="0"/>
              <w:spacing w:before="0" w:after="283"/>
              <w:jc w:val="left"/>
              <w:rPr/>
            </w:pPr>
            <w:r>
              <w:rPr/>
              <w:t>Paris</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Dubai</w:t>
            </w:r>
          </w:p>
        </w:tc>
        <w:tc>
          <w:tcPr>
            <w:tcW w:w="2563" w:type="dxa"/>
            <w:tcBorders/>
            <w:vAlign w:val="center"/>
          </w:tcPr>
          <w:p>
            <w:pPr>
              <w:pStyle w:val="TableContents"/>
              <w:bidi w:val="0"/>
              <w:spacing w:before="0" w:after="283"/>
              <w:jc w:val="left"/>
              <w:rPr/>
            </w:pPr>
            <w:r>
              <w:rPr/>
              <w:t>Riyadh</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Düsseldorf</w:t>
            </w:r>
          </w:p>
        </w:tc>
        <w:tc>
          <w:tcPr>
            <w:tcW w:w="2563" w:type="dxa"/>
            <w:tcBorders/>
            <w:vAlign w:val="center"/>
          </w:tcPr>
          <w:p>
            <w:pPr>
              <w:pStyle w:val="TableContents"/>
              <w:bidi w:val="0"/>
              <w:spacing w:before="0" w:after="283"/>
              <w:jc w:val="left"/>
              <w:rPr/>
            </w:pPr>
            <w:r>
              <w:rPr/>
              <w:t>San Diego</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Frankfurt</w:t>
            </w:r>
          </w:p>
        </w:tc>
        <w:tc>
          <w:tcPr>
            <w:tcW w:w="2563" w:type="dxa"/>
            <w:tcBorders/>
            <w:vAlign w:val="center"/>
          </w:tcPr>
          <w:p>
            <w:pPr>
              <w:pStyle w:val="TableContents"/>
              <w:bidi w:val="0"/>
              <w:spacing w:before="0" w:after="283"/>
              <w:jc w:val="left"/>
              <w:rPr/>
            </w:pPr>
            <w:r>
              <w:rPr/>
              <w:t>San Francisco</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Hamburg</w:t>
            </w:r>
          </w:p>
        </w:tc>
        <w:tc>
          <w:tcPr>
            <w:tcW w:w="2563" w:type="dxa"/>
            <w:tcBorders/>
            <w:vAlign w:val="center"/>
          </w:tcPr>
          <w:p>
            <w:pPr>
              <w:pStyle w:val="TableContents"/>
              <w:bidi w:val="0"/>
              <w:spacing w:before="0" w:after="283"/>
              <w:jc w:val="left"/>
              <w:rPr/>
            </w:pPr>
            <w:r>
              <w:rPr/>
              <w:t>Seoul</w:t>
            </w:r>
          </w:p>
        </w:tc>
      </w:tr>
      <w:tr>
        <w:trPr/>
        <w:tc>
          <w:tcPr>
            <w:tcW w:w="3630" w:type="dxa"/>
            <w:tcBorders/>
            <w:vAlign w:val="center"/>
          </w:tcPr>
          <w:p>
            <w:pPr>
              <w:pStyle w:val="TableContents"/>
              <w:bidi w:val="0"/>
              <w:spacing w:before="0" w:after="283"/>
              <w:jc w:val="left"/>
              <w:rPr/>
            </w:pPr>
            <w:r>
              <w:rPr/>
              <w:t>SoundHound AI, Inc.</w:t>
            </w:r>
          </w:p>
        </w:tc>
        <w:tc>
          <w:tcPr>
            <w:tcW w:w="1776" w:type="dxa"/>
            <w:tcBorders/>
            <w:vAlign w:val="center"/>
          </w:tcPr>
          <w:p>
            <w:pPr>
              <w:pStyle w:val="TableContents"/>
              <w:bidi w:val="0"/>
              <w:spacing w:before="0" w:after="283"/>
              <w:jc w:val="left"/>
              <w:rPr/>
            </w:pPr>
            <w:r>
              <w:rPr/>
              <w:t>Hong Kong</w:t>
            </w:r>
          </w:p>
        </w:tc>
        <w:tc>
          <w:tcPr>
            <w:tcW w:w="2563" w:type="dxa"/>
            <w:tcBorders/>
            <w:vAlign w:val="center"/>
          </w:tcPr>
          <w:p>
            <w:pPr>
              <w:pStyle w:val="TableContents"/>
              <w:bidi w:val="0"/>
              <w:spacing w:before="0" w:after="283"/>
              <w:jc w:val="left"/>
              <w:rPr/>
            </w:pPr>
            <w:r>
              <w:rPr/>
              <w:t>Silicon Valley</w:t>
            </w:r>
          </w:p>
        </w:tc>
      </w:tr>
      <w:tr>
        <w:trPr/>
        <w:tc>
          <w:tcPr>
            <w:tcW w:w="3630" w:type="dxa"/>
            <w:tcBorders/>
            <w:vAlign w:val="center"/>
          </w:tcPr>
          <w:p>
            <w:pPr>
              <w:pStyle w:val="TableContents"/>
              <w:bidi w:val="0"/>
              <w:spacing w:before="0" w:after="283"/>
              <w:jc w:val="left"/>
              <w:rPr/>
            </w:pPr>
            <w:r>
              <w:rPr/>
              <w:t>5400 Betsy Ross Drive</w:t>
            </w:r>
          </w:p>
        </w:tc>
        <w:tc>
          <w:tcPr>
            <w:tcW w:w="1776" w:type="dxa"/>
            <w:tcBorders/>
            <w:vAlign w:val="center"/>
          </w:tcPr>
          <w:p>
            <w:pPr>
              <w:pStyle w:val="TableContents"/>
              <w:bidi w:val="0"/>
              <w:spacing w:before="0" w:after="283"/>
              <w:jc w:val="left"/>
              <w:rPr/>
            </w:pPr>
            <w:r>
              <w:rPr/>
              <w:t>Houston</w:t>
            </w:r>
          </w:p>
        </w:tc>
        <w:tc>
          <w:tcPr>
            <w:tcW w:w="2563" w:type="dxa"/>
            <w:tcBorders/>
            <w:vAlign w:val="center"/>
          </w:tcPr>
          <w:p>
            <w:pPr>
              <w:pStyle w:val="TableContents"/>
              <w:bidi w:val="0"/>
              <w:spacing w:before="0" w:after="283"/>
              <w:jc w:val="left"/>
              <w:rPr/>
            </w:pPr>
            <w:r>
              <w:rPr/>
              <w:t>Singapore</w:t>
            </w:r>
          </w:p>
        </w:tc>
      </w:tr>
      <w:tr>
        <w:trPr/>
        <w:tc>
          <w:tcPr>
            <w:tcW w:w="3630" w:type="dxa"/>
            <w:tcBorders/>
            <w:vAlign w:val="center"/>
          </w:tcPr>
          <w:p>
            <w:pPr>
              <w:pStyle w:val="TableContents"/>
              <w:bidi w:val="0"/>
              <w:spacing w:before="0" w:after="283"/>
              <w:jc w:val="left"/>
              <w:rPr/>
            </w:pPr>
            <w:r>
              <w:rPr/>
              <w:t>Santa Clara, CA 95054</w:t>
            </w:r>
          </w:p>
        </w:tc>
        <w:tc>
          <w:tcPr>
            <w:tcW w:w="1776" w:type="dxa"/>
            <w:tcBorders/>
            <w:vAlign w:val="center"/>
          </w:tcPr>
          <w:p>
            <w:pPr>
              <w:pStyle w:val="TableContents"/>
              <w:bidi w:val="0"/>
              <w:spacing w:before="0" w:after="283"/>
              <w:jc w:val="left"/>
              <w:rPr/>
            </w:pPr>
            <w:r>
              <w:rPr/>
              <w:t>London</w:t>
            </w:r>
          </w:p>
        </w:tc>
        <w:tc>
          <w:tcPr>
            <w:tcW w:w="2563" w:type="dxa"/>
            <w:tcBorders/>
            <w:vAlign w:val="center"/>
          </w:tcPr>
          <w:p>
            <w:pPr>
              <w:pStyle w:val="TableContents"/>
              <w:bidi w:val="0"/>
              <w:spacing w:before="0" w:after="283"/>
              <w:jc w:val="left"/>
              <w:rPr/>
            </w:pPr>
            <w:r>
              <w:rPr/>
              <w:t>Tel Aviv</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Los Angeles</w:t>
            </w:r>
          </w:p>
        </w:tc>
        <w:tc>
          <w:tcPr>
            <w:tcW w:w="2563" w:type="dxa"/>
            <w:tcBorders/>
            <w:vAlign w:val="center"/>
          </w:tcPr>
          <w:p>
            <w:pPr>
              <w:pStyle w:val="TableContents"/>
              <w:bidi w:val="0"/>
              <w:spacing w:before="0" w:after="283"/>
              <w:jc w:val="left"/>
              <w:rPr/>
            </w:pPr>
            <w:r>
              <w:rPr/>
              <w:t>Tokyo</w:t>
            </w:r>
          </w:p>
        </w:tc>
      </w:tr>
      <w:tr>
        <w:trPr/>
        <w:tc>
          <w:tcPr>
            <w:tcW w:w="363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Madrid</w:t>
            </w:r>
          </w:p>
        </w:tc>
        <w:tc>
          <w:tcPr>
            <w:tcW w:w="2563" w:type="dxa"/>
            <w:tcBorders/>
            <w:vAlign w:val="center"/>
          </w:tcPr>
          <w:p>
            <w:pPr>
              <w:pStyle w:val="TableContents"/>
              <w:bidi w:val="0"/>
              <w:spacing w:before="0" w:after="283"/>
              <w:jc w:val="left"/>
              <w:rPr/>
            </w:pPr>
            <w:r>
              <w:rPr/>
              <w:t>Washington, D.C.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Re: </w:t>
      </w:r>
      <w:r>
        <w:rPr>
          <w:u w:val="single"/>
        </w:rPr>
        <w:t>Registration Statement on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SoundHound AI,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proposed issuance of up to 5,819,020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to be issued pursuant to that certain Amended and Restated Merger Agreement, dated as of July 2, 2026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by and among the Company, LivePerson, Inc., a Delaware corporation (“</w:t>
      </w:r>
      <w:r>
        <w:rPr>
          <w:rFonts w:ascii="Times New Roman;Times;Serif" w:hAnsi="Times New Roman;Times;Serif"/>
          <w:b/>
          <w:i/>
          <w:caps w:val="false"/>
          <w:smallCaps w:val="false"/>
          <w:sz w:val="20"/>
        </w:rPr>
        <w:t>LivePerson</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i/>
          <w:caps w:val="false"/>
          <w:smallCaps w:val="false"/>
          <w:sz w:val="20"/>
        </w:rPr>
        <w:t>Merger Sub I</w:t>
      </w:r>
      <w:r>
        <w:rPr>
          <w:rFonts w:ascii="Times New Roman;Times;Serif" w:hAnsi="Times New Roman;Times;Serif"/>
          <w:b w:val="false"/>
          <w:i w:val="false"/>
          <w:caps w:val="false"/>
          <w:smallCaps w:val="false"/>
          <w:sz w:val="20"/>
        </w:rPr>
        <w:t>”), and Lightspeed Merger Sub II Inc., an indirect, wholly owned subsidiary of SoundHound (“</w:t>
      </w:r>
      <w:r>
        <w:rPr>
          <w:rFonts w:ascii="Times New Roman;Times;Serif" w:hAnsi="Times New Roman;Times;Serif"/>
          <w:b/>
          <w:i/>
          <w:caps w:val="false"/>
          <w:smallCaps w:val="false"/>
          <w:sz w:val="20"/>
        </w:rPr>
        <w:t>Merger Sub II</w:t>
      </w:r>
      <w:r>
        <w:rPr>
          <w:rFonts w:ascii="Times New Roman;Times;Serif" w:hAnsi="Times New Roman;Times;Serif"/>
          <w:b w:val="false"/>
          <w:i w:val="false"/>
          <w:caps w:val="false"/>
          <w:smallCaps w:val="false"/>
          <w:sz w:val="20"/>
        </w:rPr>
        <w:t>”). The Shares are included in a registration statement on Form S-4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initially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May 27, 2026, and amended by the filing of the Company’s registration statement on Form S-4 pursuant to Rule 462(b) under the Act (collectively and as may be further amended from time to time,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other than as expressly stated herein with respect to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52575"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2575" cy="114300"/>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4, 2026</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applicable LivePerson securityholders, and have been issued by the Company against payment therefor (not less than par value) in the circumstances contemplated by the Registration Statement and the Merger Agreement, the issuance of the Shares will have been duly authorized by all necessary corporate action of the Company, and the Shares will be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 we have assumed that (i) at or prior to the time of the delivery of any Shares, the Registration Statement will have been declared effective under the Act and that the registration will apply to all of the Shares and will not have been modified or rescinded and that there will not have occurred any change in law affecting the validity of the issuance of such Shares and (ii) the Company will comply with all applicable notice requirements regarding uncertificated shares provided in the General Corporation Law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or post-effective amendment to the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2600"/>
        <w:gridCol w:w="75"/>
      </w:tblGrid>
      <w:tr>
        <w:trPr/>
        <w:tc>
          <w:tcPr>
            <w:tcW w:w="2600" w:type="dxa"/>
            <w:tcBorders/>
            <w:vAlign w:val="center"/>
          </w:tcPr>
          <w:p>
            <w:pPr>
              <w:pStyle w:val="TableContents"/>
              <w:bidi w:val="0"/>
              <w:spacing w:before="0" w:after="283"/>
              <w:jc w:val="left"/>
              <w:rPr/>
            </w:pPr>
            <w:r>
              <w:rPr/>
              <w:t>Sincerely,</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/s/ Latham &amp; Watkins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 w:name="ea030463301ex23-1.htm"/>
      <w:bookmarkStart w:id="5" w:name="ksea030463301ex231"/>
      <w:bookmarkEnd w:id="4"/>
      <w:bookmarkEnd w:id="5"/>
      <w:r>
        <w:rPr>
          <w:rFonts w:ascii="Times New Roman;Times;Serif" w:hAnsi="Times New Roman;Times;Serif"/>
          <w:b/>
          <w:i w:val="false"/>
          <w:caps w:val="false"/>
          <w:smallCaps w:val="false"/>
          <w:sz w:val="20"/>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our report dated March 2, 2026 relating to the financial statements and the effectiveness of internal control over financial reporting, which appears in the Registration Statement on Form S-4 (No. 333-296284) of SoundHound AI, Inc.. We also consent to the reference to us under the heading “Experts” in the Registration Statement on Form S-4 (No. 333-296284)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463301ex23-2.htm"/>
      <w:bookmarkStart w:id="7" w:name="ksea030463301ex232"/>
      <w:bookmarkEnd w:id="6"/>
      <w:bookmarkEnd w:id="7"/>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S-4 filed pursuant to Rule 462(b) of the Securities Act of 1933 of the reference to our firm under the caption “Experts” and to the incorporation by reference therein of our report dated November 14, 2025, relating to the consolidated financial statements of Interactions Corporation as of and for the year ended December 31, 2024 included in the Current Report on Form 8-K/A of SoundHound AI, Inc., filed with the Securities and Exchange Commission on 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463301ex23-3.htm"/>
      <w:bookmarkStart w:id="9" w:name="ksea030463301ex233"/>
      <w:bookmarkEnd w:id="8"/>
      <w:bookmarkEnd w:id="9"/>
      <w:r>
        <w:rPr>
          <w:rFonts w:ascii="Times New Roman;Times;Serif" w:hAnsi="Times New Roman;Times;Serif"/>
          <w:b/>
          <w:i w:val="false"/>
          <w:caps w:val="false"/>
          <w:smallCaps w:val="false"/>
          <w:sz w:val="20"/>
        </w:rPr>
        <w:t xml:space="preserve">Exhibit </w:t>
      </w:r>
      <w:r>
        <w:rPr>
          <w:rFonts w:ascii="Times New Roman;Times;Serif" w:hAnsi="Times New Roman;Times;Serif"/>
          <w:b/>
          <w:i w:val="false"/>
          <w:caps w:val="false"/>
          <w:smallCaps w:val="false"/>
          <w:sz w:val="20"/>
          <w:shd w:fill="FFFFFF" w:val="clear"/>
        </w:rPr>
        <w:t>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our reports dated March 13, 2026, relating to the consolidated financial statements and the effectiveness of internal control over financial reporting of LivePerson, Inc., which are incorporated by reference in the Registration Statement on Form S-4 (No. 333-296284).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463301ex99-1.htm"/>
      <w:bookmarkStart w:id="11" w:name="ksea030463301ex991"/>
      <w:bookmarkEnd w:id="10"/>
      <w:bookmarkEnd w:id="11"/>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HOULIHAN LOKEY CAPITAL,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LivePerson,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 7th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M1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33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Statement on Form S-4 (the “Registration Statement”) of SoundHound AI, Inc. (“SoundHound”).</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opinion letter (“opinion”), dated April 21, 2026, to the Board of Directors (the “Board”) of LivePerson, Inc. (“LivePerson”). We understand that LivePerson has determined to include our opinion in the Proxy Statement of LivePerson / Prospectus of SoundHound (the “Proxy Statement/Prospectus”) included in the registration statement on Form S-4 (File No. 333- 296284) (the “Prior Registration Statement”), initially filed by SoundHound on May 27, 2026, amended on July 2, 2026 and July 8, 2026, and declared effective by the Securities and Exchange Commission on July 9, 2026. We also understand that the contents of the Prior Registration Statement, including the exhibits thereto, are to be incorporated by reference into the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Proxy Statement/Prospectus included in the Prior Registration Statement and its incorporation by reference into the Registration Statement filed with the Securities and Exchange Commission as of the date hereof under the following captions of the Proxy Statement/Prospectus: “SUMMARY – Opinion of LivePerson’s Financial Advisor,” “THE MERGERS — Background of the Mergers,” “THE MERGERS — Recommendation of the LivePerson Board of Directors; LivePerson’s Reasons for the Mergers,” and “THE MERGERS — Opinion of LivePerson’s Financial Advisor” and to the inclusion of our opinion as Annex B to the Proxy Statement/Prospectus included in the Prior Registration Statement and its incorporation by reference into the Registration Statement. Notwithstanding the foregoing, it is understood that this consent is being delivered solely in connection with the filing of the above-mentioned Registration Statement as of the date hereof and that our opinion is not to be filed with, included in or referred to in whole or in part in any other registration statement (including any amendments to the above-mentioned Registration Statement), proxy statement or any other document, except, in each instance, in accordance with our prior written consent.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Houlihan Lokey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CAPITAL, INC.</w:t>
      </w:r>
    </w:p>
    <w:p>
      <w:pPr>
        <w:pStyle w:val="TextBody"/>
        <w:bidi w:val="0"/>
        <w:spacing w:before="0" w:after="240"/>
        <w:jc w:val="right"/>
        <w:rPr>
          <w:rFonts w:ascii="Times New Roman;Times;Serif" w:hAnsi="Times New Roman;Times;Serif"/>
          <w:b/>
          <w:i w:val="false"/>
          <w:caps w:val="false"/>
          <w:smallCaps w:val="false"/>
          <w:sz w:val="24"/>
        </w:rPr>
      </w:pPr>
      <w:bookmarkStart w:id="12" w:name="ea030463301ex-fee.htm"/>
      <w:bookmarkStart w:id="13" w:name="ksea030463301exfee"/>
      <w:bookmarkEnd w:id="12"/>
      <w:bookmarkEnd w:id="1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SoundHound AI,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9"/>
        <w:gridCol w:w="60"/>
        <w:gridCol w:w="805"/>
        <w:gridCol w:w="60"/>
        <w:gridCol w:w="928"/>
        <w:gridCol w:w="60"/>
        <w:gridCol w:w="575"/>
        <w:gridCol w:w="60"/>
        <w:gridCol w:w="1103"/>
        <w:gridCol w:w="60"/>
        <w:gridCol w:w="1032"/>
        <w:gridCol w:w="60"/>
        <w:gridCol w:w="708"/>
        <w:gridCol w:w="304"/>
        <w:gridCol w:w="60"/>
        <w:gridCol w:w="141"/>
        <w:gridCol w:w="1297"/>
        <w:gridCol w:w="60"/>
        <w:gridCol w:w="1040"/>
        <w:gridCol w:w="60"/>
        <w:gridCol w:w="199"/>
        <w:gridCol w:w="994"/>
      </w:tblGrid>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539"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2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Common Stock, par value $0.0001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726,888</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w:t>
            </w:r>
          </w:p>
        </w:tc>
        <w:tc>
          <w:tcPr>
            <w:tcW w:w="3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2,006,210.88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277.06</w:t>
            </w:r>
          </w:p>
        </w:tc>
      </w:tr>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4"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2,006,210.88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277.06</w:t>
            </w:r>
          </w:p>
        </w:tc>
      </w:tr>
      <w:tr>
        <w:trPr/>
        <w:tc>
          <w:tcPr>
            <w:tcW w:w="6354"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0.00</w:t>
            </w:r>
          </w:p>
        </w:tc>
      </w:tr>
      <w:tr>
        <w:trPr/>
        <w:tc>
          <w:tcPr>
            <w:tcW w:w="6354"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354"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8" w:space="0" w:color="000000"/>
            </w:tcBorders>
            <w:tcMar>
              <w:bottom w:w="28" w:type="dxa"/>
            </w:tcMar>
            <w:vAlign w:val="center"/>
          </w:tcPr>
          <w:p>
            <w:pPr>
              <w:pStyle w:val="TableContents"/>
              <w:bidi w:val="0"/>
              <w:spacing w:before="0" w:after="283"/>
              <w:jc w:val="left"/>
              <w:rPr/>
            </w:pPr>
            <w:r>
              <w:rPr/>
              <w:t>$</w:t>
            </w:r>
          </w:p>
        </w:tc>
        <w:tc>
          <w:tcPr>
            <w:tcW w:w="994" w:type="dxa"/>
            <w:tcBorders>
              <w:bottom w:val="double" w:sz="8" w:space="0" w:color="000000"/>
            </w:tcBorders>
            <w:tcMar>
              <w:bottom w:w="28" w:type="dxa"/>
            </w:tcMar>
            <w:vAlign w:val="center"/>
          </w:tcPr>
          <w:p>
            <w:pPr>
              <w:pStyle w:val="TableContents"/>
              <w:bidi w:val="0"/>
              <w:spacing w:before="0" w:after="283"/>
              <w:jc w:val="right"/>
              <w:rPr/>
            </w:pPr>
            <w:r>
              <w:rPr/>
              <w:t>277.06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Calculated pursuant to Rules 457(c) and 457(f)(1) promulgated under the Securities Act of 1933, as amended, and solely for the purpose of calculating the registration fee the proposed maximum aggregate offering price of $2,006,210.88 of the securities being registered was calculated based on the product of (a) $2.76, the average of the high and low prices per share of Common Stock, par value $0.001 per share (“LivePerson common stock”), of LivePerson, Inc. (“LivePerson”) on the New York Stock Exchange on August 28, 2026, multiplied by (b) 726,888, the estimated maximum number of shares of LivePerson common stock to be exchanged for shares of Class A common stock, par value $0.0001 per share, of SoundHound AI, Inc. (“SoundHound”) upon completion of the transactions contemplated by the Amended and Restated Agreement and Plan of Merger, dated as of July 2, 2026, by and among SoundHound, LivePerson, Lightspeed Merger Sub, Inc., an indirect wholly owned subsidiary of SoundHound, and Lightspeed Merger Sub II Inc., an indirect, wholly owned subsidiary of SoundHound.</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2932</Words>
  <Characters>16018</Characters>
  <CharactersWithSpaces>19024</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