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89"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22" w:lineRule="exact"/>
        <w:rPr>
          <w:sz w:val="24"/>
          <w:szCs w:val="24"/>
          <w:color w:val="auto"/>
        </w:rPr>
      </w:pPr>
    </w:p>
    <w:p>
      <w:pPr>
        <w:jc w:val="center"/>
        <w:spacing w:after="0" w:line="451"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transition period from________to________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001-40193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00" w:type="dxa"/>
            <w:vAlign w:val="bottom"/>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b w:val="1"/>
                <w:bCs w:val="1"/>
                <w:color w:val="auto"/>
                <w:w w:val="89"/>
              </w:rPr>
              <w:t>86-1286799</w:t>
            </w:r>
          </w:p>
        </w:tc>
      </w:tr>
      <w:tr>
        <w:trPr>
          <w:trHeight w:val="229"/>
        </w:trPr>
        <w:tc>
          <w:tcPr>
            <w:tcW w:w="7660" w:type="dxa"/>
            <w:vAlign w:val="bottom"/>
            <w:gridSpan w:val="3"/>
          </w:tcPr>
          <w:p>
            <w:pPr>
              <w:jc w:val="center"/>
              <w:ind w:right="2080"/>
              <w:spacing w:after="0"/>
              <w:rPr>
                <w:sz w:val="20"/>
                <w:szCs w:val="20"/>
                <w:color w:val="auto"/>
              </w:rPr>
            </w:pPr>
            <w:r>
              <w:rPr>
                <w:rFonts w:ascii="Arial" w:cs="Arial" w:eastAsia="Arial" w:hAnsi="Arial"/>
                <w:sz w:val="18"/>
                <w:szCs w:val="18"/>
                <w:color w:val="auto"/>
                <w:w w:val="93"/>
              </w:rPr>
              <w:t>(State or other jurisdiction of</w:t>
            </w:r>
          </w:p>
        </w:tc>
        <w:tc>
          <w:tcPr>
            <w:tcW w:w="3580" w:type="dxa"/>
            <w:vAlign w:val="bottom"/>
          </w:tcPr>
          <w:p>
            <w:pPr>
              <w:jc w:val="center"/>
              <w:ind w:right="1910"/>
              <w:spacing w:after="0"/>
              <w:rPr>
                <w:sz w:val="20"/>
                <w:szCs w:val="20"/>
                <w:color w:val="auto"/>
              </w:rPr>
            </w:pPr>
            <w:r>
              <w:rPr>
                <w:rFonts w:ascii="Arial" w:cs="Arial" w:eastAsia="Arial" w:hAnsi="Arial"/>
                <w:sz w:val="18"/>
                <w:szCs w:val="18"/>
                <w:color w:val="auto"/>
                <w:w w:val="92"/>
              </w:rPr>
              <w:t>(I.R.S. Employer</w:t>
            </w:r>
          </w:p>
        </w:tc>
      </w:tr>
      <w:tr>
        <w:trPr>
          <w:trHeight w:val="230"/>
        </w:trPr>
        <w:tc>
          <w:tcPr>
            <w:tcW w:w="7660" w:type="dxa"/>
            <w:vAlign w:val="bottom"/>
            <w:gridSpan w:val="3"/>
          </w:tcPr>
          <w:p>
            <w:pPr>
              <w:jc w:val="center"/>
              <w:ind w:right="2040"/>
              <w:spacing w:after="0"/>
              <w:rPr>
                <w:sz w:val="20"/>
                <w:szCs w:val="20"/>
                <w:color w:val="auto"/>
              </w:rPr>
            </w:pPr>
            <w:r>
              <w:rPr>
                <w:rFonts w:ascii="Arial" w:cs="Arial" w:eastAsia="Arial" w:hAnsi="Arial"/>
                <w:sz w:val="18"/>
                <w:szCs w:val="18"/>
                <w:color w:val="auto"/>
                <w:w w:val="93"/>
              </w:rPr>
              <w:t>incorporation or organization)</w:t>
            </w:r>
          </w:p>
        </w:tc>
        <w:tc>
          <w:tcPr>
            <w:tcW w:w="35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Arial" w:cs="Arial" w:eastAsia="Arial" w:hAnsi="Arial"/>
                <w:sz w:val="18"/>
                <w:szCs w:val="18"/>
                <w:b w:val="1"/>
                <w:bCs w:val="1"/>
                <w:color w:val="auto"/>
                <w:w w:val="90"/>
              </w:rPr>
              <w:t>5400 Betsy Ross Drive, Santa Clara, CA 95054</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510"/>
              <w:spacing w:after="0"/>
              <w:rPr>
                <w:sz w:val="20"/>
                <w:szCs w:val="20"/>
                <w:color w:val="auto"/>
              </w:rPr>
            </w:pPr>
            <w:r>
              <w:rPr>
                <w:rFonts w:ascii="Arial" w:cs="Arial" w:eastAsia="Arial" w:hAnsi="Arial"/>
                <w:sz w:val="18"/>
                <w:szCs w:val="18"/>
                <w:color w:val="auto"/>
                <w:w w:val="92"/>
              </w:rPr>
              <w:t>(Address of principal executive offices) (Zip Code)</w:t>
            </w:r>
          </w:p>
        </w:tc>
        <w:tc>
          <w:tcPr>
            <w:tcW w:w="3580" w:type="dxa"/>
            <w:vAlign w:val="bottom"/>
          </w:tcPr>
          <w:p>
            <w:pPr>
              <w:spacing w:after="0"/>
              <w:rPr>
                <w:sz w:val="21"/>
                <w:szCs w:val="21"/>
                <w:color w:val="auto"/>
              </w:rPr>
            </w:pP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Arial" w:cs="Arial" w:eastAsia="Arial" w:hAnsi="Arial"/>
                <w:sz w:val="18"/>
                <w:szCs w:val="18"/>
                <w:b w:val="1"/>
                <w:bCs w:val="1"/>
                <w:color w:val="auto"/>
                <w:w w:val="90"/>
              </w:rPr>
              <w:t>(408) 441-3200</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490"/>
              <w:spacing w:after="0"/>
              <w:rPr>
                <w:sz w:val="20"/>
                <w:szCs w:val="20"/>
                <w:color w:val="auto"/>
              </w:rPr>
            </w:pPr>
            <w:r>
              <w:rPr>
                <w:rFonts w:ascii="Arial" w:cs="Arial" w:eastAsia="Arial" w:hAnsi="Arial"/>
                <w:sz w:val="18"/>
                <w:szCs w:val="18"/>
                <w:color w:val="auto"/>
                <w:w w:val="89"/>
              </w:rPr>
              <w:t>(Registrant’s telephone number, including area code)</w:t>
            </w:r>
          </w:p>
        </w:tc>
        <w:tc>
          <w:tcPr>
            <w:tcW w:w="3580" w:type="dxa"/>
            <w:vAlign w:val="bottom"/>
          </w:tcPr>
          <w:p>
            <w:pPr>
              <w:spacing w:after="0"/>
              <w:rPr>
                <w:sz w:val="21"/>
                <w:szCs w:val="21"/>
                <w:color w:val="auto"/>
              </w:rPr>
            </w:pPr>
          </w:p>
        </w:tc>
      </w:tr>
    </w:tbl>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50"/>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tcPr>
          <w:p>
            <w:pPr>
              <w:spacing w:after="0"/>
              <w:rPr>
                <w:sz w:val="21"/>
                <w:szCs w:val="21"/>
                <w:color w:val="auto"/>
              </w:rPr>
            </w:pPr>
          </w:p>
        </w:tc>
      </w:tr>
      <w:tr>
        <w:trPr>
          <w:trHeight w:val="229"/>
        </w:trPr>
        <w:tc>
          <w:tcPr>
            <w:tcW w:w="3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Class A Common stock, par value $0.0001 per</w:t>
            </w:r>
          </w:p>
        </w:tc>
        <w:tc>
          <w:tcPr>
            <w:tcW w:w="3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SOUN</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7"/>
        </w:trPr>
        <w:tc>
          <w:tcPr>
            <w:tcW w:w="3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share</w:t>
            </w:r>
          </w:p>
        </w:tc>
        <w:tc>
          <w:tcPr>
            <w:tcW w:w="3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r>
      <w:tr>
        <w:trPr>
          <w:trHeight w:val="270"/>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43"/>
        </w:trPr>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Redeemable Warrants</w:t>
            </w:r>
          </w:p>
        </w:tc>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SOUNW</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5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3"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5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o</w:t>
            </w:r>
          </w:p>
        </w:tc>
        <w:tc>
          <w:tcPr>
            <w:tcW w:w="3560" w:type="dxa"/>
            <w:vAlign w:val="bottom"/>
          </w:tcPr>
          <w:p>
            <w:pPr>
              <w:ind w:left="120"/>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1820"/>
              <w:spacing w:after="0"/>
              <w:rPr>
                <w:sz w:val="20"/>
                <w:szCs w:val="20"/>
                <w:color w:val="auto"/>
              </w:rPr>
            </w:pPr>
            <w:r>
              <w:rPr>
                <w:rFonts w:ascii="Arial" w:cs="Arial" w:eastAsia="Arial" w:hAnsi="Arial"/>
                <w:sz w:val="18"/>
                <w:szCs w:val="18"/>
                <w:color w:val="auto"/>
              </w:rPr>
              <w:t>o</w:t>
            </w:r>
          </w:p>
        </w:tc>
        <w:tc>
          <w:tcPr>
            <w:tcW w:w="2080" w:type="dxa"/>
            <w:vAlign w:val="bottom"/>
          </w:tcPr>
          <w:p>
            <w:pPr>
              <w:ind w:left="120"/>
              <w:spacing w:after="0"/>
              <w:rPr>
                <w:sz w:val="20"/>
                <w:szCs w:val="20"/>
                <w:color w:val="auto"/>
              </w:rPr>
            </w:pPr>
            <w:r>
              <w:rPr>
                <w:rFonts w:ascii="Arial" w:cs="Arial" w:eastAsia="Arial" w:hAnsi="Arial"/>
                <w:sz w:val="18"/>
                <w:szCs w:val="18"/>
                <w:color w:val="auto"/>
              </w:rPr>
              <w:t>Accelerated filer</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x</w:t>
            </w:r>
          </w:p>
        </w:tc>
        <w:tc>
          <w:tcPr>
            <w:tcW w:w="3560" w:type="dxa"/>
            <w:vAlign w:val="bottom"/>
          </w:tcPr>
          <w:p>
            <w:pPr>
              <w:ind w:left="120"/>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1820"/>
              <w:spacing w:after="0"/>
              <w:rPr>
                <w:sz w:val="20"/>
                <w:szCs w:val="20"/>
                <w:color w:val="auto"/>
              </w:rPr>
            </w:pPr>
            <w:r>
              <w:rPr>
                <w:rFonts w:ascii="Arial" w:cs="Arial" w:eastAsia="Arial" w:hAnsi="Arial"/>
                <w:sz w:val="18"/>
                <w:szCs w:val="18"/>
                <w:color w:val="auto"/>
              </w:rPr>
              <w:t>x</w:t>
            </w:r>
          </w:p>
        </w:tc>
        <w:tc>
          <w:tcPr>
            <w:tcW w:w="2080" w:type="dxa"/>
            <w:vAlign w:val="bottom"/>
          </w:tcPr>
          <w:p>
            <w:pPr>
              <w:ind w:left="120"/>
              <w:spacing w:after="0"/>
              <w:rPr>
                <w:sz w:val="20"/>
                <w:szCs w:val="20"/>
                <w:color w:val="auto"/>
              </w:rPr>
            </w:pPr>
            <w:r>
              <w:rPr>
                <w:rFonts w:ascii="Arial" w:cs="Arial" w:eastAsia="Arial" w:hAnsi="Arial"/>
                <w:sz w:val="18"/>
                <w:szCs w:val="18"/>
                <w:color w:val="auto"/>
                <w:w w:val="90"/>
              </w:rPr>
              <w:t>Smaller reporting company</w:t>
            </w:r>
          </w:p>
        </w:tc>
      </w:tr>
      <w:tr>
        <w:trPr>
          <w:trHeight w:val="270"/>
        </w:trPr>
        <w:tc>
          <w:tcPr>
            <w:tcW w:w="2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060" w:type="dxa"/>
            <w:vAlign w:val="bottom"/>
          </w:tcPr>
          <w:p>
            <w:pPr>
              <w:ind w:left="1820"/>
              <w:spacing w:after="0"/>
              <w:rPr>
                <w:sz w:val="20"/>
                <w:szCs w:val="20"/>
                <w:color w:val="auto"/>
              </w:rPr>
            </w:pPr>
            <w:r>
              <w:rPr>
                <w:rFonts w:ascii="Arial" w:cs="Arial" w:eastAsia="Arial" w:hAnsi="Arial"/>
                <w:sz w:val="18"/>
                <w:szCs w:val="18"/>
                <w:color w:val="auto"/>
              </w:rPr>
              <w:t>x</w:t>
            </w:r>
          </w:p>
        </w:tc>
        <w:tc>
          <w:tcPr>
            <w:tcW w:w="2080" w:type="dxa"/>
            <w:vAlign w:val="bottom"/>
          </w:tcPr>
          <w:p>
            <w:pPr>
              <w:ind w:left="120"/>
              <w:spacing w:after="0"/>
              <w:rPr>
                <w:sz w:val="20"/>
                <w:szCs w:val="20"/>
                <w:color w:val="auto"/>
              </w:rPr>
            </w:pPr>
            <w:r>
              <w:rPr>
                <w:rFonts w:ascii="Arial" w:cs="Arial" w:eastAsia="Arial" w:hAnsi="Arial"/>
                <w:sz w:val="18"/>
                <w:szCs w:val="18"/>
                <w:color w:val="auto"/>
                <w:w w:val="90"/>
              </w:rPr>
              <w:t>Emerging growth company</w:t>
            </w:r>
          </w:p>
        </w:tc>
      </w:tr>
    </w:tbl>
    <w:p>
      <w:pPr>
        <w:spacing w:after="0" w:line="283"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ectPr>
          <w:pgSz w:w="11900" w:h="16838" w:orient="portrait"/>
          <w:cols w:equalWidth="0" w:num="1">
            <w:col w:w="11240"/>
          </w:cols>
          <w:pgMar w:left="320" w:top="229" w:right="339" w:bottom="187" w:gutter="0" w:footer="0" w:header="0"/>
        </w:sectPr>
      </w:pPr>
    </w:p>
    <w:bookmarkStart w:id="1" w:name="page2"/>
    <w:bookmarkEnd w:id="1"/>
    <w:p>
      <w:pPr>
        <w:ind w:firstLine="648"/>
        <w:spacing w:after="0" w:line="308" w:lineRule="auto"/>
        <w:rPr>
          <w:sz w:val="20"/>
          <w:szCs w:val="20"/>
          <w:color w:val="auto"/>
        </w:rPr>
      </w:pPr>
      <w:r>
        <w:rPr>
          <w:rFonts w:ascii="Arial" w:cs="Arial" w:eastAsia="Arial" w:hAnsi="Arial"/>
          <w:sz w:val="17"/>
          <w:szCs w:val="17"/>
          <w:color w:val="auto"/>
        </w:rPr>
        <w:t>As of November 10, 2022, there were 157,517,926 shares of the Company’s Class A common stock, $0.0001 par value per share, issued and outstanding, and 40,396,600 shares of the Company’s Class B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shd w:val="clear" w:color="auto" w:fill="CCEEFF"/>
          </w:tcPr>
          <w:p>
            <w:pPr>
              <w:spacing w:after="0"/>
              <w:rPr>
                <w:sz w:val="22"/>
                <w:szCs w:val="22"/>
                <w:color w:val="auto"/>
              </w:rPr>
            </w:pPr>
          </w:p>
        </w:tc>
        <w:tc>
          <w:tcPr>
            <w:tcW w:w="10460" w:type="dxa"/>
            <w:vAlign w:val="bottom"/>
            <w:gridSpan w:val="24"/>
            <w:shd w:val="clear" w:color="auto" w:fill="CCEEFF"/>
          </w:tcPr>
          <w:p>
            <w:pPr>
              <w:spacing w:after="0"/>
              <w:rPr>
                <w:sz w:val="20"/>
                <w:szCs w:val="20"/>
                <w:color w:val="auto"/>
              </w:rPr>
            </w:pPr>
            <w:r>
              <w:rPr>
                <w:rFonts w:ascii="Arial" w:cs="Arial" w:eastAsia="Arial" w:hAnsi="Arial"/>
                <w:sz w:val="18"/>
                <w:szCs w:val="18"/>
                <w:color w:val="0000FF"/>
              </w:rPr>
              <w:t>PART I. FINANCIAL INFORMATION</w:t>
            </w:r>
          </w:p>
        </w:tc>
        <w:tc>
          <w:tcPr>
            <w:tcW w:w="7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Condensed Consolidated Financial Statements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Condensed Consolidated Balance Sheets as of September 30, 2022 (unaudited) and December 31, 2021</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9"/>
              </w:rPr>
              <w:t>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40" w:type="dxa"/>
            <w:vAlign w:val="bottom"/>
            <w:tcBorders>
              <w:top w:val="single" w:sz="8" w:color="0000FF"/>
            </w:tcBorders>
          </w:tcPr>
          <w:p>
            <w:pPr>
              <w:spacing w:after="0"/>
              <w:rPr>
                <w:sz w:val="23"/>
                <w:szCs w:val="23"/>
                <w:color w:val="auto"/>
              </w:rPr>
            </w:pPr>
          </w:p>
        </w:tc>
        <w:tc>
          <w:tcPr>
            <w:tcW w:w="98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w w:val="90"/>
              </w:rPr>
              <w:t>Condensed Consolidated Statements of Operations and Comprehensive Loss for the three and nine months ended September 30,</w:t>
            </w:r>
          </w:p>
        </w:tc>
        <w:tc>
          <w:tcPr>
            <w:tcW w:w="760" w:type="dxa"/>
            <w:vAlign w:val="bottom"/>
            <w:shd w:val="clear" w:color="auto" w:fill="CCEEFF"/>
          </w:tcPr>
          <w:p>
            <w:pPr>
              <w:spacing w:after="0"/>
              <w:rPr>
                <w:sz w:val="17"/>
                <w:szCs w:val="17"/>
                <w:color w:val="auto"/>
              </w:rPr>
            </w:pPr>
          </w:p>
        </w:tc>
      </w:t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9160" w:type="dxa"/>
            <w:vAlign w:val="bottom"/>
            <w:tcBorders>
              <w:top w:val="single" w:sz="8" w:color="0000FF"/>
            </w:tcBorders>
            <w:gridSpan w:val="20"/>
            <w:shd w:val="clear" w:color="auto" w:fill="CCEEFF"/>
          </w:tcPr>
          <w:p>
            <w:pPr>
              <w:ind w:left="80"/>
              <w:spacing w:after="0" w:line="196" w:lineRule="exact"/>
              <w:rPr>
                <w:sz w:val="20"/>
                <w:szCs w:val="20"/>
                <w:color w:val="auto"/>
              </w:rPr>
            </w:pPr>
            <w:r>
              <w:rPr>
                <w:rFonts w:ascii="Arial" w:cs="Arial" w:eastAsia="Arial" w:hAnsi="Arial"/>
                <w:sz w:val="18"/>
                <w:szCs w:val="18"/>
                <w:color w:val="0000FF"/>
              </w:rPr>
              <w:t>2022 and 2021</w:t>
            </w:r>
          </w:p>
        </w:tc>
        <w:tc>
          <w:tcPr>
            <w:tcW w:w="2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9"/>
              </w:rPr>
              <w:t>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02"/>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w w:val="96"/>
              </w:rPr>
              <w:t>Condensed Consolidated Statements of Redeemable Convertible Preferred Stock and Stockholders’ Equity (Deficit) for the</w:t>
            </w: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8800" w:type="dxa"/>
            <w:vAlign w:val="bottom"/>
            <w:tcBorders>
              <w:top w:val="single" w:sz="8" w:color="0000FF"/>
            </w:tcBorders>
            <w:gridSpan w:val="19"/>
            <w:shd w:val="clear" w:color="auto" w:fill="CCEEFF"/>
          </w:tcPr>
          <w:p>
            <w:pPr>
              <w:ind w:left="80"/>
              <w:spacing w:after="0" w:line="196" w:lineRule="exact"/>
              <w:rPr>
                <w:sz w:val="20"/>
                <w:szCs w:val="20"/>
                <w:color w:val="auto"/>
              </w:rPr>
            </w:pPr>
            <w:r>
              <w:rPr>
                <w:rFonts w:ascii="Arial" w:cs="Arial" w:eastAsia="Arial" w:hAnsi="Arial"/>
                <w:sz w:val="18"/>
                <w:szCs w:val="18"/>
                <w:color w:val="0000FF"/>
              </w:rPr>
              <w:t>three and nine months ended September 30, 2022 and 2021</w:t>
            </w:r>
          </w:p>
        </w:tc>
        <w:tc>
          <w:tcPr>
            <w:tcW w:w="560" w:type="dxa"/>
            <w:vAlign w:val="bottom"/>
            <w:tcBorders>
              <w:top w:val="single" w:sz="8" w:color="CCEEFF"/>
            </w:tcBorders>
            <w:gridSpan w:val="2"/>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9"/>
              </w:rPr>
              <w:t>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Condensed Consolidated Statements of Cash Flows for the nine months ended September 30, 2022 and 2021</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9"/>
              </w:rPr>
              <w:t>7</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40" w:type="dxa"/>
            <w:vAlign w:val="bottom"/>
            <w:tcBorders>
              <w:top w:val="single" w:sz="8" w:color="0000FF"/>
            </w:tcBorders>
          </w:tcPr>
          <w:p>
            <w:pPr>
              <w:spacing w:after="0"/>
              <w:rPr>
                <w:sz w:val="23"/>
                <w:szCs w:val="23"/>
                <w:color w:val="auto"/>
              </w:rPr>
            </w:pPr>
          </w:p>
        </w:tc>
        <w:tc>
          <w:tcPr>
            <w:tcW w:w="9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Notes to Condensed Consolidated Financial Statements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9"/>
              </w:rPr>
              <w:t>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43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40" w:type="dxa"/>
            <w:vAlign w:val="bottom"/>
            <w:tcBorders>
              <w:top w:val="single" w:sz="8" w:color="0000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57</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Controls and Procedures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57</w:t>
            </w:r>
          </w:p>
        </w:tc>
      </w:tr>
      <w:tr>
        <w:trPr>
          <w:trHeight w:val="270"/>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10460" w:type="dxa"/>
            <w:vAlign w:val="bottom"/>
            <w:gridSpan w:val="24"/>
            <w:shd w:val="clear" w:color="auto" w:fill="CCEEFF"/>
          </w:tcPr>
          <w:p>
            <w:pPr>
              <w:spacing w:after="0" w:line="202" w:lineRule="exact"/>
              <w:rPr>
                <w:sz w:val="20"/>
                <w:szCs w:val="20"/>
                <w:color w:val="auto"/>
              </w:rPr>
            </w:pPr>
            <w:r>
              <w:rPr>
                <w:rFonts w:ascii="Arial" w:cs="Arial" w:eastAsia="Arial" w:hAnsi="Arial"/>
                <w:sz w:val="18"/>
                <w:szCs w:val="18"/>
                <w:color w:val="0000FF"/>
              </w:rPr>
              <w:t>PART II. OTHER INFORMATION</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Legal Proceedings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1A.</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Risk Factors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Defaults Upon Senior Securities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Mine Safety Disclosures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5.</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Other Information</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6.</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Exhibits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59</w:t>
            </w:r>
          </w:p>
        </w:tc>
      </w:tr>
      <w:tr>
        <w:trPr>
          <w:trHeight w:val="270"/>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10460" w:type="dxa"/>
            <w:vAlign w:val="bottom"/>
            <w:gridSpan w:val="24"/>
            <w:shd w:val="clear" w:color="auto" w:fill="CCEEFF"/>
          </w:tcPr>
          <w:p>
            <w:pPr>
              <w:spacing w:after="0" w:line="202" w:lineRule="exact"/>
              <w:rPr>
                <w:sz w:val="20"/>
                <w:szCs w:val="20"/>
                <w:color w:val="auto"/>
              </w:rPr>
            </w:pPr>
            <w:r>
              <w:rPr>
                <w:rFonts w:ascii="Arial" w:cs="Arial" w:eastAsia="Arial" w:hAnsi="Arial"/>
                <w:sz w:val="18"/>
                <w:szCs w:val="18"/>
                <w:color w:val="0000FF"/>
              </w:rPr>
              <w:t>SIGNATURES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60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Quarterly Report on Form 10-Q (this “report”) of SoundHound AI, Inc. (“we,” “us,” “our,” “SoundHound AI,”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Readers are cautioned that significant known and unknown risks, uncertainties and other important factors (including those over which we may have no control and others listed in report and in the “Risk Factors” section of our amendment to our current report on Form 8-K, which was originally filed with the SEC on May 2, 2022 and amended by Amendment No. 1 to Current Report on Form 8-K (collectively referred to as the “Form 8-K”))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79"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maintain the listing of SoundHound AI Class A Common Stock on the Nasdaq Global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execution of our business strategy, including launching new product offerings and expanding information and technology capabilities;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and impact of our growth initiatives on our future financial performance;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our recent business combination, which may be affected by, among other things, competition and the ability of SoundHound AI to manage its growth;</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SoundHound AI to protect intellectual property and trade secrets;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obtain additional capital, including equity or debt financing;</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applicable laws or regulations and extensive and evolving government regulations that impact the Company’s operations and business;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attract or maintain a qualified workforce;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of product service failures that could lead SoundHound AI customers to use competitors’ services;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regulatory or legal proceedings, including with respect to our AI technology;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the COVID-19 pandemic or any similar public health developments on SoundHound AI’s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relating to uncertainty of our estimates of market opportunity and forecasts of market growth;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SoundHound AI may be adversely affected by other economic, business, and/or competitive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titled “Risk Factors” of our Form 8-K.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“Management’s Discussion and Analysis of Financial Condition and Results of Operation,” section contain in this report and in the “Business,” “Risk Factors” and other sections of the Form 8-K. 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7"/>
              </w:rPr>
              <w:t>September 30,</w:t>
            </w:r>
          </w:p>
        </w:tc>
        <w:tc>
          <w:tcPr>
            <w:tcW w:w="240" w:type="dxa"/>
            <w:vAlign w:val="bottom"/>
          </w:tcPr>
          <w:p>
            <w:pPr>
              <w:spacing w:after="0"/>
              <w:rPr>
                <w:sz w:val="11"/>
                <w:szCs w:val="11"/>
                <w:color w:val="auto"/>
              </w:rPr>
            </w:pPr>
          </w:p>
        </w:tc>
        <w:tc>
          <w:tcPr>
            <w:tcW w:w="1240" w:type="dxa"/>
            <w:vAlign w:val="bottom"/>
          </w:tcPr>
          <w:p>
            <w:pPr>
              <w:jc w:val="right"/>
              <w:ind w:right="36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86"/>
              <w:spacing w:after="0"/>
              <w:rPr>
                <w:sz w:val="20"/>
                <w:szCs w:val="20"/>
                <w:color w:val="auto"/>
              </w:rPr>
            </w:pPr>
            <w:r>
              <w:rPr>
                <w:rFonts w:ascii="Arial" w:cs="Arial" w:eastAsia="Arial" w:hAnsi="Arial"/>
                <w:sz w:val="11"/>
                <w:szCs w:val="11"/>
                <w:b w:val="1"/>
                <w:bCs w:val="1"/>
                <w:color w:val="auto"/>
                <w:w w:val="81"/>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8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1"/>
              </w:rPr>
              <w:t>(Unaudited)</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3900"/>
              <w:spacing w:after="0"/>
              <w:rPr>
                <w:sz w:val="20"/>
                <w:szCs w:val="20"/>
                <w:color w:val="auto"/>
              </w:rPr>
            </w:pPr>
            <w:r>
              <w:rPr>
                <w:rFonts w:ascii="Arial" w:cs="Arial" w:eastAsia="Arial" w:hAnsi="Arial"/>
                <w:sz w:val="11"/>
                <w:szCs w:val="11"/>
                <w:b w:val="1"/>
                <w:bCs w:val="1"/>
                <w:color w:val="auto"/>
              </w:rPr>
              <w:t>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33,412</w:t>
            </w:r>
          </w:p>
        </w:tc>
        <w:tc>
          <w:tcPr>
            <w:tcW w:w="1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21,626</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Restricted cash equivalents</w:t>
            </w:r>
          </w:p>
        </w:tc>
        <w:tc>
          <w:tcPr>
            <w:tcW w:w="2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460</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Accounts receivable, net of allowances of $109 as of September 30, 2022 and December 31, 2021</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2,789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2,060</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Prepaid expenses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3,774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1,276</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Debt issuance cost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1,132</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Contract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1,407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861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863</w:t>
            </w:r>
          </w:p>
        </w:tc>
        <w:tc>
          <w:tcPr>
            <w:tcW w:w="0" w:type="dxa"/>
            <w:vAlign w:val="bottom"/>
          </w:tcPr>
          <w:p>
            <w:pPr>
              <w:spacing w:after="0"/>
              <w:rPr>
                <w:sz w:val="1"/>
                <w:szCs w:val="1"/>
                <w:color w:val="auto"/>
              </w:rPr>
            </w:pPr>
          </w:p>
        </w:tc>
      </w:tr>
      <w:tr>
        <w:trPr>
          <w:trHeight w:val="36"/>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current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42,365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27,471</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Restricted cash equivalents, non-current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736</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Right-of-use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8,833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10,291</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4,146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6,155</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tax asset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2,169</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Debt issuance cost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204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offering costs</w:t>
            </w:r>
          </w:p>
        </w:tc>
        <w:tc>
          <w:tcPr>
            <w:tcW w:w="2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1,264</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Contract assets, non-current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4,823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78"/>
        </w:trPr>
        <w:tc>
          <w:tcPr>
            <w:tcW w:w="8180" w:type="dxa"/>
            <w:vAlign w:val="bottom"/>
          </w:tcPr>
          <w:p>
            <w:pPr>
              <w:ind w:left="260"/>
              <w:spacing w:after="0"/>
              <w:rPr>
                <w:sz w:val="20"/>
                <w:szCs w:val="20"/>
                <w:color w:val="auto"/>
              </w:rPr>
            </w:pPr>
            <w:r>
              <w:rPr>
                <w:rFonts w:ascii="Arial" w:cs="Arial" w:eastAsia="Arial" w:hAnsi="Arial"/>
                <w:sz w:val="11"/>
                <w:szCs w:val="11"/>
                <w:color w:val="auto"/>
              </w:rPr>
              <w:t>Total assets</w:t>
            </w: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63,841</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49,203</w:t>
            </w:r>
          </w:p>
        </w:tc>
        <w:tc>
          <w:tcPr>
            <w:tcW w:w="0" w:type="dxa"/>
            <w:vAlign w:val="bottom"/>
          </w:tcPr>
          <w:p>
            <w:pPr>
              <w:spacing w:after="0"/>
              <w:rPr>
                <w:sz w:val="1"/>
                <w:szCs w:val="1"/>
                <w:color w:val="auto"/>
              </w:rPr>
            </w:pPr>
          </w:p>
        </w:tc>
      </w:tr>
      <w:tr>
        <w:trPr>
          <w:trHeight w:val="50"/>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8180" w:type="dxa"/>
            <w:vAlign w:val="bottom"/>
            <w:tcBorders>
              <w:top w:val="single" w:sz="8" w:color="CCEEFF"/>
            </w:tcBorders>
          </w:tcPr>
          <w:p>
            <w:pPr>
              <w:ind w:left="1520"/>
              <w:spacing w:after="0"/>
              <w:rPr>
                <w:sz w:val="20"/>
                <w:szCs w:val="20"/>
                <w:color w:val="auto"/>
              </w:rPr>
            </w:pPr>
            <w:r>
              <w:rPr>
                <w:rFonts w:ascii="Arial" w:cs="Arial" w:eastAsia="Arial" w:hAnsi="Arial"/>
                <w:sz w:val="11"/>
                <w:szCs w:val="11"/>
                <w:b w:val="1"/>
                <w:bCs w:val="1"/>
                <w:color w:val="auto"/>
              </w:rPr>
              <w:t>LIABILITIES, REDEEMABLE CONVERTIBLE PREFERRED STOCK, AND STOCKHOLDERS’ DEFICIT</w:t>
            </w:r>
          </w:p>
        </w:tc>
        <w:tc>
          <w:tcPr>
            <w:tcW w:w="24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2,894</w:t>
            </w:r>
          </w:p>
        </w:tc>
        <w:tc>
          <w:tcPr>
            <w:tcW w:w="1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3,760</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Accrued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7,242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7,298</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Arial" w:cs="Arial" w:eastAsia="Arial" w:hAnsi="Arial"/>
                <w:sz w:val="11"/>
                <w:szCs w:val="11"/>
                <w:color w:val="auto"/>
              </w:rPr>
              <w:t>Operating lease liabilities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3,281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3,281</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Finance lease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1,301</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Arial" w:cs="Arial" w:eastAsia="Arial" w:hAnsi="Arial"/>
                <w:sz w:val="11"/>
                <w:szCs w:val="11"/>
                <w:color w:val="auto"/>
              </w:rPr>
              <w:t>Income tax liability</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2,858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2,737</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Deferred revenue</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5,312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6,042</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Convertible note</w:t>
            </w:r>
          </w:p>
        </w:tc>
        <w:tc>
          <w:tcPr>
            <w:tcW w:w="24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29,868</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Derivative liability</w:t>
            </w:r>
          </w:p>
        </w:tc>
        <w:tc>
          <w:tcPr>
            <w:tcW w:w="2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3,488</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Notes payable</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16,533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29,964</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current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38,299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87,739</w:t>
            </w: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lease liabilities, net of current portion</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6,236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8,611</w:t>
            </w: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Arial" w:cs="Arial" w:eastAsia="Arial" w:hAnsi="Arial"/>
                <w:sz w:val="11"/>
                <w:szCs w:val="11"/>
                <w:color w:val="auto"/>
              </w:rPr>
              <w:t>Financing lease liabilities, net of current portion</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168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292</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revenue, net of current portion</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8,874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14,959</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Notes payable, net of current portion</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22,508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2,133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1,336</w:t>
            </w:r>
          </w:p>
        </w:tc>
        <w:tc>
          <w:tcPr>
            <w:tcW w:w="0" w:type="dxa"/>
            <w:vAlign w:val="bottom"/>
          </w:tcPr>
          <w:p>
            <w:pPr>
              <w:spacing w:after="0"/>
              <w:rPr>
                <w:sz w:val="1"/>
                <w:szCs w:val="1"/>
                <w:color w:val="auto"/>
              </w:rPr>
            </w:pPr>
          </w:p>
        </w:tc>
      </w:tr>
      <w:tr>
        <w:trPr>
          <w:trHeight w:val="147"/>
        </w:trPr>
        <w:tc>
          <w:tcPr>
            <w:tcW w:w="8180" w:type="dxa"/>
            <w:vAlign w:val="bottom"/>
          </w:tcPr>
          <w:p>
            <w:pPr>
              <w:ind w:left="260"/>
              <w:spacing w:after="0"/>
              <w:rPr>
                <w:sz w:val="20"/>
                <w:szCs w:val="20"/>
                <w:color w:val="auto"/>
              </w:rPr>
            </w:pPr>
            <w:r>
              <w:rPr>
                <w:rFonts w:ascii="Arial" w:cs="Arial" w:eastAsia="Arial" w:hAnsi="Arial"/>
                <w:sz w:val="11"/>
                <w:szCs w:val="11"/>
                <w:color w:val="auto"/>
              </w:rPr>
              <w:t>Total liabilities</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78,218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112,937</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Commitments and contingencies (Note 7)</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81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1"/>
              </w:rPr>
              <w:t>Legacy SoundHound redeemable convertible preferred stock; $0.0001 par value; 0 and 146,218,514 shares authorized; 0 and 106,949,326 shares issued and outstanding, liquidation</w:t>
            </w:r>
          </w:p>
        </w:tc>
        <w:tc>
          <w:tcPr>
            <w:tcW w:w="24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279,503</w:t>
            </w:r>
          </w:p>
        </w:tc>
        <w:tc>
          <w:tcPr>
            <w:tcW w:w="0" w:type="dxa"/>
            <w:vAlign w:val="bottom"/>
          </w:tcPr>
          <w:p>
            <w:pPr>
              <w:spacing w:after="0"/>
              <w:rPr>
                <w:sz w:val="1"/>
                <w:szCs w:val="1"/>
                <w:color w:val="auto"/>
              </w:rPr>
            </w:pPr>
          </w:p>
        </w:tc>
      </w:tr>
      <w:tr>
        <w:trPr>
          <w:trHeight w:val="138"/>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preference of $0 and $284,826 as of September 30, 2022 and December 31, 2021, respectively</w:t>
            </w:r>
          </w:p>
        </w:tc>
        <w:tc>
          <w:tcPr>
            <w:tcW w:w="2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Stockholders’ deficit: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8180" w:type="dxa"/>
            <w:vAlign w:val="bottom"/>
            <w:shd w:val="clear" w:color="auto" w:fill="CCEEFF"/>
          </w:tcPr>
          <w:p>
            <w:pPr>
              <w:ind w:left="180"/>
              <w:spacing w:after="0"/>
              <w:rPr>
                <w:sz w:val="20"/>
                <w:szCs w:val="20"/>
                <w:color w:val="auto"/>
              </w:rPr>
            </w:pPr>
            <w:r>
              <w:rPr>
                <w:rFonts w:ascii="Arial" w:cs="Arial" w:eastAsia="Arial" w:hAnsi="Arial"/>
                <w:sz w:val="11"/>
                <w:szCs w:val="11"/>
                <w:color w:val="auto"/>
                <w:w w:val="88"/>
              </w:rPr>
              <w:t>Legacy SoundHound Common Stock, $0.0001 par value; 250,030,433 shares authorized; 0 and 68,258,556 shares issued and outstanding as of September 30, 2022 and December 31,</w:t>
            </w:r>
          </w:p>
        </w:tc>
        <w:tc>
          <w:tcPr>
            <w:tcW w:w="24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8"/>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2021, respectively</w:t>
            </w:r>
          </w:p>
        </w:tc>
        <w:tc>
          <w:tcPr>
            <w:tcW w:w="2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180" w:type="dxa"/>
            <w:vAlign w:val="bottom"/>
          </w:tcPr>
          <w:p>
            <w:pPr>
              <w:ind w:left="180"/>
              <w:spacing w:after="0"/>
              <w:rPr>
                <w:sz w:val="20"/>
                <w:szCs w:val="20"/>
                <w:color w:val="auto"/>
              </w:rPr>
            </w:pPr>
            <w:r>
              <w:rPr>
                <w:rFonts w:ascii="Arial" w:cs="Arial" w:eastAsia="Arial" w:hAnsi="Arial"/>
                <w:sz w:val="11"/>
                <w:szCs w:val="11"/>
                <w:color w:val="auto"/>
                <w:w w:val="91"/>
              </w:rPr>
              <w:t>Class A Common Stock, $0.0001 par value; 455,000,000 shares authorized; 157,296,065 and 0 shares issued and outstanding as of September 30, 2022 and December 31, 2021,</w:t>
            </w:r>
          </w:p>
        </w:tc>
        <w:tc>
          <w:tcPr>
            <w:tcW w:w="240" w:type="dxa"/>
            <w:vAlign w:val="bottom"/>
          </w:tcPr>
          <w:p>
            <w:pPr>
              <w:spacing w:after="0"/>
              <w:rPr>
                <w:sz w:val="13"/>
                <w:szCs w:val="13"/>
                <w:color w:val="auto"/>
              </w:rPr>
            </w:pPr>
          </w:p>
        </w:tc>
        <w:tc>
          <w:tcPr>
            <w:tcW w:w="1240" w:type="dxa"/>
            <w:vAlign w:val="bottom"/>
            <w:vMerge w:val="restart"/>
          </w:tcPr>
          <w:p>
            <w:pPr>
              <w:jc w:val="right"/>
              <w:ind w:right="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8180" w:type="dxa"/>
            <w:vAlign w:val="bottom"/>
          </w:tcPr>
          <w:p>
            <w:pPr>
              <w:ind w:left="260"/>
              <w:spacing w:after="0"/>
              <w:rPr>
                <w:sz w:val="20"/>
                <w:szCs w:val="20"/>
                <w:color w:val="auto"/>
              </w:rPr>
            </w:pPr>
            <w:r>
              <w:rPr>
                <w:rFonts w:ascii="Arial" w:cs="Arial" w:eastAsia="Arial" w:hAnsi="Arial"/>
                <w:sz w:val="11"/>
                <w:szCs w:val="11"/>
                <w:color w:val="auto"/>
              </w:rPr>
              <w:t>respectively</w:t>
            </w: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18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2"/>
              </w:rPr>
              <w:t>Class B Common Stock, $0.0001 par value; 44,000,000 shares authorized; 40,396,600 and 0 shares issued and outstanding as of September 30, 2022 and December 31, 2021,</w:t>
            </w:r>
          </w:p>
        </w:tc>
        <w:tc>
          <w:tcPr>
            <w:tcW w:w="2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respectively</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180"/>
              <w:spacing w:after="0"/>
              <w:rPr>
                <w:sz w:val="20"/>
                <w:szCs w:val="20"/>
                <w:color w:val="auto"/>
              </w:rPr>
            </w:pPr>
            <w:r>
              <w:rPr>
                <w:rFonts w:ascii="Arial" w:cs="Arial" w:eastAsia="Arial" w:hAnsi="Arial"/>
                <w:sz w:val="11"/>
                <w:szCs w:val="11"/>
                <w:color w:val="auto"/>
              </w:rPr>
              <w:t>Additional paid-in capital</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457,025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43,491</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Accumulated deficit</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(471,422)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(386,729)</w:t>
            </w:r>
          </w:p>
        </w:tc>
        <w:tc>
          <w:tcPr>
            <w:tcW w:w="0" w:type="dxa"/>
            <w:vAlign w:val="bottom"/>
          </w:tcPr>
          <w:p>
            <w:pPr>
              <w:spacing w:after="0"/>
              <w:rPr>
                <w:sz w:val="1"/>
                <w:szCs w:val="1"/>
                <w:color w:val="auto"/>
              </w:rPr>
            </w:pPr>
          </w:p>
        </w:tc>
      </w:tr>
      <w:tr>
        <w:trPr>
          <w:trHeight w:val="147"/>
        </w:trPr>
        <w:tc>
          <w:tcPr>
            <w:tcW w:w="8180" w:type="dxa"/>
            <w:vAlign w:val="bottom"/>
          </w:tcPr>
          <w:p>
            <w:pPr>
              <w:ind w:left="260"/>
              <w:spacing w:after="0"/>
              <w:rPr>
                <w:sz w:val="20"/>
                <w:szCs w:val="20"/>
                <w:color w:val="auto"/>
              </w:rPr>
            </w:pPr>
            <w:r>
              <w:rPr>
                <w:rFonts w:ascii="Arial" w:cs="Arial" w:eastAsia="Arial" w:hAnsi="Arial"/>
                <w:sz w:val="11"/>
                <w:szCs w:val="11"/>
                <w:color w:val="auto"/>
              </w:rPr>
              <w:t>Total stockholders’ deficit</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(14,377)</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(343,237)</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liabilities, redeemable convertible preferred stock, and stockholders’ deficit</w:t>
            </w: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63,841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49,203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16,046</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3,259</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42,810</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11,387</w:t>
            </w: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98,283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62,334</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(76,655)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(46,288)</w:t>
            </w: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(4,280)</w:t>
            </w: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(10,005)</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(28,058)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(83,088)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(56,293)</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(28,922)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(84,693)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(57,693)</w:t>
            </w: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gain: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w w:val="95"/>
              </w:rPr>
              <w:t>Unrealized holding gain on available-for-sale securities, net of tax</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(84,693)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5"/>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9"/>
              </w:rPr>
              <w:t>197,006,980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67,718,940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9"/>
              </w:rPr>
              <w:t>143,338,517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67,021,176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1600" w:type="dxa"/>
            <w:vAlign w:val="bottom"/>
            <w:gridSpan w:val="7"/>
          </w:tcPr>
          <w:p>
            <w:pPr>
              <w:ind w:left="200"/>
              <w:spacing w:after="0"/>
              <w:rPr>
                <w:sz w:val="20"/>
                <w:szCs w:val="20"/>
                <w:color w:val="auto"/>
              </w:rPr>
            </w:pPr>
            <w:r>
              <w:rPr>
                <w:rFonts w:ascii="Arial" w:cs="Arial" w:eastAsia="Arial" w:hAnsi="Arial"/>
                <w:sz w:val="13"/>
                <w:szCs w:val="13"/>
                <w:b w:val="1"/>
                <w:bCs w:val="1"/>
                <w:color w:val="auto"/>
              </w:rPr>
              <w:t>Legacy SoundHound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1600" w:type="dxa"/>
            <w:vAlign w:val="bottom"/>
            <w:gridSpan w:val="7"/>
            <w:vMerge w:val="restart"/>
          </w:tcPr>
          <w:p>
            <w:pPr>
              <w:jc w:val="right"/>
              <w:ind w:right="180"/>
              <w:spacing w:after="0"/>
              <w:rPr>
                <w:sz w:val="20"/>
                <w:szCs w:val="20"/>
                <w:color w:val="auto"/>
              </w:rPr>
            </w:pPr>
            <w:r>
              <w:rPr>
                <w:rFonts w:ascii="Arial" w:cs="Arial" w:eastAsia="Arial" w:hAnsi="Arial"/>
                <w:sz w:val="13"/>
                <w:szCs w:val="13"/>
                <w:b w:val="1"/>
                <w:bCs w:val="1"/>
                <w:color w:val="auto"/>
                <w:w w:val="92"/>
              </w:rPr>
              <w:t>Redeemable Convertible</w:t>
            </w:r>
          </w:p>
        </w:tc>
        <w:tc>
          <w:tcPr>
            <w:tcW w:w="80" w:type="dxa"/>
            <w:vAlign w:val="bottom"/>
          </w:tcPr>
          <w:p>
            <w:pPr>
              <w:spacing w:after="0"/>
              <w:rPr>
                <w:sz w:val="5"/>
                <w:szCs w:val="5"/>
                <w:color w:val="auto"/>
              </w:rPr>
            </w:pPr>
          </w:p>
        </w:tc>
        <w:tc>
          <w:tcPr>
            <w:tcW w:w="124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w w:val="92"/>
              </w:rPr>
              <w:t>Legacy SoundHound</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160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5"/>
            <w:vMerge w:val="restart"/>
          </w:tcPr>
          <w:p>
            <w:pPr>
              <w:jc w:val="center"/>
              <w:ind w:right="1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7"/>
                <w:szCs w:val="7"/>
                <w:color w:val="auto"/>
              </w:rPr>
            </w:pPr>
          </w:p>
        </w:tc>
        <w:tc>
          <w:tcPr>
            <w:tcW w:w="92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1600" w:type="dxa"/>
            <w:vAlign w:val="bottom"/>
            <w:gridSpan w:val="7"/>
            <w:vMerge w:val="restart"/>
          </w:tcPr>
          <w:p>
            <w:pPr>
              <w:ind w:left="32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5"/>
                <w:szCs w:val="5"/>
                <w:color w:val="auto"/>
              </w:rPr>
            </w:pPr>
          </w:p>
        </w:tc>
        <w:tc>
          <w:tcPr>
            <w:tcW w:w="1240" w:type="dxa"/>
            <w:vAlign w:val="bottom"/>
            <w:gridSpan w:val="5"/>
            <w:vMerge w:val="restart"/>
          </w:tcPr>
          <w:p>
            <w:pPr>
              <w:jc w:val="right"/>
              <w:ind w:right="9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7"/>
            <w:vMerge w:val="restart"/>
          </w:tcPr>
          <w:p>
            <w:pPr>
              <w:jc w:val="right"/>
              <w:ind w:right="200"/>
              <w:spacing w:after="0"/>
              <w:rPr>
                <w:sz w:val="20"/>
                <w:szCs w:val="20"/>
                <w:color w:val="auto"/>
              </w:rPr>
            </w:pPr>
            <w:r>
              <w:rPr>
                <w:rFonts w:ascii="Arial" w:cs="Arial" w:eastAsia="Arial" w:hAnsi="Arial"/>
                <w:sz w:val="13"/>
                <w:szCs w:val="13"/>
                <w:b w:val="1"/>
                <w:bCs w:val="1"/>
                <w:color w:val="auto"/>
                <w:w w:val="88"/>
              </w:rPr>
              <w:t>Class A Common Stock</w:t>
            </w:r>
          </w:p>
        </w:tc>
        <w:tc>
          <w:tcPr>
            <w:tcW w:w="80" w:type="dxa"/>
            <w:vAlign w:val="bottom"/>
          </w:tcPr>
          <w:p>
            <w:pPr>
              <w:spacing w:after="0"/>
              <w:rPr>
                <w:sz w:val="5"/>
                <w:szCs w:val="5"/>
                <w:color w:val="auto"/>
              </w:rPr>
            </w:pPr>
          </w:p>
        </w:tc>
        <w:tc>
          <w:tcPr>
            <w:tcW w:w="1560" w:type="dxa"/>
            <w:vAlign w:val="bottom"/>
            <w:gridSpan w:val="8"/>
            <w:vMerge w:val="restart"/>
          </w:tcPr>
          <w:p>
            <w:pPr>
              <w:jc w:val="right"/>
              <w:ind w:right="220"/>
              <w:spacing w:after="0"/>
              <w:rPr>
                <w:sz w:val="20"/>
                <w:szCs w:val="20"/>
                <w:color w:val="auto"/>
              </w:rPr>
            </w:pPr>
            <w:r>
              <w:rPr>
                <w:rFonts w:ascii="Arial" w:cs="Arial" w:eastAsia="Arial" w:hAnsi="Arial"/>
                <w:sz w:val="13"/>
                <w:szCs w:val="13"/>
                <w:b w:val="1"/>
                <w:bCs w:val="1"/>
                <w:color w:val="auto"/>
                <w:w w:val="89"/>
              </w:rPr>
              <w:t>Class B Common Stock</w:t>
            </w:r>
          </w:p>
        </w:tc>
        <w:tc>
          <w:tcPr>
            <w:tcW w:w="4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500" w:type="dxa"/>
            <w:vAlign w:val="bottom"/>
          </w:tcPr>
          <w:p>
            <w:pPr>
              <w:spacing w:after="0"/>
              <w:rPr>
                <w:sz w:val="9"/>
                <w:szCs w:val="9"/>
                <w:color w:val="auto"/>
              </w:rPr>
            </w:pPr>
          </w:p>
        </w:tc>
        <w:tc>
          <w:tcPr>
            <w:tcW w:w="16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4"/>
            <w:vMerge w:val="restart"/>
          </w:tcPr>
          <w:p>
            <w:pPr>
              <w:jc w:val="center"/>
              <w:ind w:right="260"/>
              <w:spacing w:after="0" w:line="120" w:lineRule="exact"/>
              <w:rPr>
                <w:sz w:val="20"/>
                <w:szCs w:val="20"/>
                <w:color w:val="auto"/>
              </w:rPr>
            </w:pPr>
            <w:r>
              <w:rPr>
                <w:rFonts w:ascii="Arial" w:cs="Arial" w:eastAsia="Arial" w:hAnsi="Arial"/>
                <w:sz w:val="13"/>
                <w:szCs w:val="13"/>
                <w:b w:val="1"/>
                <w:bCs w:val="1"/>
                <w:color w:val="auto"/>
                <w:w w:val="92"/>
              </w:rPr>
              <w:t>Paid-in</w:t>
            </w:r>
          </w:p>
        </w:tc>
        <w:tc>
          <w:tcPr>
            <w:tcW w:w="1000" w:type="dxa"/>
            <w:vAlign w:val="bottom"/>
            <w:gridSpan w:val="5"/>
            <w:vMerge w:val="restart"/>
          </w:tcPr>
          <w:p>
            <w:pPr>
              <w:jc w:val="center"/>
              <w:ind w:right="80"/>
              <w:spacing w:after="0" w:line="120" w:lineRule="exact"/>
              <w:rPr>
                <w:sz w:val="20"/>
                <w:szCs w:val="20"/>
                <w:color w:val="auto"/>
              </w:rPr>
            </w:pPr>
            <w:r>
              <w:rPr>
                <w:rFonts w:ascii="Arial" w:cs="Arial" w:eastAsia="Arial" w:hAnsi="Arial"/>
                <w:sz w:val="13"/>
                <w:szCs w:val="13"/>
                <w:b w:val="1"/>
                <w:bCs w:val="1"/>
                <w:color w:val="auto"/>
                <w:w w:val="86"/>
              </w:rPr>
              <w:t>Comprehensive</w:t>
            </w:r>
          </w:p>
        </w:tc>
        <w:tc>
          <w:tcPr>
            <w:tcW w:w="840" w:type="dxa"/>
            <w:vAlign w:val="bottom"/>
            <w:gridSpan w:val="5"/>
            <w:vMerge w:val="restart"/>
          </w:tcPr>
          <w:p>
            <w:pPr>
              <w:ind w:left="20"/>
              <w:spacing w:after="0" w:line="120"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4"/>
            <w:vMerge w:val="continue"/>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00" w:type="dxa"/>
            <w:vAlign w:val="bottom"/>
          </w:tcPr>
          <w:p>
            <w:pPr>
              <w:spacing w:after="0"/>
              <w:rPr>
                <w:sz w:val="14"/>
                <w:szCs w:val="14"/>
                <w:color w:val="auto"/>
              </w:rPr>
            </w:pPr>
          </w:p>
        </w:tc>
        <w:tc>
          <w:tcPr>
            <w:tcW w:w="780" w:type="dxa"/>
            <w:vAlign w:val="bottom"/>
            <w:gridSpan w:val="3"/>
          </w:tcPr>
          <w:p>
            <w:pPr>
              <w:ind w:left="1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4"/>
                <w:szCs w:val="14"/>
                <w:color w:val="auto"/>
              </w:rPr>
            </w:pPr>
          </w:p>
        </w:tc>
        <w:tc>
          <w:tcPr>
            <w:tcW w:w="76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4"/>
                <w:szCs w:val="14"/>
                <w:color w:val="auto"/>
              </w:rPr>
            </w:pPr>
          </w:p>
        </w:tc>
        <w:tc>
          <w:tcPr>
            <w:tcW w:w="74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720" w:type="dxa"/>
            <w:vAlign w:val="bottom"/>
            <w:gridSpan w:val="4"/>
          </w:tcPr>
          <w:p>
            <w:pPr>
              <w:ind w:left="8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1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Balance as of June 30,</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2022</w:t>
            </w:r>
          </w:p>
        </w:tc>
        <w:tc>
          <w:tcPr>
            <w:tcW w:w="78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99"/>
              </w:rPr>
              <w:t>156,266,549</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40,396,600</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447,136</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(442,500)</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4,656</w:t>
            </w:r>
          </w:p>
        </w:tc>
        <w:tc>
          <w:tcPr>
            <w:tcW w:w="0" w:type="dxa"/>
            <w:vAlign w:val="bottom"/>
          </w:tcPr>
          <w:p>
            <w:pPr>
              <w:spacing w:after="0"/>
              <w:rPr>
                <w:sz w:val="1"/>
                <w:szCs w:val="1"/>
                <w:color w:val="auto"/>
              </w:rPr>
            </w:pPr>
          </w:p>
        </w:tc>
      </w:tr>
      <w:tr>
        <w:trPr>
          <w:trHeight w:val="161"/>
        </w:trPr>
        <w:tc>
          <w:tcPr>
            <w:tcW w:w="1500" w:type="dxa"/>
            <w:vAlign w:val="bottom"/>
          </w:tcPr>
          <w:p>
            <w:pPr>
              <w:ind w:left="20"/>
              <w:spacing w:after="0"/>
              <w:rPr>
                <w:sz w:val="20"/>
                <w:szCs w:val="20"/>
                <w:color w:val="auto"/>
              </w:rPr>
            </w:pPr>
            <w:r>
              <w:rPr>
                <w:rFonts w:ascii="Arial" w:cs="Arial" w:eastAsia="Arial" w:hAnsi="Arial"/>
                <w:sz w:val="13"/>
                <w:szCs w:val="13"/>
                <w:color w:val="auto"/>
              </w:rPr>
              <w:t>Issuance of Class A</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80"/>
              <w:spacing w:after="0"/>
              <w:rPr>
                <w:sz w:val="20"/>
                <w:szCs w:val="20"/>
                <w:color w:val="auto"/>
              </w:rPr>
            </w:pPr>
            <w:r>
              <w:rPr>
                <w:rFonts w:ascii="Arial" w:cs="Arial" w:eastAsia="Arial" w:hAnsi="Arial"/>
                <w:sz w:val="13"/>
                <w:szCs w:val="13"/>
                <w:color w:val="auto"/>
              </w:rPr>
              <w:t>common shares upon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00" w:type="dxa"/>
            <w:vAlign w:val="bottom"/>
          </w:tcPr>
          <w:p>
            <w:pPr>
              <w:ind w:left="180"/>
              <w:spacing w:after="0"/>
              <w:rPr>
                <w:sz w:val="20"/>
                <w:szCs w:val="20"/>
                <w:color w:val="auto"/>
              </w:rPr>
            </w:pPr>
            <w:r>
              <w:rPr>
                <w:rFonts w:ascii="Arial" w:cs="Arial" w:eastAsia="Arial" w:hAnsi="Arial"/>
                <w:sz w:val="13"/>
                <w:szCs w:val="13"/>
                <w:color w:val="auto"/>
              </w:rPr>
              <w:t>exercise of stock</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ind w:left="180"/>
              <w:spacing w:after="0"/>
              <w:rPr>
                <w:sz w:val="20"/>
                <w:szCs w:val="20"/>
                <w:color w:val="auto"/>
              </w:rPr>
            </w:pPr>
            <w:r>
              <w:rPr>
                <w:rFonts w:ascii="Arial" w:cs="Arial" w:eastAsia="Arial" w:hAnsi="Arial"/>
                <w:sz w:val="13"/>
                <w:szCs w:val="13"/>
                <w:color w:val="auto"/>
              </w:rPr>
              <w:t>options</w:t>
            </w:r>
          </w:p>
        </w:tc>
        <w:tc>
          <w:tcPr>
            <w:tcW w:w="78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514,931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ind w:left="6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4"/>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29"/>
        </w:trPr>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Issuance of common stock</w:t>
            </w: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upon vesting of</w:t>
            </w: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restricted stock units</w:t>
            </w:r>
          </w:p>
        </w:tc>
        <w:tc>
          <w:tcPr>
            <w:tcW w:w="78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514,585</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4"/>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500" w:type="dxa"/>
            <w:vAlign w:val="bottom"/>
          </w:tcPr>
          <w:p>
            <w:pPr>
              <w:ind w:left="20"/>
              <w:spacing w:after="0"/>
              <w:rPr>
                <w:sz w:val="20"/>
                <w:szCs w:val="20"/>
                <w:color w:val="auto"/>
              </w:rPr>
            </w:pPr>
            <w:r>
              <w:rPr>
                <w:rFonts w:ascii="Arial" w:cs="Arial" w:eastAsia="Arial" w:hAnsi="Arial"/>
                <w:sz w:val="13"/>
                <w:szCs w:val="13"/>
                <w:color w:val="auto"/>
                <w:w w:val="93"/>
              </w:rPr>
              <w:t>Stock-based compensation</w:t>
            </w:r>
          </w:p>
        </w:tc>
        <w:tc>
          <w:tcPr>
            <w:tcW w:w="78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5"/>
                <w:szCs w:val="15"/>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9,173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6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4"/>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9,173</w:t>
            </w:r>
          </w:p>
        </w:tc>
        <w:tc>
          <w:tcPr>
            <w:tcW w:w="0" w:type="dxa"/>
            <w:vAlign w:val="bottom"/>
          </w:tcPr>
          <w:p>
            <w:pPr>
              <w:spacing w:after="0"/>
              <w:rPr>
                <w:sz w:val="1"/>
                <w:szCs w:val="1"/>
                <w:color w:val="auto"/>
              </w:rPr>
            </w:pPr>
          </w:p>
        </w:tc>
      </w:tr>
      <w:tr>
        <w:trPr>
          <w:trHeight w:val="29"/>
        </w:trPr>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8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(28,922)</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(28,922)</w:t>
            </w: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4"/>
              </w:rPr>
              <w:t>Balance as of September</w:t>
            </w:r>
          </w:p>
        </w:tc>
        <w:tc>
          <w:tcPr>
            <w:tcW w:w="700" w:type="dxa"/>
            <w:vAlign w:val="bottom"/>
            <w:vMerge w:val="restart"/>
            <w:shd w:val="clear" w:color="auto" w:fill="CCEEFF"/>
          </w:tcPr>
          <w:p>
            <w:pPr>
              <w:ind w:left="560"/>
              <w:spacing w:after="0"/>
              <w:rPr>
                <w:sz w:val="20"/>
                <w:szCs w:val="20"/>
                <w:color w:val="auto"/>
              </w:rPr>
            </w:pPr>
            <w:r>
              <w:rPr>
                <w:rFonts w:ascii="Arial" w:cs="Arial" w:eastAsia="Arial" w:hAnsi="Arial"/>
                <w:sz w:val="13"/>
                <w:szCs w:val="13"/>
                <w:color w:val="auto"/>
                <w:w w:val="91"/>
              </w:rPr>
              <w:t>—</w:t>
            </w:r>
          </w:p>
        </w:tc>
        <w:tc>
          <w:tcPr>
            <w:tcW w:w="80" w:type="dxa"/>
            <w:vAlign w:val="bottom"/>
            <w:gridSpan w:val="2"/>
            <w:vMerge w:val="restart"/>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vMerge w:val="restart"/>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gridSpan w:val="2"/>
            <w:vMerge w:val="restart"/>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76"/>
              </w:rPr>
              <w:t>—</w:t>
            </w:r>
          </w:p>
        </w:tc>
        <w:tc>
          <w:tcPr>
            <w:tcW w:w="80" w:type="dxa"/>
            <w:vAlign w:val="bottom"/>
            <w:vMerge w:val="restart"/>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157,296,065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40,396,600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457,025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vMerge w:val="restart"/>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80" w:type="dxa"/>
            <w:vAlign w:val="bottom"/>
            <w:gridSpan w:val="2"/>
            <w:vMerge w:val="restart"/>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(471,422)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(14,377)</w:t>
            </w:r>
          </w:p>
        </w:tc>
        <w:tc>
          <w:tcPr>
            <w:tcW w:w="0" w:type="dxa"/>
            <w:vAlign w:val="bottom"/>
          </w:tcPr>
          <w:p>
            <w:pPr>
              <w:spacing w:after="0"/>
              <w:rPr>
                <w:sz w:val="1"/>
                <w:szCs w:val="1"/>
                <w:color w:val="auto"/>
              </w:rPr>
            </w:pPr>
          </w:p>
        </w:tc>
      </w:tr>
      <w:tr>
        <w:trPr>
          <w:trHeight w:val="185"/>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30, 2022</w:t>
            </w: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auto"/>
            </w:tcBorders>
            <w:gridSpan w:val="2"/>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right w:val="single" w:sz="8" w:color="CCEEFF"/>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auto"/>
            </w:tcBorders>
            <w:gridSpan w:val="2"/>
            <w:vMerge w:val="continue"/>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auto"/>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gridSpan w:val="14"/>
          </w:tcPr>
          <w:p>
            <w:pPr>
              <w:jc w:val="center"/>
              <w:ind w:right="280"/>
              <w:spacing w:after="0"/>
              <w:rPr>
                <w:sz w:val="20"/>
                <w:szCs w:val="20"/>
                <w:color w:val="auto"/>
              </w:rPr>
            </w:pPr>
            <w:r>
              <w:rPr>
                <w:rFonts w:ascii="Arial" w:cs="Arial" w:eastAsia="Arial" w:hAnsi="Arial"/>
                <w:sz w:val="13"/>
                <w:szCs w:val="13"/>
                <w:b w:val="1"/>
                <w:bCs w:val="1"/>
                <w:color w:val="auto"/>
                <w:w w:val="88"/>
              </w:rPr>
              <w:t>Three Months Ended September 30, 2021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7"/>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500" w:type="dxa"/>
            <w:vAlign w:val="bottom"/>
          </w:tcPr>
          <w:p>
            <w:pPr>
              <w:spacing w:after="0"/>
              <w:rPr>
                <w:sz w:val="13"/>
                <w:szCs w:val="13"/>
                <w:color w:val="auto"/>
              </w:rPr>
            </w:pPr>
          </w:p>
        </w:tc>
        <w:tc>
          <w:tcPr>
            <w:tcW w:w="1600" w:type="dxa"/>
            <w:vAlign w:val="bottom"/>
            <w:gridSpan w:val="7"/>
          </w:tcPr>
          <w:p>
            <w:pPr>
              <w:ind w:left="220"/>
              <w:spacing w:after="0"/>
              <w:rPr>
                <w:sz w:val="20"/>
                <w:szCs w:val="20"/>
                <w:color w:val="auto"/>
              </w:rPr>
            </w:pPr>
            <w:r>
              <w:rPr>
                <w:rFonts w:ascii="Arial" w:cs="Arial" w:eastAsia="Arial" w:hAnsi="Arial"/>
                <w:sz w:val="13"/>
                <w:szCs w:val="13"/>
                <w:b w:val="1"/>
                <w:bCs w:val="1"/>
                <w:color w:val="auto"/>
              </w:rPr>
              <w:t>Legacy SoundHound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4"/>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1600" w:type="dxa"/>
            <w:vAlign w:val="bottom"/>
            <w:gridSpan w:val="7"/>
            <w:vMerge w:val="restart"/>
          </w:tcPr>
          <w:p>
            <w:pPr>
              <w:jc w:val="right"/>
              <w:ind w:right="160"/>
              <w:spacing w:after="0"/>
              <w:rPr>
                <w:sz w:val="20"/>
                <w:szCs w:val="20"/>
                <w:color w:val="auto"/>
              </w:rPr>
            </w:pPr>
            <w:r>
              <w:rPr>
                <w:rFonts w:ascii="Arial" w:cs="Arial" w:eastAsia="Arial" w:hAnsi="Arial"/>
                <w:sz w:val="13"/>
                <w:szCs w:val="13"/>
                <w:b w:val="1"/>
                <w:bCs w:val="1"/>
                <w:color w:val="auto"/>
                <w:w w:val="93"/>
              </w:rPr>
              <w:t>Redeemable Convertible</w:t>
            </w:r>
          </w:p>
        </w:tc>
        <w:tc>
          <w:tcPr>
            <w:tcW w:w="80" w:type="dxa"/>
            <w:vAlign w:val="bottom"/>
          </w:tcPr>
          <w:p>
            <w:pPr>
              <w:spacing w:after="0"/>
              <w:rPr>
                <w:sz w:val="5"/>
                <w:szCs w:val="5"/>
                <w:color w:val="auto"/>
              </w:rPr>
            </w:pPr>
          </w:p>
        </w:tc>
        <w:tc>
          <w:tcPr>
            <w:tcW w:w="1500" w:type="dxa"/>
            <w:vAlign w:val="bottom"/>
            <w:gridSpan w:val="7"/>
            <w:vMerge w:val="restart"/>
          </w:tcPr>
          <w:p>
            <w:pPr>
              <w:jc w:val="center"/>
              <w:ind w:right="40"/>
              <w:spacing w:after="0"/>
              <w:rPr>
                <w:sz w:val="20"/>
                <w:szCs w:val="20"/>
                <w:color w:val="auto"/>
              </w:rPr>
            </w:pPr>
            <w:r>
              <w:rPr>
                <w:rFonts w:ascii="Arial" w:cs="Arial" w:eastAsia="Arial" w:hAnsi="Arial"/>
                <w:sz w:val="13"/>
                <w:szCs w:val="13"/>
                <w:b w:val="1"/>
                <w:bCs w:val="1"/>
                <w:color w:val="auto"/>
                <w:w w:val="87"/>
              </w:rPr>
              <w:t>Legacy SoundHound</w:t>
            </w: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160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7"/>
                <w:szCs w:val="7"/>
                <w:color w:val="auto"/>
              </w:rPr>
            </w:pPr>
          </w:p>
        </w:tc>
        <w:tc>
          <w:tcPr>
            <w:tcW w:w="92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1600" w:type="dxa"/>
            <w:vAlign w:val="bottom"/>
            <w:gridSpan w:val="7"/>
            <w:vMerge w:val="restart"/>
          </w:tcPr>
          <w:p>
            <w:pPr>
              <w:ind w:left="38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5"/>
                <w:szCs w:val="5"/>
                <w:color w:val="auto"/>
              </w:rPr>
            </w:pPr>
          </w:p>
        </w:tc>
        <w:tc>
          <w:tcPr>
            <w:tcW w:w="1240" w:type="dxa"/>
            <w:vAlign w:val="bottom"/>
            <w:gridSpan w:val="5"/>
            <w:vMerge w:val="restart"/>
          </w:tcPr>
          <w:p>
            <w:pPr>
              <w:jc w:val="center"/>
              <w:ind w:left="197"/>
              <w:spacing w:after="0"/>
              <w:rPr>
                <w:sz w:val="20"/>
                <w:szCs w:val="20"/>
                <w:color w:val="auto"/>
              </w:rPr>
            </w:pPr>
            <w:r>
              <w:rPr>
                <w:rFonts w:ascii="Arial" w:cs="Arial" w:eastAsia="Arial" w:hAnsi="Arial"/>
                <w:sz w:val="13"/>
                <w:szCs w:val="13"/>
                <w:b w:val="1"/>
                <w:bCs w:val="1"/>
                <w:color w:val="auto"/>
                <w:w w:val="85"/>
              </w:rPr>
              <w:t>Common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7"/>
            <w:vMerge w:val="restart"/>
          </w:tcPr>
          <w:p>
            <w:pPr>
              <w:ind w:left="120"/>
              <w:spacing w:after="0"/>
              <w:rPr>
                <w:sz w:val="20"/>
                <w:szCs w:val="20"/>
                <w:color w:val="auto"/>
              </w:rPr>
            </w:pPr>
            <w:r>
              <w:rPr>
                <w:rFonts w:ascii="Arial" w:cs="Arial" w:eastAsia="Arial" w:hAnsi="Arial"/>
                <w:sz w:val="13"/>
                <w:szCs w:val="13"/>
                <w:b w:val="1"/>
                <w:bCs w:val="1"/>
                <w:color w:val="auto"/>
                <w:w w:val="94"/>
              </w:rPr>
              <w:t>Class A Common Stock</w:t>
            </w:r>
          </w:p>
        </w:tc>
        <w:tc>
          <w:tcPr>
            <w:tcW w:w="80" w:type="dxa"/>
            <w:vAlign w:val="bottom"/>
          </w:tcPr>
          <w:p>
            <w:pPr>
              <w:spacing w:after="0"/>
              <w:rPr>
                <w:sz w:val="5"/>
                <w:szCs w:val="5"/>
                <w:color w:val="auto"/>
              </w:rPr>
            </w:pPr>
          </w:p>
        </w:tc>
        <w:tc>
          <w:tcPr>
            <w:tcW w:w="1560" w:type="dxa"/>
            <w:vAlign w:val="bottom"/>
            <w:gridSpan w:val="8"/>
            <w:vMerge w:val="restart"/>
          </w:tcPr>
          <w:p>
            <w:pPr>
              <w:ind w:left="140"/>
              <w:spacing w:after="0"/>
              <w:rPr>
                <w:sz w:val="20"/>
                <w:szCs w:val="20"/>
                <w:color w:val="auto"/>
              </w:rPr>
            </w:pPr>
            <w:r>
              <w:rPr>
                <w:rFonts w:ascii="Arial" w:cs="Arial" w:eastAsia="Arial" w:hAnsi="Arial"/>
                <w:sz w:val="13"/>
                <w:szCs w:val="13"/>
                <w:b w:val="1"/>
                <w:bCs w:val="1"/>
                <w:color w:val="auto"/>
                <w:w w:val="95"/>
              </w:rPr>
              <w:t>Class B Common Stock</w:t>
            </w:r>
          </w:p>
        </w:tc>
        <w:tc>
          <w:tcPr>
            <w:tcW w:w="40" w:type="dxa"/>
            <w:vAlign w:val="bottom"/>
          </w:tcPr>
          <w:p>
            <w:pPr>
              <w:spacing w:after="0"/>
              <w:rPr>
                <w:sz w:val="5"/>
                <w:szCs w:val="5"/>
                <w:color w:val="auto"/>
              </w:rPr>
            </w:pPr>
          </w:p>
        </w:tc>
        <w:tc>
          <w:tcPr>
            <w:tcW w:w="7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500" w:type="dxa"/>
            <w:vAlign w:val="bottom"/>
          </w:tcPr>
          <w:p>
            <w:pPr>
              <w:spacing w:after="0"/>
              <w:rPr>
                <w:sz w:val="9"/>
                <w:szCs w:val="9"/>
                <w:color w:val="auto"/>
              </w:rPr>
            </w:pPr>
          </w:p>
        </w:tc>
        <w:tc>
          <w:tcPr>
            <w:tcW w:w="16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4"/>
            <w:vMerge w:val="restart"/>
          </w:tcPr>
          <w:p>
            <w:pPr>
              <w:ind w:left="60"/>
              <w:spacing w:after="0" w:line="120"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5"/>
            <w:vMerge w:val="restart"/>
          </w:tcPr>
          <w:p>
            <w:pPr>
              <w:jc w:val="center"/>
              <w:ind w:right="80"/>
              <w:spacing w:after="0" w:line="120" w:lineRule="exact"/>
              <w:rPr>
                <w:sz w:val="20"/>
                <w:szCs w:val="20"/>
                <w:color w:val="auto"/>
              </w:rPr>
            </w:pPr>
            <w:r>
              <w:rPr>
                <w:rFonts w:ascii="Arial" w:cs="Arial" w:eastAsia="Arial" w:hAnsi="Arial"/>
                <w:sz w:val="13"/>
                <w:szCs w:val="13"/>
                <w:b w:val="1"/>
                <w:bCs w:val="1"/>
                <w:color w:val="auto"/>
                <w:w w:val="86"/>
              </w:rPr>
              <w:t>Comprehensive</w:t>
            </w:r>
          </w:p>
        </w:tc>
        <w:tc>
          <w:tcPr>
            <w:tcW w:w="840" w:type="dxa"/>
            <w:vAlign w:val="bottom"/>
            <w:gridSpan w:val="5"/>
            <w:vMerge w:val="restart"/>
          </w:tcPr>
          <w:p>
            <w:pPr>
              <w:spacing w:after="0" w:line="120"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4"/>
            <w:vMerge w:val="continue"/>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00" w:type="dxa"/>
            <w:vAlign w:val="bottom"/>
          </w:tcPr>
          <w:p>
            <w:pPr>
              <w:spacing w:after="0"/>
              <w:rPr>
                <w:sz w:val="14"/>
                <w:szCs w:val="14"/>
                <w:color w:val="auto"/>
              </w:rPr>
            </w:pPr>
          </w:p>
        </w:tc>
        <w:tc>
          <w:tcPr>
            <w:tcW w:w="780" w:type="dxa"/>
            <w:vAlign w:val="bottom"/>
            <w:gridSpan w:val="3"/>
          </w:tcPr>
          <w:p>
            <w:pPr>
              <w:ind w:left="20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4"/>
                <w:szCs w:val="14"/>
                <w:color w:val="auto"/>
              </w:rPr>
            </w:pPr>
          </w:p>
        </w:tc>
        <w:tc>
          <w:tcPr>
            <w:tcW w:w="760" w:type="dxa"/>
            <w:vAlign w:val="bottom"/>
            <w:gridSpan w:val="3"/>
          </w:tcPr>
          <w:p>
            <w:pPr>
              <w:ind w:left="1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4"/>
                <w:szCs w:val="14"/>
                <w:color w:val="auto"/>
              </w:rPr>
            </w:pPr>
          </w:p>
        </w:tc>
        <w:tc>
          <w:tcPr>
            <w:tcW w:w="740" w:type="dxa"/>
            <w:vAlign w:val="bottom"/>
            <w:gridSpan w:val="3"/>
          </w:tcPr>
          <w:p>
            <w:pPr>
              <w:ind w:left="1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4"/>
                <w:szCs w:val="14"/>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0"/>
        </w:trPr>
        <w:tc>
          <w:tcPr>
            <w:tcW w:w="1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Balance as of June 30,</w:t>
            </w: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99"/>
              </w:rPr>
              <w:t>106,303,970</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273,687</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auto"/>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67,633,891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39,084</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(341,101)</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(302,016)</w:t>
            </w:r>
          </w:p>
        </w:tc>
        <w:tc>
          <w:tcPr>
            <w:tcW w:w="0" w:type="dxa"/>
            <w:vAlign w:val="bottom"/>
          </w:tcPr>
          <w:p>
            <w:pPr>
              <w:spacing w:after="0"/>
              <w:rPr>
                <w:sz w:val="1"/>
                <w:szCs w:val="1"/>
                <w:color w:val="auto"/>
              </w:rPr>
            </w:pPr>
          </w:p>
        </w:tc>
      </w:tr>
      <w:tr>
        <w:trPr>
          <w:trHeight w:val="161"/>
        </w:trPr>
        <w:tc>
          <w:tcPr>
            <w:tcW w:w="1500" w:type="dxa"/>
            <w:vAlign w:val="bottom"/>
          </w:tcPr>
          <w:p>
            <w:pPr>
              <w:ind w:left="20"/>
              <w:spacing w:after="0"/>
              <w:rPr>
                <w:sz w:val="20"/>
                <w:szCs w:val="20"/>
                <w:color w:val="auto"/>
              </w:rPr>
            </w:pPr>
            <w:r>
              <w:rPr>
                <w:rFonts w:ascii="Arial" w:cs="Arial" w:eastAsia="Arial" w:hAnsi="Arial"/>
                <w:sz w:val="13"/>
                <w:szCs w:val="13"/>
                <w:color w:val="auto"/>
                <w:w w:val="94"/>
              </w:rPr>
              <w:t>Issuance of common stock</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80"/>
              <w:spacing w:after="0"/>
              <w:rPr>
                <w:sz w:val="20"/>
                <w:szCs w:val="20"/>
                <w:color w:val="auto"/>
              </w:rPr>
            </w:pPr>
            <w:r>
              <w:rPr>
                <w:rFonts w:ascii="Arial" w:cs="Arial" w:eastAsia="Arial" w:hAnsi="Arial"/>
                <w:sz w:val="13"/>
                <w:szCs w:val="13"/>
                <w:color w:val="auto"/>
              </w:rPr>
              <w:t>upon exercise of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00" w:type="dxa"/>
            <w:vAlign w:val="bottom"/>
          </w:tcPr>
          <w:p>
            <w:pPr>
              <w:ind w:left="180"/>
              <w:spacing w:after="0"/>
              <w:rPr>
                <w:sz w:val="20"/>
                <w:szCs w:val="20"/>
                <w:color w:val="auto"/>
              </w:rPr>
            </w:pPr>
            <w:r>
              <w:rPr>
                <w:rFonts w:ascii="Arial" w:cs="Arial" w:eastAsia="Arial" w:hAnsi="Arial"/>
                <w:sz w:val="13"/>
                <w:szCs w:val="13"/>
                <w:color w:val="auto"/>
              </w:rPr>
              <w:t>options</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212,297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gridSpan w:val="3"/>
          </w:tcPr>
          <w:p>
            <w:pPr>
              <w:ind w:left="5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ind w:left="4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6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30"/>
        </w:trPr>
        <w:tc>
          <w:tcPr>
            <w:tcW w:w="15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3"/>
              </w:rPr>
              <w:t>Stock-based compensation</w:t>
            </w: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right w:val="single" w:sz="8" w:color="auto"/>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1,315</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1,315</w:t>
            </w:r>
          </w:p>
        </w:tc>
        <w:tc>
          <w:tcPr>
            <w:tcW w:w="0" w:type="dxa"/>
            <w:vAlign w:val="bottom"/>
          </w:tcPr>
          <w:p>
            <w:pPr>
              <w:spacing w:after="0"/>
              <w:rPr>
                <w:sz w:val="1"/>
                <w:szCs w:val="1"/>
                <w:color w:val="auto"/>
              </w:rPr>
            </w:pPr>
          </w:p>
        </w:tc>
      </w:tr>
      <w:tr>
        <w:trPr>
          <w:trHeight w:val="173"/>
        </w:trPr>
        <w:tc>
          <w:tcPr>
            <w:tcW w:w="1500" w:type="dxa"/>
            <w:vAlign w:val="bottom"/>
          </w:tcPr>
          <w:p>
            <w:pPr>
              <w:ind w:left="20"/>
              <w:spacing w:after="0"/>
              <w:rPr>
                <w:sz w:val="20"/>
                <w:szCs w:val="20"/>
                <w:color w:val="auto"/>
              </w:rPr>
            </w:pPr>
            <w:r>
              <w:rPr>
                <w:rFonts w:ascii="Arial" w:cs="Arial" w:eastAsia="Arial" w:hAnsi="Arial"/>
                <w:sz w:val="13"/>
                <w:szCs w:val="13"/>
                <w:color w:val="auto"/>
              </w:rPr>
              <w:t>Net loss</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gridSpan w:val="3"/>
          </w:tcPr>
          <w:p>
            <w:pPr>
              <w:ind w:left="5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gridSpan w:val="3"/>
          </w:tcPr>
          <w:p>
            <w:pPr>
              <w:ind w:left="5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gridSpan w:val="4"/>
          </w:tcPr>
          <w:p>
            <w:pPr>
              <w:ind w:left="6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(23,781)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(23,781)</w:t>
            </w:r>
          </w:p>
        </w:tc>
        <w:tc>
          <w:tcPr>
            <w:tcW w:w="0" w:type="dxa"/>
            <w:vAlign w:val="bottom"/>
          </w:tcPr>
          <w:p>
            <w:pPr>
              <w:spacing w:after="0"/>
              <w:rPr>
                <w:sz w:val="1"/>
                <w:szCs w:val="1"/>
                <w:color w:val="auto"/>
              </w:rPr>
            </w:pPr>
          </w:p>
        </w:tc>
      </w:tr>
      <w:tr>
        <w:trPr>
          <w:trHeight w:val="30"/>
        </w:trPr>
        <w:tc>
          <w:tcPr>
            <w:tcW w:w="1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right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w w:val="94"/>
              </w:rPr>
              <w:t>Balance as of September</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w w:val="99"/>
              </w:rPr>
              <w:t>106,303,970</w:t>
            </w:r>
          </w:p>
        </w:tc>
        <w:tc>
          <w:tcPr>
            <w:tcW w:w="40" w:type="dxa"/>
            <w:vAlign w:val="bottom"/>
          </w:tcPr>
          <w:p>
            <w:pPr>
              <w:spacing w:after="0"/>
              <w:rPr>
                <w:sz w:val="13"/>
                <w:szCs w:val="13"/>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273,687</w:t>
            </w:r>
          </w:p>
        </w:tc>
        <w:tc>
          <w:tcPr>
            <w:tcW w:w="1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67,846,188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restart"/>
          </w:tcPr>
          <w:p>
            <w:pPr>
              <w:jc w:val="right"/>
              <w:ind w:right="317"/>
              <w:spacing w:after="0"/>
              <w:rPr>
                <w:sz w:val="20"/>
                <w:szCs w:val="20"/>
                <w:color w:val="auto"/>
              </w:rPr>
            </w:pPr>
            <w:r>
              <w:rPr>
                <w:rFonts w:ascii="Arial" w:cs="Arial" w:eastAsia="Arial" w:hAnsi="Arial"/>
                <w:sz w:val="13"/>
                <w:szCs w:val="13"/>
                <w:color w:val="auto"/>
                <w:w w:val="82"/>
              </w:rPr>
              <w:t>$</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60" w:type="dxa"/>
            <w:vAlign w:val="bottom"/>
            <w:gridSpan w:val="3"/>
            <w:vMerge w:val="restart"/>
          </w:tcPr>
          <w:p>
            <w:pPr>
              <w:ind w:left="580"/>
              <w:spacing w:after="0"/>
              <w:rPr>
                <w:sz w:val="20"/>
                <w:szCs w:val="20"/>
                <w:color w:val="auto"/>
              </w:rPr>
            </w:pPr>
            <w:r>
              <w:rPr>
                <w:rFonts w:ascii="Arial" w:cs="Arial" w:eastAsia="Arial" w:hAnsi="Arial"/>
                <w:sz w:val="13"/>
                <w:szCs w:val="13"/>
                <w:color w:val="auto"/>
              </w:rPr>
              <w:t>—</w:t>
            </w:r>
          </w:p>
        </w:tc>
        <w:tc>
          <w:tcPr>
            <w:tcW w:w="120" w:type="dxa"/>
            <w:vAlign w:val="bottom"/>
            <w:gridSpan w:val="2"/>
            <w:vMerge w:val="restart"/>
          </w:tcPr>
          <w:p>
            <w:pPr>
              <w:jc w:val="center"/>
              <w:spacing w:after="0"/>
              <w:rPr>
                <w:sz w:val="20"/>
                <w:szCs w:val="20"/>
                <w:color w:val="auto"/>
              </w:rPr>
            </w:pPr>
            <w:r>
              <w:rPr>
                <w:rFonts w:ascii="Arial" w:cs="Arial" w:eastAsia="Arial" w:hAnsi="Arial"/>
                <w:sz w:val="13"/>
                <w:szCs w:val="13"/>
                <w:color w:val="auto"/>
                <w:w w:val="82"/>
              </w:rPr>
              <w:t>$</w:t>
            </w:r>
          </w:p>
        </w:tc>
        <w:tc>
          <w:tcPr>
            <w:tcW w:w="6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3"/>
            <w:vMerge w:val="restart"/>
          </w:tcPr>
          <w:p>
            <w:pPr>
              <w:ind w:left="560"/>
              <w:spacing w:after="0"/>
              <w:rPr>
                <w:sz w:val="20"/>
                <w:szCs w:val="20"/>
                <w:color w:val="auto"/>
              </w:rPr>
            </w:pPr>
            <w:r>
              <w:rPr>
                <w:rFonts w:ascii="Arial" w:cs="Arial" w:eastAsia="Arial" w:hAnsi="Arial"/>
                <w:sz w:val="13"/>
                <w:szCs w:val="13"/>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40,633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4"/>
            <w:vMerge w:val="restart"/>
          </w:tcPr>
          <w:p>
            <w:pPr>
              <w:ind w:left="6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(364,882)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restart"/>
          </w:tcPr>
          <w:p>
            <w:pPr>
              <w:jc w:val="right"/>
              <w:ind w:right="2"/>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(324,248)</w:t>
            </w:r>
          </w:p>
        </w:tc>
        <w:tc>
          <w:tcPr>
            <w:tcW w:w="0" w:type="dxa"/>
            <w:vAlign w:val="bottom"/>
          </w:tcPr>
          <w:p>
            <w:pPr>
              <w:spacing w:after="0"/>
              <w:rPr>
                <w:sz w:val="1"/>
                <w:szCs w:val="1"/>
                <w:color w:val="auto"/>
              </w:rPr>
            </w:pPr>
          </w:p>
        </w:tc>
      </w:tr>
      <w:tr>
        <w:trPr>
          <w:trHeight w:val="165"/>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30, 2021</w:t>
            </w: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STOCKHOLDERS’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Legacy SoundHound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68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86"/>
              </w:rPr>
              <w:t>Redeemable Convertible</w:t>
            </w:r>
          </w:p>
        </w:tc>
        <w:tc>
          <w:tcPr>
            <w:tcW w:w="1520" w:type="dxa"/>
            <w:vAlign w:val="bottom"/>
            <w:gridSpan w:val="5"/>
            <w:vMerge w:val="restart"/>
          </w:tcPr>
          <w:p>
            <w:pPr>
              <w:ind w:left="140"/>
              <w:spacing w:after="0"/>
              <w:rPr>
                <w:sz w:val="20"/>
                <w:szCs w:val="20"/>
                <w:color w:val="auto"/>
              </w:rPr>
            </w:pPr>
            <w:r>
              <w:rPr>
                <w:rFonts w:ascii="Arial" w:cs="Arial" w:eastAsia="Arial" w:hAnsi="Arial"/>
                <w:sz w:val="13"/>
                <w:szCs w:val="13"/>
                <w:b w:val="1"/>
                <w:bCs w:val="1"/>
                <w:color w:val="auto"/>
              </w:rPr>
              <w:t>Legacy SoundHound</w:t>
            </w: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1520" w:type="dxa"/>
            <w:vAlign w:val="bottom"/>
            <w:gridSpan w:val="5"/>
            <w:vMerge w:val="continue"/>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7"/>
                <w:szCs w:val="7"/>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68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86"/>
              </w:rPr>
              <w:t>Preferred Stock</w:t>
            </w:r>
          </w:p>
        </w:tc>
        <w:tc>
          <w:tcPr>
            <w:tcW w:w="152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Common Stock</w:t>
            </w:r>
          </w:p>
        </w:tc>
        <w:tc>
          <w:tcPr>
            <w:tcW w:w="1560" w:type="dxa"/>
            <w:vAlign w:val="bottom"/>
            <w:gridSpan w:val="5"/>
            <w:vMerge w:val="restart"/>
          </w:tcPr>
          <w:p>
            <w:pPr>
              <w:jc w:val="right"/>
              <w:ind w:right="180"/>
              <w:spacing w:after="0"/>
              <w:rPr>
                <w:sz w:val="20"/>
                <w:szCs w:val="20"/>
                <w:color w:val="auto"/>
              </w:rPr>
            </w:pPr>
            <w:r>
              <w:rPr>
                <w:rFonts w:ascii="Arial" w:cs="Arial" w:eastAsia="Arial" w:hAnsi="Arial"/>
                <w:sz w:val="13"/>
                <w:szCs w:val="13"/>
                <w:b w:val="1"/>
                <w:bCs w:val="1"/>
                <w:color w:val="auto"/>
                <w:w w:val="92"/>
              </w:rPr>
              <w:t>Class A Common Stock</w:t>
            </w:r>
          </w:p>
        </w:tc>
        <w:tc>
          <w:tcPr>
            <w:tcW w:w="1560" w:type="dxa"/>
            <w:vAlign w:val="bottom"/>
            <w:gridSpan w:val="5"/>
            <w:vMerge w:val="restart"/>
          </w:tcPr>
          <w:p>
            <w:pPr>
              <w:jc w:val="right"/>
              <w:ind w:right="200"/>
              <w:spacing w:after="0"/>
              <w:rPr>
                <w:sz w:val="20"/>
                <w:szCs w:val="20"/>
                <w:color w:val="auto"/>
              </w:rPr>
            </w:pPr>
            <w:r>
              <w:rPr>
                <w:rFonts w:ascii="Arial" w:cs="Arial" w:eastAsia="Arial" w:hAnsi="Arial"/>
                <w:sz w:val="13"/>
                <w:szCs w:val="13"/>
                <w:b w:val="1"/>
                <w:bCs w:val="1"/>
                <w:color w:val="auto"/>
                <w:w w:val="91"/>
              </w:rPr>
              <w:t>Class B Common Stock</w:t>
            </w:r>
          </w:p>
        </w:tc>
        <w:tc>
          <w:tcPr>
            <w:tcW w:w="8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54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center"/>
              <w:ind w:right="240"/>
              <w:spacing w:after="0" w:line="120" w:lineRule="exact"/>
              <w:rPr>
                <w:sz w:val="20"/>
                <w:szCs w:val="20"/>
                <w:color w:val="auto"/>
              </w:rPr>
            </w:pPr>
            <w:r>
              <w:rPr>
                <w:rFonts w:ascii="Arial" w:cs="Arial" w:eastAsia="Arial" w:hAnsi="Arial"/>
                <w:sz w:val="13"/>
                <w:szCs w:val="13"/>
                <w:b w:val="1"/>
                <w:bCs w:val="1"/>
                <w:color w:val="auto"/>
                <w:w w:val="87"/>
              </w:rPr>
              <w:t>Paid-in</w:t>
            </w:r>
          </w:p>
        </w:tc>
        <w:tc>
          <w:tcPr>
            <w:tcW w:w="1000" w:type="dxa"/>
            <w:vAlign w:val="bottom"/>
            <w:gridSpan w:val="3"/>
            <w:vMerge w:val="restart"/>
          </w:tcPr>
          <w:p>
            <w:pPr>
              <w:jc w:val="center"/>
              <w:ind w:right="60"/>
              <w:spacing w:after="0" w:line="120" w:lineRule="exact"/>
              <w:rPr>
                <w:sz w:val="20"/>
                <w:szCs w:val="20"/>
                <w:color w:val="auto"/>
              </w:rPr>
            </w:pPr>
            <w:r>
              <w:rPr>
                <w:rFonts w:ascii="Arial" w:cs="Arial" w:eastAsia="Arial" w:hAnsi="Arial"/>
                <w:sz w:val="13"/>
                <w:szCs w:val="13"/>
                <w:b w:val="1"/>
                <w:bCs w:val="1"/>
                <w:color w:val="auto"/>
                <w:w w:val="84"/>
              </w:rPr>
              <w:t>Comprehensive</w:t>
            </w:r>
          </w:p>
        </w:tc>
        <w:tc>
          <w:tcPr>
            <w:tcW w:w="840" w:type="dxa"/>
            <w:vAlign w:val="bottom"/>
            <w:gridSpan w:val="3"/>
            <w:vMerge w:val="restart"/>
          </w:tcPr>
          <w:p>
            <w:pPr>
              <w:ind w:left="20"/>
              <w:spacing w:after="0" w:line="120"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9"/>
              </w:rPr>
              <w:t>Amount</w:t>
            </w:r>
          </w:p>
        </w:tc>
        <w:tc>
          <w:tcPr>
            <w:tcW w:w="80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15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w w:val="99"/>
              </w:rPr>
              <w:t>Balance as of December</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31, 2021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19,248,537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279,503</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12,280,051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43,491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(386,729)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(343,237)</w:t>
            </w:r>
          </w:p>
        </w:tc>
        <w:tc>
          <w:tcPr>
            <w:tcW w:w="0" w:type="dxa"/>
            <w:vAlign w:val="bottom"/>
          </w:tcPr>
          <w:p>
            <w:pPr>
              <w:spacing w:after="0"/>
              <w:rPr>
                <w:sz w:val="1"/>
                <w:szCs w:val="1"/>
                <w:color w:val="auto"/>
              </w:rPr>
            </w:pPr>
          </w:p>
        </w:tc>
      </w:tr>
      <w:tr>
        <w:trPr>
          <w:trHeight w:val="161"/>
        </w:trPr>
        <w:tc>
          <w:tcPr>
            <w:tcW w:w="1540" w:type="dxa"/>
            <w:vAlign w:val="bottom"/>
          </w:tcPr>
          <w:p>
            <w:pPr>
              <w:ind w:left="20"/>
              <w:spacing w:after="0"/>
              <w:rPr>
                <w:sz w:val="20"/>
                <w:szCs w:val="20"/>
                <w:color w:val="auto"/>
              </w:rPr>
            </w:pPr>
            <w:r>
              <w:rPr>
                <w:rFonts w:ascii="Arial" w:cs="Arial" w:eastAsia="Arial" w:hAnsi="Arial"/>
                <w:sz w:val="13"/>
                <w:szCs w:val="13"/>
                <w:color w:val="auto"/>
              </w:rPr>
              <w:t>Retroactive application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80"/>
              <w:spacing w:after="0"/>
              <w:rPr>
                <w:sz w:val="20"/>
                <w:szCs w:val="20"/>
                <w:color w:val="auto"/>
              </w:rPr>
            </w:pPr>
            <w:r>
              <w:rPr>
                <w:rFonts w:ascii="Arial" w:cs="Arial" w:eastAsia="Arial" w:hAnsi="Arial"/>
                <w:sz w:val="13"/>
                <w:szCs w:val="13"/>
                <w:color w:val="auto"/>
              </w:rPr>
              <w:t>Business Combination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40" w:type="dxa"/>
            <w:vAlign w:val="bottom"/>
          </w:tcPr>
          <w:p>
            <w:pPr>
              <w:ind w:left="180"/>
              <w:spacing w:after="0"/>
              <w:rPr>
                <w:sz w:val="20"/>
                <w:szCs w:val="20"/>
                <w:color w:val="auto"/>
              </w:rPr>
            </w:pPr>
            <w:r>
              <w:rPr>
                <w:rFonts w:ascii="Arial" w:cs="Arial" w:eastAsia="Arial" w:hAnsi="Arial"/>
                <w:sz w:val="13"/>
                <w:szCs w:val="13"/>
                <w:color w:val="auto"/>
              </w:rPr>
              <w:t>(Note 3)</w:t>
            </w:r>
          </w:p>
        </w:tc>
        <w:tc>
          <w:tcPr>
            <w:tcW w:w="760" w:type="dxa"/>
            <w:vAlign w:val="bottom"/>
          </w:tcPr>
          <w:p>
            <w:pPr>
              <w:jc w:val="right"/>
              <w:spacing w:after="0"/>
              <w:rPr>
                <w:sz w:val="20"/>
                <w:szCs w:val="20"/>
                <w:color w:val="auto"/>
              </w:rPr>
            </w:pPr>
            <w:r>
              <w:rPr>
                <w:rFonts w:ascii="Arial" w:cs="Arial" w:eastAsia="Arial" w:hAnsi="Arial"/>
                <w:sz w:val="13"/>
                <w:szCs w:val="13"/>
                <w:color w:val="auto"/>
              </w:rPr>
              <w:t>87,700,789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(279,503)</w:t>
            </w:r>
          </w:p>
        </w:tc>
        <w:tc>
          <w:tcPr>
            <w:tcW w:w="120" w:type="dxa"/>
            <w:vAlign w:val="bottom"/>
            <w:tcBorders>
              <w:right w:val="single" w:sz="8" w:color="auto"/>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55,978,505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279,504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279,503</w:t>
            </w:r>
          </w:p>
        </w:tc>
        <w:tc>
          <w:tcPr>
            <w:tcW w:w="0" w:type="dxa"/>
            <w:vAlign w:val="bottom"/>
          </w:tcPr>
          <w:p>
            <w:pPr>
              <w:spacing w:after="0"/>
              <w:rPr>
                <w:sz w:val="1"/>
                <w:szCs w:val="1"/>
                <w:color w:val="auto"/>
              </w:rPr>
            </w:pPr>
          </w:p>
        </w:tc>
      </w:tr>
      <w:tr>
        <w:trPr>
          <w:trHeight w:val="29"/>
        </w:trPr>
        <w:tc>
          <w:tcPr>
            <w:tcW w:w="15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Adjusted balance,</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beginning of period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106,949,326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68,258,556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322,995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(386,729)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(63,734)</w:t>
            </w:r>
          </w:p>
        </w:tc>
        <w:tc>
          <w:tcPr>
            <w:tcW w:w="0" w:type="dxa"/>
            <w:vAlign w:val="bottom"/>
          </w:tcPr>
          <w:p>
            <w:pPr>
              <w:spacing w:after="0"/>
              <w:rPr>
                <w:sz w:val="1"/>
                <w:szCs w:val="1"/>
                <w:color w:val="auto"/>
              </w:rPr>
            </w:pPr>
          </w:p>
        </w:tc>
      </w:tr>
      <w:tr>
        <w:trPr>
          <w:trHeight w:val="161"/>
        </w:trPr>
        <w:tc>
          <w:tcPr>
            <w:tcW w:w="1540" w:type="dxa"/>
            <w:vAlign w:val="bottom"/>
          </w:tcPr>
          <w:p>
            <w:pPr>
              <w:ind w:left="20"/>
              <w:spacing w:after="0"/>
              <w:rPr>
                <w:sz w:val="20"/>
                <w:szCs w:val="20"/>
                <w:color w:val="auto"/>
              </w:rPr>
            </w:pPr>
            <w:r>
              <w:rPr>
                <w:rFonts w:ascii="Arial" w:cs="Arial" w:eastAsia="Arial" w:hAnsi="Arial"/>
                <w:sz w:val="13"/>
                <w:szCs w:val="13"/>
                <w:color w:val="auto"/>
                <w:w w:val="97"/>
              </w:rPr>
              <w:t>Issuance of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80"/>
              <w:spacing w:after="0"/>
              <w:rPr>
                <w:sz w:val="20"/>
                <w:szCs w:val="20"/>
                <w:color w:val="auto"/>
              </w:rPr>
            </w:pPr>
            <w:r>
              <w:rPr>
                <w:rFonts w:ascii="Arial" w:cs="Arial" w:eastAsia="Arial" w:hAnsi="Arial"/>
                <w:sz w:val="13"/>
                <w:szCs w:val="13"/>
                <w:color w:val="auto"/>
              </w:rPr>
              <w:t>upon exercise of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40" w:type="dxa"/>
            <w:vAlign w:val="bottom"/>
          </w:tcPr>
          <w:p>
            <w:pPr>
              <w:ind w:left="180"/>
              <w:spacing w:after="0"/>
              <w:rPr>
                <w:sz w:val="20"/>
                <w:szCs w:val="20"/>
                <w:color w:val="auto"/>
              </w:rPr>
            </w:pPr>
            <w:r>
              <w:rPr>
                <w:rFonts w:ascii="Arial" w:cs="Arial" w:eastAsia="Arial" w:hAnsi="Arial"/>
                <w:sz w:val="13"/>
                <w:szCs w:val="13"/>
                <w:color w:val="auto"/>
              </w:rPr>
              <w:t>options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2,582,535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2,840</w:t>
            </w:r>
          </w:p>
        </w:tc>
        <w:tc>
          <w:tcPr>
            <w:tcW w:w="0" w:type="dxa"/>
            <w:vAlign w:val="bottom"/>
          </w:tcPr>
          <w:p>
            <w:pPr>
              <w:spacing w:after="0"/>
              <w:rPr>
                <w:sz w:val="1"/>
                <w:szCs w:val="1"/>
                <w:color w:val="auto"/>
              </w:rPr>
            </w:pPr>
          </w:p>
        </w:tc>
      </w:tr>
      <w:tr>
        <w:trPr>
          <w:trHeight w:val="29"/>
        </w:trPr>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Net exercise of outstanding</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warrants</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673,416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540" w:type="dxa"/>
            <w:vAlign w:val="bottom"/>
          </w:tcPr>
          <w:p>
            <w:pPr>
              <w:ind w:left="20"/>
              <w:spacing w:after="0"/>
              <w:rPr>
                <w:sz w:val="20"/>
                <w:szCs w:val="20"/>
                <w:color w:val="auto"/>
              </w:rPr>
            </w:pPr>
            <w:r>
              <w:rPr>
                <w:rFonts w:ascii="Arial" w:cs="Arial" w:eastAsia="Arial" w:hAnsi="Arial"/>
                <w:sz w:val="13"/>
                <w:szCs w:val="13"/>
                <w:color w:val="auto"/>
              </w:rPr>
              <w:t>Conversion of convertible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40" w:type="dxa"/>
            <w:vAlign w:val="bottom"/>
          </w:tcPr>
          <w:p>
            <w:pPr>
              <w:ind w:left="20"/>
              <w:spacing w:after="0"/>
              <w:rPr>
                <w:sz w:val="20"/>
                <w:szCs w:val="20"/>
                <w:color w:val="auto"/>
              </w:rPr>
            </w:pPr>
            <w:r>
              <w:rPr>
                <w:rFonts w:ascii="Arial" w:cs="Arial" w:eastAsia="Arial" w:hAnsi="Arial"/>
                <w:sz w:val="13"/>
                <w:szCs w:val="13"/>
                <w:color w:val="auto"/>
              </w:rPr>
              <w:t>note</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2,046,827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20,239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20,239</w:t>
            </w:r>
          </w:p>
        </w:tc>
        <w:tc>
          <w:tcPr>
            <w:tcW w:w="0" w:type="dxa"/>
            <w:vAlign w:val="bottom"/>
          </w:tcPr>
          <w:p>
            <w:pPr>
              <w:spacing w:after="0"/>
              <w:rPr>
                <w:sz w:val="1"/>
                <w:szCs w:val="1"/>
                <w:color w:val="auto"/>
              </w:rPr>
            </w:pPr>
          </w:p>
        </w:tc>
      </w:tr>
      <w:tr>
        <w:trPr>
          <w:trHeight w:val="29"/>
        </w:trPr>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reverse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recapitalization, net of</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costs (Note 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8"/>
              </w:rPr>
              <w:t>(106,949,326)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(73,561,334)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140,114,060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40,396,600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540" w:type="dxa"/>
            <w:vAlign w:val="bottom"/>
          </w:tcPr>
          <w:p>
            <w:pPr>
              <w:ind w:left="20"/>
              <w:spacing w:after="0"/>
              <w:rPr>
                <w:sz w:val="20"/>
                <w:szCs w:val="20"/>
                <w:color w:val="auto"/>
              </w:rPr>
            </w:pPr>
            <w:r>
              <w:rPr>
                <w:rFonts w:ascii="Arial" w:cs="Arial" w:eastAsia="Arial" w:hAnsi="Arial"/>
                <w:sz w:val="13"/>
                <w:szCs w:val="13"/>
                <w:color w:val="auto"/>
              </w:rPr>
              <w:t>PIPE financing</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11,300,000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86,584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86,585</w:t>
            </w:r>
          </w:p>
        </w:tc>
        <w:tc>
          <w:tcPr>
            <w:tcW w:w="0" w:type="dxa"/>
            <w:vAlign w:val="bottom"/>
          </w:tcPr>
          <w:p>
            <w:pPr>
              <w:spacing w:after="0"/>
              <w:rPr>
                <w:sz w:val="1"/>
                <w:szCs w:val="1"/>
                <w:color w:val="auto"/>
              </w:rPr>
            </w:pPr>
          </w:p>
        </w:tc>
      </w:tr>
      <w:tr>
        <w:trPr>
          <w:trHeight w:val="29"/>
        </w:trPr>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Class A</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common shares pursuant</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 the Business</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Combination</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4,693,050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4,106</w:t>
            </w:r>
          </w:p>
        </w:tc>
        <w:tc>
          <w:tcPr>
            <w:tcW w:w="0" w:type="dxa"/>
            <w:vAlign w:val="bottom"/>
          </w:tcPr>
          <w:p>
            <w:pPr>
              <w:spacing w:after="0"/>
              <w:rPr>
                <w:sz w:val="1"/>
                <w:szCs w:val="1"/>
                <w:color w:val="auto"/>
              </w:rPr>
            </w:pPr>
          </w:p>
        </w:tc>
      </w:tr>
      <w:tr>
        <w:trPr>
          <w:trHeight w:val="161"/>
        </w:trPr>
        <w:tc>
          <w:tcPr>
            <w:tcW w:w="1540" w:type="dxa"/>
            <w:vAlign w:val="bottom"/>
          </w:tcPr>
          <w:p>
            <w:pPr>
              <w:ind w:left="20"/>
              <w:spacing w:after="0"/>
              <w:rPr>
                <w:sz w:val="20"/>
                <w:szCs w:val="20"/>
                <w:color w:val="auto"/>
              </w:rPr>
            </w:pPr>
            <w:r>
              <w:rPr>
                <w:rFonts w:ascii="Arial" w:cs="Arial" w:eastAsia="Arial" w:hAnsi="Arial"/>
                <w:sz w:val="13"/>
                <w:szCs w:val="13"/>
                <w:color w:val="auto"/>
              </w:rPr>
              <w:t>Issuance of Class A</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80"/>
              <w:spacing w:after="0"/>
              <w:rPr>
                <w:sz w:val="20"/>
                <w:szCs w:val="20"/>
                <w:color w:val="auto"/>
              </w:rPr>
            </w:pPr>
            <w:r>
              <w:rPr>
                <w:rFonts w:ascii="Arial" w:cs="Arial" w:eastAsia="Arial" w:hAnsi="Arial"/>
                <w:sz w:val="13"/>
                <w:szCs w:val="13"/>
                <w:color w:val="auto"/>
              </w:rPr>
              <w:t>common shares upon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40" w:type="dxa"/>
            <w:vAlign w:val="bottom"/>
          </w:tcPr>
          <w:p>
            <w:pPr>
              <w:ind w:left="180"/>
              <w:spacing w:after="0"/>
              <w:rPr>
                <w:sz w:val="20"/>
                <w:szCs w:val="20"/>
                <w:color w:val="auto"/>
              </w:rPr>
            </w:pPr>
            <w:r>
              <w:rPr>
                <w:rFonts w:ascii="Arial" w:cs="Arial" w:eastAsia="Arial" w:hAnsi="Arial"/>
                <w:sz w:val="13"/>
                <w:szCs w:val="13"/>
                <w:color w:val="auto"/>
                <w:w w:val="94"/>
              </w:rPr>
              <w:t>exercise of stock options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557,030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30"/>
        </w:trPr>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Issuance of common stock</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upon vesting of</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restricted stock units</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631,925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540" w:type="dxa"/>
            <w:vAlign w:val="bottom"/>
          </w:tcPr>
          <w:p>
            <w:pPr>
              <w:ind w:left="20"/>
              <w:spacing w:after="0"/>
              <w:rPr>
                <w:sz w:val="20"/>
                <w:szCs w:val="20"/>
                <w:color w:val="auto"/>
              </w:rPr>
            </w:pPr>
            <w:r>
              <w:rPr>
                <w:rFonts w:ascii="Arial" w:cs="Arial" w:eastAsia="Arial" w:hAnsi="Arial"/>
                <w:sz w:val="13"/>
                <w:szCs w:val="13"/>
                <w:color w:val="auto"/>
                <w:w w:val="95"/>
              </w:rPr>
              <w:t>Stock-based compensation</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19,500</w:t>
            </w:r>
          </w:p>
        </w:tc>
        <w:tc>
          <w:tcPr>
            <w:tcW w:w="0" w:type="dxa"/>
            <w:vAlign w:val="bottom"/>
          </w:tcPr>
          <w:p>
            <w:pPr>
              <w:spacing w:after="0"/>
              <w:rPr>
                <w:sz w:val="1"/>
                <w:szCs w:val="1"/>
                <w:color w:val="auto"/>
              </w:rPr>
            </w:pPr>
          </w:p>
        </w:tc>
      </w:tr>
      <w:tr>
        <w:trPr>
          <w:trHeight w:val="30"/>
        </w:trPr>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(84,693)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(84,693)</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6"/>
              </w:rPr>
              <w:t>Balance as of September</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157,296,065</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40,396,600</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457,025</w:t>
            </w:r>
          </w:p>
        </w:tc>
        <w:tc>
          <w:tcPr>
            <w:tcW w:w="8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(471,422)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(14,377)</w:t>
            </w:r>
          </w:p>
        </w:tc>
        <w:tc>
          <w:tcPr>
            <w:tcW w:w="0" w:type="dxa"/>
            <w:vAlign w:val="bottom"/>
          </w:tcPr>
          <w:p>
            <w:pPr>
              <w:spacing w:after="0"/>
              <w:rPr>
                <w:sz w:val="1"/>
                <w:szCs w:val="1"/>
                <w:color w:val="auto"/>
              </w:rPr>
            </w:pPr>
          </w:p>
        </w:tc>
      </w:tr>
      <w:tr>
        <w:trPr>
          <w:trHeight w:val="185"/>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30, 2022</w:t>
            </w:r>
          </w:p>
        </w:tc>
        <w:tc>
          <w:tcPr>
            <w:tcW w:w="8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Legacy SoundHound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164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86"/>
              </w:rPr>
              <w:t>Redeemable Convertible</w:t>
            </w:r>
          </w:p>
        </w:tc>
        <w:tc>
          <w:tcPr>
            <w:tcW w:w="160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Legacy SoundHound</w:t>
            </w: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640" w:type="dxa"/>
            <w:vAlign w:val="bottom"/>
            <w:gridSpan w:val="5"/>
            <w:vMerge w:val="continue"/>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7"/>
                <w:szCs w:val="7"/>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164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86"/>
              </w:rPr>
              <w:t>Preferred Stock</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Common Stock</w:t>
            </w:r>
          </w:p>
        </w:tc>
        <w:tc>
          <w:tcPr>
            <w:tcW w:w="152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w w:val="96"/>
              </w:rPr>
              <w:t>Class A Common Stock</w:t>
            </w:r>
          </w:p>
        </w:tc>
        <w:tc>
          <w:tcPr>
            <w:tcW w:w="146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w w:val="88"/>
              </w:rPr>
              <w:t>Class B Common Stock</w:t>
            </w:r>
          </w:p>
        </w:tc>
        <w:tc>
          <w:tcPr>
            <w:tcW w:w="8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62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14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ind w:left="60"/>
              <w:spacing w:after="0" w:line="120"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vMerge w:val="restart"/>
          </w:tcPr>
          <w:p>
            <w:pPr>
              <w:jc w:val="center"/>
              <w:ind w:right="40"/>
              <w:spacing w:after="0" w:line="120" w:lineRule="exact"/>
              <w:rPr>
                <w:sz w:val="20"/>
                <w:szCs w:val="20"/>
                <w:color w:val="auto"/>
              </w:rPr>
            </w:pPr>
            <w:r>
              <w:rPr>
                <w:rFonts w:ascii="Arial" w:cs="Arial" w:eastAsia="Arial" w:hAnsi="Arial"/>
                <w:sz w:val="13"/>
                <w:szCs w:val="13"/>
                <w:b w:val="1"/>
                <w:bCs w:val="1"/>
                <w:color w:val="auto"/>
                <w:w w:val="86"/>
              </w:rPr>
              <w:t>Comprehensive</w:t>
            </w:r>
          </w:p>
        </w:tc>
        <w:tc>
          <w:tcPr>
            <w:tcW w:w="840" w:type="dxa"/>
            <w:vAlign w:val="bottom"/>
            <w:gridSpan w:val="3"/>
            <w:vMerge w:val="restart"/>
          </w:tcPr>
          <w:p>
            <w:pPr>
              <w:ind w:left="20"/>
              <w:spacing w:after="0" w:line="120"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1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w w:val="91"/>
              </w:rPr>
              <w:t>Balance as of December 31,</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19,132,387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273,687</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11,818,761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30,836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(307,189)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(276,353)</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Retroactive application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80"/>
              <w:spacing w:after="0"/>
              <w:rPr>
                <w:sz w:val="20"/>
                <w:szCs w:val="20"/>
                <w:color w:val="auto"/>
              </w:rPr>
            </w:pPr>
            <w:r>
              <w:rPr>
                <w:rFonts w:ascii="Arial" w:cs="Arial" w:eastAsia="Arial" w:hAnsi="Arial"/>
                <w:sz w:val="13"/>
                <w:szCs w:val="13"/>
                <w:color w:val="auto"/>
              </w:rPr>
              <w:t>Business Combination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20" w:type="dxa"/>
            <w:vAlign w:val="bottom"/>
          </w:tcPr>
          <w:p>
            <w:pPr>
              <w:ind w:left="180"/>
              <w:spacing w:after="0"/>
              <w:rPr>
                <w:sz w:val="20"/>
                <w:szCs w:val="20"/>
                <w:color w:val="auto"/>
              </w:rPr>
            </w:pPr>
            <w:r>
              <w:rPr>
                <w:rFonts w:ascii="Arial" w:cs="Arial" w:eastAsia="Arial" w:hAnsi="Arial"/>
                <w:sz w:val="13"/>
                <w:szCs w:val="13"/>
                <w:color w:val="auto"/>
              </w:rPr>
              <w:t>(Note 3)</w:t>
            </w:r>
          </w:p>
        </w:tc>
        <w:tc>
          <w:tcPr>
            <w:tcW w:w="740" w:type="dxa"/>
            <w:vAlign w:val="bottom"/>
          </w:tcPr>
          <w:p>
            <w:pPr>
              <w:jc w:val="right"/>
              <w:spacing w:after="0"/>
              <w:rPr>
                <w:sz w:val="20"/>
                <w:szCs w:val="20"/>
                <w:color w:val="auto"/>
              </w:rPr>
            </w:pPr>
            <w:r>
              <w:rPr>
                <w:rFonts w:ascii="Arial" w:cs="Arial" w:eastAsia="Arial" w:hAnsi="Arial"/>
                <w:sz w:val="13"/>
                <w:szCs w:val="13"/>
                <w:color w:val="auto"/>
              </w:rPr>
              <w:t>87,171,583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53,849,015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6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Adjusted balance,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beginning of period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106,303,970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273,687</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65,667,776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30,836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(307,189)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(276,353)</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80"/>
              <w:spacing w:after="0"/>
              <w:rPr>
                <w:sz w:val="20"/>
                <w:szCs w:val="20"/>
                <w:color w:val="auto"/>
              </w:rPr>
            </w:pPr>
            <w:r>
              <w:rPr>
                <w:rFonts w:ascii="Arial" w:cs="Arial" w:eastAsia="Arial" w:hAnsi="Arial"/>
                <w:sz w:val="13"/>
                <w:szCs w:val="13"/>
                <w:color w:val="auto"/>
              </w:rPr>
              <w:t>upon exercise of stock</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20" w:type="dxa"/>
            <w:vAlign w:val="bottom"/>
          </w:tcPr>
          <w:p>
            <w:pPr>
              <w:ind w:left="180"/>
              <w:spacing w:after="0"/>
              <w:rPr>
                <w:sz w:val="20"/>
                <w:szCs w:val="20"/>
                <w:color w:val="auto"/>
              </w:rPr>
            </w:pPr>
            <w:r>
              <w:rPr>
                <w:rFonts w:ascii="Arial" w:cs="Arial" w:eastAsia="Arial" w:hAnsi="Arial"/>
                <w:sz w:val="13"/>
                <w:szCs w:val="13"/>
                <w:color w:val="auto"/>
              </w:rPr>
              <w:t>options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2,178,412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1,906</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warrants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3,842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3,842</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Other comprehensive gain,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180"/>
              <w:spacing w:after="0"/>
              <w:rPr>
                <w:sz w:val="20"/>
                <w:szCs w:val="20"/>
                <w:color w:val="auto"/>
              </w:rPr>
            </w:pPr>
            <w:r>
              <w:rPr>
                <w:rFonts w:ascii="Arial" w:cs="Arial" w:eastAsia="Arial" w:hAnsi="Arial"/>
                <w:sz w:val="13"/>
                <w:szCs w:val="13"/>
                <w:color w:val="auto"/>
              </w:rPr>
              <w:t>net of tax</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4,049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4,049</w:t>
            </w:r>
          </w:p>
        </w:tc>
        <w:tc>
          <w:tcPr>
            <w:tcW w:w="0" w:type="dxa"/>
            <w:vAlign w:val="bottom"/>
          </w:tcPr>
          <w:p>
            <w:pPr>
              <w:spacing w:after="0"/>
              <w:rPr>
                <w:sz w:val="1"/>
                <w:szCs w:val="1"/>
                <w:color w:val="auto"/>
              </w:rPr>
            </w:pPr>
          </w:p>
        </w:tc>
      </w:tr>
      <w:tr>
        <w:trPr>
          <w:trHeight w:val="173"/>
        </w:trPr>
        <w:tc>
          <w:tcPr>
            <w:tcW w:w="1620" w:type="dxa"/>
            <w:vAlign w:val="bottom"/>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(57,693)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(57,693)</w:t>
            </w:r>
          </w:p>
        </w:tc>
        <w:tc>
          <w:tcPr>
            <w:tcW w:w="0" w:type="dxa"/>
            <w:vAlign w:val="bottom"/>
          </w:tcPr>
          <w:p>
            <w:pPr>
              <w:spacing w:after="0"/>
              <w:rPr>
                <w:sz w:val="1"/>
                <w:szCs w:val="1"/>
                <w:color w:val="auto"/>
              </w:rPr>
            </w:pPr>
          </w:p>
        </w:tc>
      </w:tr>
      <w:tr>
        <w:trPr>
          <w:trHeight w:val="29"/>
        </w:trPr>
        <w:tc>
          <w:tcPr>
            <w:tcW w:w="1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Balance as of September</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w w:val="96"/>
              </w:rPr>
              <w:t>106,303,970</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273,687</w:t>
            </w:r>
          </w:p>
        </w:tc>
        <w:tc>
          <w:tcPr>
            <w:tcW w:w="100" w:type="dxa"/>
            <w:vAlign w:val="bottom"/>
            <w:tcBorders>
              <w:right w:val="single" w:sz="8" w:color="auto"/>
            </w:tcBorders>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67,846,188</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40,633</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(364,882)</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(324,248)</w:t>
            </w:r>
          </w:p>
        </w:tc>
        <w:tc>
          <w:tcPr>
            <w:tcW w:w="0" w:type="dxa"/>
            <w:vAlign w:val="bottom"/>
          </w:tcPr>
          <w:p>
            <w:pPr>
              <w:spacing w:after="0"/>
              <w:rPr>
                <w:sz w:val="1"/>
                <w:szCs w:val="1"/>
                <w:color w:val="auto"/>
              </w:rPr>
            </w:pPr>
          </w:p>
        </w:tc>
      </w:tr>
      <w:tr>
        <w:trPr>
          <w:trHeight w:val="165"/>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30, 2021</w:t>
            </w: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65" w:lineRule="exact"/>
        <w:rPr>
          <w:sz w:val="20"/>
          <w:szCs w:val="20"/>
          <w:color w:val="auto"/>
        </w:rPr>
      </w:pPr>
    </w:p>
    <w:p>
      <w:pPr>
        <w:jc w:val="center"/>
        <w:ind w:left="8160"/>
        <w:spacing w:after="0"/>
        <w:rPr>
          <w:sz w:val="20"/>
          <w:szCs w:val="20"/>
          <w:color w:val="auto"/>
        </w:rPr>
      </w:pPr>
      <w:r>
        <w:rPr>
          <w:rFonts w:ascii="Arial" w:cs="Arial" w:eastAsia="Arial" w:hAnsi="Arial"/>
          <w:sz w:val="11"/>
          <w:szCs w:val="11"/>
          <w:b w:val="1"/>
          <w:bCs w:val="1"/>
          <w:color w:val="auto"/>
        </w:rPr>
        <w:t>Nine Months Ended</w:t>
      </w:r>
    </w:p>
    <w:p>
      <w:pPr>
        <w:spacing w:after="0" w:line="14" w:lineRule="exact"/>
        <w:rPr>
          <w:sz w:val="20"/>
          <w:szCs w:val="20"/>
          <w:color w:val="auto"/>
        </w:rPr>
      </w:pPr>
    </w:p>
    <w:p>
      <w:pPr>
        <w:jc w:val="center"/>
        <w:ind w:left="8160"/>
        <w:spacing w:after="0"/>
        <w:rPr>
          <w:sz w:val="20"/>
          <w:szCs w:val="20"/>
          <w:color w:val="auto"/>
        </w:rPr>
      </w:pPr>
      <w:r>
        <w:rPr>
          <w:rFonts w:ascii="Arial" w:cs="Arial" w:eastAsia="Arial" w:hAnsi="Arial"/>
          <w:sz w:val="11"/>
          <w:szCs w:val="11"/>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19685</wp:posOffset>
            </wp:positionV>
            <wp:extent cx="19456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180" w:type="dxa"/>
            <w:vAlign w:val="bottom"/>
          </w:tcPr>
          <w:p>
            <w:pPr>
              <w:spacing w:after="0"/>
              <w:rPr>
                <w:sz w:val="12"/>
                <w:szCs w:val="12"/>
                <w:color w:val="auto"/>
              </w:rPr>
            </w:pPr>
          </w:p>
        </w:tc>
        <w:tc>
          <w:tcPr>
            <w:tcW w:w="960" w:type="dxa"/>
            <w:vAlign w:val="bottom"/>
          </w:tcPr>
          <w:p>
            <w:pPr>
              <w:jc w:val="right"/>
              <w:ind w:right="71"/>
              <w:spacing w:after="0"/>
              <w:rPr>
                <w:sz w:val="20"/>
                <w:szCs w:val="20"/>
                <w:color w:val="auto"/>
              </w:rPr>
            </w:pPr>
            <w:r>
              <w:rPr>
                <w:rFonts w:ascii="Arial" w:cs="Arial" w:eastAsia="Arial" w:hAnsi="Arial"/>
                <w:sz w:val="11"/>
                <w:szCs w:val="11"/>
                <w:b w:val="1"/>
                <w:bCs w:val="1"/>
                <w:color w:val="auto"/>
              </w:rPr>
              <w:t>2022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86"/>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36"/>
        </w:trPr>
        <w:tc>
          <w:tcPr>
            <w:tcW w:w="8180" w:type="dxa"/>
            <w:vAlign w:val="bottom"/>
            <w:vMerge w:val="restart"/>
          </w:tcPr>
          <w:p>
            <w:pPr>
              <w:ind w:left="20"/>
              <w:spacing w:after="0"/>
              <w:rPr>
                <w:sz w:val="20"/>
                <w:szCs w:val="20"/>
                <w:color w:val="auto"/>
              </w:rPr>
            </w:pPr>
            <w:r>
              <w:rPr>
                <w:rFonts w:ascii="Arial" w:cs="Arial" w:eastAsia="Arial" w:hAnsi="Arial"/>
                <w:sz w:val="11"/>
                <w:szCs w:val="11"/>
                <w:color w:val="auto"/>
              </w:rPr>
              <w:t>Cash flows from operating activities:</w:t>
            </w: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81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loss</w:t>
            </w:r>
          </w:p>
        </w:tc>
        <w:tc>
          <w:tcPr>
            <w:tcW w:w="960" w:type="dxa"/>
            <w:vAlign w:val="bottom"/>
            <w:tcBorders>
              <w:bottom w:val="single" w:sz="8" w:color="CCEEFF"/>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(84,693)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(57,693)</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Depreciation and amortization</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3,197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4,169</w:t>
            </w:r>
          </w:p>
        </w:tc>
        <w:tc>
          <w:tcPr>
            <w:tcW w:w="0" w:type="dxa"/>
            <w:vAlign w:val="bottom"/>
          </w:tcPr>
          <w:p>
            <w:pPr>
              <w:spacing w:after="0"/>
              <w:rPr>
                <w:sz w:val="1"/>
                <w:szCs w:val="1"/>
                <w:color w:val="auto"/>
              </w:rPr>
            </w:pPr>
          </w:p>
        </w:tc>
      </w:tr>
      <w:tr>
        <w:trPr>
          <w:trHeight w:val="153"/>
        </w:trPr>
        <w:tc>
          <w:tcPr>
            <w:tcW w:w="818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19,500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4,049</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Change in fair value of derivative and warrant liability</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3,791</w:t>
            </w:r>
          </w:p>
        </w:tc>
        <w:tc>
          <w:tcPr>
            <w:tcW w:w="0" w:type="dxa"/>
            <w:vAlign w:val="bottom"/>
          </w:tcPr>
          <w:p>
            <w:pPr>
              <w:spacing w:after="0"/>
              <w:rPr>
                <w:sz w:val="1"/>
                <w:szCs w:val="1"/>
                <w:color w:val="auto"/>
              </w:rPr>
            </w:pPr>
          </w:p>
        </w:tc>
      </w:tr>
      <w:tr>
        <w:trPr>
          <w:trHeight w:val="153"/>
        </w:trPr>
        <w:tc>
          <w:tcPr>
            <w:tcW w:w="8180" w:type="dxa"/>
            <w:vAlign w:val="bottom"/>
          </w:tcPr>
          <w:p>
            <w:pPr>
              <w:ind w:left="180"/>
              <w:spacing w:after="0"/>
              <w:rPr>
                <w:sz w:val="20"/>
                <w:szCs w:val="20"/>
                <w:color w:val="auto"/>
              </w:rPr>
            </w:pPr>
            <w:r>
              <w:rPr>
                <w:rFonts w:ascii="Arial" w:cs="Arial" w:eastAsia="Arial" w:hAnsi="Arial"/>
                <w:sz w:val="11"/>
                <w:szCs w:val="11"/>
                <w:color w:val="auto"/>
              </w:rPr>
              <w:t>Amortization of debt issuance cost</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2,237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2,953</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Non-cash lease amortization</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2,412</w:t>
            </w:r>
          </w:p>
        </w:tc>
        <w:tc>
          <w:tcPr>
            <w:tcW w:w="0" w:type="dxa"/>
            <w:vAlign w:val="bottom"/>
          </w:tcPr>
          <w:p>
            <w:pPr>
              <w:spacing w:after="0"/>
              <w:rPr>
                <w:sz w:val="1"/>
                <w:szCs w:val="1"/>
                <w:color w:val="auto"/>
              </w:rPr>
            </w:pPr>
          </w:p>
        </w:tc>
      </w:tr>
      <w:tr>
        <w:trPr>
          <w:trHeight w:val="153"/>
        </w:trPr>
        <w:tc>
          <w:tcPr>
            <w:tcW w:w="8180" w:type="dxa"/>
            <w:vAlign w:val="bottom"/>
          </w:tcPr>
          <w:p>
            <w:pPr>
              <w:ind w:left="180"/>
              <w:spacing w:after="0"/>
              <w:rPr>
                <w:sz w:val="20"/>
                <w:szCs w:val="20"/>
                <w:color w:val="auto"/>
              </w:rPr>
            </w:pPr>
            <w:r>
              <w:rPr>
                <w:rFonts w:ascii="Arial" w:cs="Arial" w:eastAsia="Arial" w:hAnsi="Arial"/>
                <w:sz w:val="11"/>
                <w:szCs w:val="11"/>
                <w:color w:val="auto"/>
              </w:rPr>
              <w:t>Deferred income taxes</w:t>
            </w:r>
          </w:p>
        </w:tc>
        <w:tc>
          <w:tcPr>
            <w:tcW w:w="9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1,035</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60"/>
              <w:spacing w:after="0"/>
              <w:rPr>
                <w:sz w:val="20"/>
                <w:szCs w:val="20"/>
                <w:color w:val="auto"/>
              </w:rPr>
            </w:pPr>
            <w:r>
              <w:rPr>
                <w:rFonts w:ascii="Arial" w:cs="Arial" w:eastAsia="Arial" w:hAnsi="Arial"/>
                <w:sz w:val="11"/>
                <w:szCs w:val="11"/>
                <w:color w:val="auto"/>
              </w:rPr>
              <w:t>Accounts receivable, net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(2,061)</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Prepaid expenses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(2,498)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53"/>
        </w:trPr>
        <w:tc>
          <w:tcPr>
            <w:tcW w:w="8180" w:type="dxa"/>
            <w:vAlign w:val="bottom"/>
          </w:tcPr>
          <w:p>
            <w:pPr>
              <w:ind w:left="260"/>
              <w:spacing w:after="0"/>
              <w:rPr>
                <w:sz w:val="20"/>
                <w:szCs w:val="20"/>
                <w:color w:val="auto"/>
              </w:rPr>
            </w:pPr>
            <w:r>
              <w:rPr>
                <w:rFonts w:ascii="Arial" w:cs="Arial" w:eastAsia="Arial" w:hAnsi="Arial"/>
                <w:sz w:val="11"/>
                <w:szCs w:val="11"/>
                <w:color w:val="auto"/>
              </w:rPr>
              <w:t>Other current assets</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(552)</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Contract assets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(6,176)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8180" w:type="dxa"/>
            <w:vAlign w:val="bottom"/>
          </w:tcPr>
          <w:p>
            <w:pPr>
              <w:ind w:left="260"/>
              <w:spacing w:after="0"/>
              <w:rPr>
                <w:sz w:val="20"/>
                <w:szCs w:val="20"/>
                <w:color w:val="auto"/>
              </w:rPr>
            </w:pPr>
            <w:r>
              <w:rPr>
                <w:rFonts w:ascii="Arial" w:cs="Arial" w:eastAsia="Arial" w:hAnsi="Arial"/>
                <w:sz w:val="11"/>
                <w:szCs w:val="11"/>
                <w:color w:val="auto"/>
              </w:rPr>
              <w:t>Other assets</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Accounts payable</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3"/>
        </w:trPr>
        <w:tc>
          <w:tcPr>
            <w:tcW w:w="8180" w:type="dxa"/>
            <w:vAlign w:val="bottom"/>
          </w:tcPr>
          <w:p>
            <w:pPr>
              <w:ind w:left="260"/>
              <w:spacing w:after="0"/>
              <w:rPr>
                <w:sz w:val="20"/>
                <w:szCs w:val="20"/>
                <w:color w:val="auto"/>
              </w:rPr>
            </w:pPr>
            <w:r>
              <w:rPr>
                <w:rFonts w:ascii="Arial" w:cs="Arial" w:eastAsia="Arial" w:hAnsi="Arial"/>
                <w:sz w:val="11"/>
                <w:szCs w:val="11"/>
                <w:color w:val="auto"/>
              </w:rPr>
              <w:t>Accrued liabilities</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1,440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1,724</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Operating lease liabilities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(3,085)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(2,710)</w:t>
            </w:r>
          </w:p>
        </w:tc>
        <w:tc>
          <w:tcPr>
            <w:tcW w:w="0" w:type="dxa"/>
            <w:vAlign w:val="bottom"/>
          </w:tcPr>
          <w:p>
            <w:pPr>
              <w:spacing w:after="0"/>
              <w:rPr>
                <w:sz w:val="1"/>
                <w:szCs w:val="1"/>
                <w:color w:val="auto"/>
              </w:rPr>
            </w:pPr>
          </w:p>
        </w:tc>
      </w:tr>
      <w:tr>
        <w:trPr>
          <w:trHeight w:val="153"/>
        </w:trPr>
        <w:tc>
          <w:tcPr>
            <w:tcW w:w="8180" w:type="dxa"/>
            <w:vAlign w:val="bottom"/>
          </w:tcPr>
          <w:p>
            <w:pPr>
              <w:ind w:left="260"/>
              <w:spacing w:after="0"/>
              <w:rPr>
                <w:sz w:val="20"/>
                <w:szCs w:val="20"/>
                <w:color w:val="auto"/>
              </w:rPr>
            </w:pPr>
            <w:r>
              <w:rPr>
                <w:rFonts w:ascii="Arial" w:cs="Arial" w:eastAsia="Arial" w:hAnsi="Arial"/>
                <w:sz w:val="11"/>
                <w:szCs w:val="11"/>
                <w:color w:val="auto"/>
              </w:rPr>
              <w:t>Deferred revenue</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(6,815)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(7,138)</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Other liabilities</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(747)</w:t>
            </w:r>
          </w:p>
        </w:tc>
        <w:tc>
          <w:tcPr>
            <w:tcW w:w="0" w:type="dxa"/>
            <w:vAlign w:val="bottom"/>
          </w:tcPr>
          <w:p>
            <w:pPr>
              <w:spacing w:after="0"/>
              <w:rPr>
                <w:sz w:val="1"/>
                <w:szCs w:val="1"/>
                <w:color w:val="auto"/>
              </w:rPr>
            </w:pPr>
          </w:p>
        </w:tc>
      </w:tr>
      <w:tr>
        <w:trPr>
          <w:trHeight w:val="147"/>
        </w:trPr>
        <w:tc>
          <w:tcPr>
            <w:tcW w:w="8180" w:type="dxa"/>
            <w:vAlign w:val="bottom"/>
          </w:tcPr>
          <w:p>
            <w:pPr>
              <w:ind w:left="440"/>
              <w:spacing w:after="0"/>
              <w:rPr>
                <w:sz w:val="20"/>
                <w:szCs w:val="20"/>
                <w:color w:val="auto"/>
              </w:rPr>
            </w:pPr>
            <w:r>
              <w:rPr>
                <w:rFonts w:ascii="Arial" w:cs="Arial" w:eastAsia="Arial" w:hAnsi="Arial"/>
                <w:sz w:val="11"/>
                <w:szCs w:val="11"/>
                <w:color w:val="auto"/>
              </w:rPr>
              <w:t>Net cash used in operating activities</w:t>
            </w: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(73,605)</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(51,097)</w:t>
            </w:r>
          </w:p>
        </w:tc>
        <w:tc>
          <w:tcPr>
            <w:tcW w:w="0" w:type="dxa"/>
            <w:vAlign w:val="bottom"/>
          </w:tcPr>
          <w:p>
            <w:pPr>
              <w:spacing w:after="0"/>
              <w:rPr>
                <w:sz w:val="1"/>
                <w:szCs w:val="1"/>
                <w:color w:val="auto"/>
              </w:rPr>
            </w:pPr>
          </w:p>
        </w:tc>
      </w:tr>
      <w:tr>
        <w:trPr>
          <w:trHeight w:val="75"/>
        </w:trPr>
        <w:tc>
          <w:tcPr>
            <w:tcW w:w="818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Cash flows from investing activities:</w:t>
            </w:r>
          </w:p>
        </w:tc>
        <w:tc>
          <w:tcPr>
            <w:tcW w:w="9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Purchases of property and equipment</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47"/>
        </w:trPr>
        <w:tc>
          <w:tcPr>
            <w:tcW w:w="8180" w:type="dxa"/>
            <w:vAlign w:val="bottom"/>
          </w:tcPr>
          <w:p>
            <w:pPr>
              <w:ind w:left="440"/>
              <w:spacing w:after="0"/>
              <w:rPr>
                <w:sz w:val="20"/>
                <w:szCs w:val="20"/>
                <w:color w:val="auto"/>
              </w:rPr>
            </w:pPr>
            <w:r>
              <w:rPr>
                <w:rFonts w:ascii="Arial" w:cs="Arial" w:eastAsia="Arial" w:hAnsi="Arial"/>
                <w:sz w:val="11"/>
                <w:szCs w:val="11"/>
                <w:color w:val="auto"/>
              </w:rPr>
              <w:t>Net cash used in investing activities</w:t>
            </w: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(1,188)</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74"/>
        </w:trPr>
        <w:tc>
          <w:tcPr>
            <w:tcW w:w="818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Cash flows from financing activities:</w:t>
            </w:r>
          </w:p>
        </w:tc>
        <w:tc>
          <w:tcPr>
            <w:tcW w:w="9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issuance of convertible notes, net of issuance cost</w:t>
            </w:r>
          </w:p>
        </w:tc>
        <w:tc>
          <w:tcPr>
            <w:tcW w:w="9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5,044</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Arial" w:cs="Arial" w:eastAsia="Arial" w:hAnsi="Arial"/>
                <w:sz w:val="11"/>
                <w:szCs w:val="11"/>
                <w:color w:val="auto"/>
              </w:rPr>
              <w:t>Proceeds from note payable, net of issuance cost</w:t>
            </w:r>
          </w:p>
        </w:tc>
        <w:tc>
          <w:tcPr>
            <w:tcW w:w="9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29,833</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the issuance of common stock upon exercise of options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3,620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1,906</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Arial" w:cs="Arial" w:eastAsia="Arial" w:hAnsi="Arial"/>
                <w:sz w:val="11"/>
                <w:szCs w:val="11"/>
                <w:color w:val="auto"/>
              </w:rPr>
              <w:t>Proceeds from Business Combination and PIPE, net of transaction costs</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90,689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Payments on notes payable</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(7,450)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Payments on finance leases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(1,246)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(1,885)</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Net cash provided by financing activities</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85,613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34,898</w:t>
            </w:r>
          </w:p>
        </w:tc>
        <w:tc>
          <w:tcPr>
            <w:tcW w:w="0" w:type="dxa"/>
            <w:vAlign w:val="bottom"/>
          </w:tcPr>
          <w:p>
            <w:pPr>
              <w:spacing w:after="0"/>
              <w:rPr>
                <w:sz w:val="1"/>
                <w:szCs w:val="1"/>
                <w:color w:val="auto"/>
              </w:rPr>
            </w:pPr>
          </w:p>
        </w:tc>
      </w:tr>
      <w:tr>
        <w:trPr>
          <w:trHeight w:val="147"/>
        </w:trPr>
        <w:tc>
          <w:tcPr>
            <w:tcW w:w="8180" w:type="dxa"/>
            <w:vAlign w:val="bottom"/>
          </w:tcPr>
          <w:p>
            <w:pPr>
              <w:ind w:left="440"/>
              <w:spacing w:after="0"/>
              <w:rPr>
                <w:sz w:val="20"/>
                <w:szCs w:val="20"/>
                <w:color w:val="auto"/>
              </w:rPr>
            </w:pPr>
            <w:r>
              <w:rPr>
                <w:rFonts w:ascii="Arial" w:cs="Arial" w:eastAsia="Arial" w:hAnsi="Arial"/>
                <w:sz w:val="11"/>
                <w:szCs w:val="11"/>
                <w:color w:val="auto"/>
              </w:rPr>
              <w:t>Net change in cash, cash equivalents, and restricted cash equivalents</w:t>
            </w: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10,820</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(16,433)</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equivalents, beginning of period</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22,822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44,982</w:t>
            </w:r>
          </w:p>
        </w:tc>
        <w:tc>
          <w:tcPr>
            <w:tcW w:w="0" w:type="dxa"/>
            <w:vAlign w:val="bottom"/>
          </w:tcPr>
          <w:p>
            <w:pPr>
              <w:spacing w:after="0"/>
              <w:rPr>
                <w:sz w:val="1"/>
                <w:szCs w:val="1"/>
                <w:color w:val="auto"/>
              </w:rPr>
            </w:pPr>
          </w:p>
        </w:tc>
      </w:tr>
      <w:tr>
        <w:trPr>
          <w:trHeight w:val="178"/>
        </w:trPr>
        <w:tc>
          <w:tcPr>
            <w:tcW w:w="8180" w:type="dxa"/>
            <w:vAlign w:val="bottom"/>
          </w:tcPr>
          <w:p>
            <w:pPr>
              <w:ind w:left="20"/>
              <w:spacing w:after="0"/>
              <w:rPr>
                <w:sz w:val="20"/>
                <w:szCs w:val="20"/>
                <w:color w:val="auto"/>
              </w:rPr>
            </w:pPr>
            <w:r>
              <w:rPr>
                <w:rFonts w:ascii="Arial" w:cs="Arial" w:eastAsia="Arial" w:hAnsi="Arial"/>
                <w:sz w:val="11"/>
                <w:szCs w:val="11"/>
                <w:color w:val="auto"/>
              </w:rPr>
              <w:t>Cash, cash equivalents, and restricted cash equivalents, end of period</w:t>
            </w:r>
          </w:p>
        </w:tc>
        <w:tc>
          <w:tcPr>
            <w:tcW w:w="960" w:type="dxa"/>
            <w:vAlign w:val="bottom"/>
            <w:tcBorders>
              <w:top w:val="single" w:sz="8" w:color="auto"/>
              <w:bottom w:val="single" w:sz="8" w:color="auto"/>
            </w:tcBorders>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33,642</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28,549</w:t>
            </w:r>
          </w:p>
        </w:tc>
        <w:tc>
          <w:tcPr>
            <w:tcW w:w="0" w:type="dxa"/>
            <w:vAlign w:val="bottom"/>
          </w:tcPr>
          <w:p>
            <w:pPr>
              <w:spacing w:after="0"/>
              <w:rPr>
                <w:sz w:val="1"/>
                <w:szCs w:val="1"/>
                <w:color w:val="auto"/>
              </w:rPr>
            </w:pPr>
          </w:p>
        </w:tc>
      </w:tr>
      <w:tr>
        <w:trPr>
          <w:trHeight w:val="50"/>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Reconciliation to amounts on the condensed consolidated balance sheets:</w:t>
            </w:r>
          </w:p>
        </w:tc>
        <w:tc>
          <w:tcPr>
            <w:tcW w:w="9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Cash and cash equivalents</w:t>
            </w:r>
          </w:p>
        </w:tc>
        <w:tc>
          <w:tcPr>
            <w:tcW w:w="960" w:type="dxa"/>
            <w:vAlign w:val="bottom"/>
            <w:tcBorders>
              <w:bottom w:val="single" w:sz="8" w:color="CCEEFF"/>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33,412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27,259</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Arial" w:cs="Arial" w:eastAsia="Arial" w:hAnsi="Arial"/>
                <w:sz w:val="11"/>
                <w:szCs w:val="11"/>
                <w:color w:val="auto"/>
              </w:rPr>
              <w:t>Current portion of restricted cash equivalents</w:t>
            </w:r>
          </w:p>
        </w:tc>
        <w:tc>
          <w:tcPr>
            <w:tcW w:w="9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Non-current portion of restricted cash equivalents</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1,060</w:t>
            </w:r>
          </w:p>
        </w:tc>
        <w:tc>
          <w:tcPr>
            <w:tcW w:w="0" w:type="dxa"/>
            <w:vAlign w:val="bottom"/>
          </w:tcPr>
          <w:p>
            <w:pPr>
              <w:spacing w:after="0"/>
              <w:rPr>
                <w:sz w:val="1"/>
                <w:szCs w:val="1"/>
                <w:color w:val="auto"/>
              </w:rPr>
            </w:pPr>
          </w:p>
        </w:tc>
      </w:tr>
      <w:tr>
        <w:trPr>
          <w:trHeight w:val="178"/>
        </w:trPr>
        <w:tc>
          <w:tcPr>
            <w:tcW w:w="8180" w:type="dxa"/>
            <w:vAlign w:val="bottom"/>
          </w:tcPr>
          <w:p>
            <w:pPr>
              <w:ind w:left="360"/>
              <w:spacing w:after="0"/>
              <w:rPr>
                <w:sz w:val="20"/>
                <w:szCs w:val="20"/>
                <w:color w:val="auto"/>
              </w:rPr>
            </w:pPr>
            <w:r>
              <w:rPr>
                <w:rFonts w:ascii="Arial" w:cs="Arial" w:eastAsia="Arial" w:hAnsi="Arial"/>
                <w:sz w:val="11"/>
                <w:szCs w:val="11"/>
                <w:color w:val="auto"/>
              </w:rPr>
              <w:t>Total cash, cash equivalents, and restricted cash equivalents shown in the condensed consolidated statements of cash flows</w:t>
            </w:r>
          </w:p>
        </w:tc>
        <w:tc>
          <w:tcPr>
            <w:tcW w:w="960" w:type="dxa"/>
            <w:vAlign w:val="bottom"/>
            <w:tcBorders>
              <w:top w:val="single" w:sz="8" w:color="auto"/>
              <w:bottom w:val="single" w:sz="8" w:color="auto"/>
            </w:tcBorders>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33,642</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28,549</w:t>
            </w:r>
          </w:p>
        </w:tc>
        <w:tc>
          <w:tcPr>
            <w:tcW w:w="0" w:type="dxa"/>
            <w:vAlign w:val="bottom"/>
          </w:tcPr>
          <w:p>
            <w:pPr>
              <w:spacing w:after="0"/>
              <w:rPr>
                <w:sz w:val="1"/>
                <w:szCs w:val="1"/>
                <w:color w:val="auto"/>
              </w:rPr>
            </w:pPr>
          </w:p>
        </w:tc>
      </w:tr>
      <w:tr>
        <w:trPr>
          <w:trHeight w:val="50"/>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Supplemental disclosures of cash flow information:</w:t>
            </w:r>
          </w:p>
        </w:tc>
        <w:tc>
          <w:tcPr>
            <w:tcW w:w="9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Cash paid for interest</w:t>
            </w:r>
          </w:p>
        </w:tc>
        <w:tc>
          <w:tcPr>
            <w:tcW w:w="9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2,302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1,475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ind w:left="260"/>
              <w:spacing w:after="0"/>
              <w:rPr>
                <w:sz w:val="20"/>
                <w:szCs w:val="20"/>
                <w:color w:val="auto"/>
              </w:rPr>
            </w:pPr>
            <w:r>
              <w:rPr>
                <w:rFonts w:ascii="Arial" w:cs="Arial" w:eastAsia="Arial" w:hAnsi="Arial"/>
                <w:sz w:val="11"/>
                <w:szCs w:val="11"/>
                <w:color w:val="auto"/>
              </w:rPr>
              <w:t>Cash paid for income taxes</w:t>
            </w:r>
          </w:p>
        </w:tc>
        <w:tc>
          <w:tcPr>
            <w:tcW w:w="960" w:type="dxa"/>
            <w:vAlign w:val="bottom"/>
            <w:tcBorders>
              <w:bottom w:val="single" w:sz="8" w:color="auto"/>
            </w:tcBorders>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787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260</w:t>
            </w:r>
          </w:p>
        </w:tc>
        <w:tc>
          <w:tcPr>
            <w:tcW w:w="0" w:type="dxa"/>
            <w:vAlign w:val="bottom"/>
          </w:tcPr>
          <w:p>
            <w:pPr>
              <w:spacing w:after="0"/>
              <w:rPr>
                <w:sz w:val="1"/>
                <w:szCs w:val="1"/>
                <w:color w:val="auto"/>
              </w:rPr>
            </w:pPr>
          </w:p>
        </w:tc>
      </w:tr>
      <w:tr>
        <w:trPr>
          <w:trHeight w:val="50"/>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8180" w:type="dxa"/>
            <w:vAlign w:val="bottom"/>
            <w:tcBorders>
              <w:top w:val="single" w:sz="8" w:color="CCEEFF"/>
            </w:tcBorders>
          </w:tcPr>
          <w:p>
            <w:pPr>
              <w:ind w:left="100"/>
              <w:spacing w:after="0"/>
              <w:rPr>
                <w:sz w:val="20"/>
                <w:szCs w:val="20"/>
                <w:color w:val="auto"/>
              </w:rPr>
            </w:pPr>
            <w:r>
              <w:rPr>
                <w:rFonts w:ascii="Arial" w:cs="Arial" w:eastAsia="Arial" w:hAnsi="Arial"/>
                <w:sz w:val="11"/>
                <w:szCs w:val="11"/>
                <w:color w:val="auto"/>
              </w:rPr>
              <w:t>Noncash investing and financing activities</w:t>
            </w:r>
          </w:p>
        </w:tc>
        <w:tc>
          <w:tcPr>
            <w:tcW w:w="9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Operating lease liabilities and right-of-use assets through adoption of ASC 842</w:t>
            </w:r>
          </w:p>
        </w:tc>
        <w:tc>
          <w:tcPr>
            <w:tcW w:w="960" w:type="dxa"/>
            <w:vAlign w:val="bottom"/>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11,428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ind w:left="260"/>
              <w:spacing w:after="0"/>
              <w:rPr>
                <w:sz w:val="20"/>
                <w:szCs w:val="20"/>
                <w:color w:val="auto"/>
              </w:rPr>
            </w:pPr>
            <w:r>
              <w:rPr>
                <w:rFonts w:ascii="Arial" w:cs="Arial" w:eastAsia="Arial" w:hAnsi="Arial"/>
                <w:sz w:val="11"/>
                <w:szCs w:val="11"/>
                <w:color w:val="auto"/>
              </w:rPr>
              <w:t>Conversion of convertible note into common stock pursuant to Business Combination</w:t>
            </w:r>
          </w:p>
        </w:tc>
        <w:tc>
          <w:tcPr>
            <w:tcW w:w="960" w:type="dxa"/>
            <w:vAlign w:val="bottom"/>
            <w:tcBorders>
              <w:bottom w:val="single" w:sz="8" w:color="auto"/>
            </w:tcBorders>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20,239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Conversion of redeemable convertible preferred stock to common stock pursuant to Business Combination</w:t>
            </w:r>
          </w:p>
        </w:tc>
        <w:tc>
          <w:tcPr>
            <w:tcW w:w="9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279,503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ind w:left="260"/>
              <w:spacing w:after="0"/>
              <w:rPr>
                <w:sz w:val="20"/>
                <w:szCs w:val="20"/>
                <w:color w:val="auto"/>
              </w:rPr>
            </w:pPr>
            <w:r>
              <w:rPr>
                <w:rFonts w:ascii="Arial" w:cs="Arial" w:eastAsia="Arial" w:hAnsi="Arial"/>
                <w:sz w:val="11"/>
                <w:szCs w:val="11"/>
                <w:color w:val="auto"/>
              </w:rPr>
              <w:t>Debt discount through issuance of common stock warrants</w:t>
            </w:r>
          </w:p>
        </w:tc>
        <w:tc>
          <w:tcPr>
            <w:tcW w:w="960" w:type="dxa"/>
            <w:vAlign w:val="bottom"/>
          </w:tcPr>
          <w:p>
            <w:pPr>
              <w:jc w:val="right"/>
              <w:ind w:right="8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3,842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Operating lease liabilities arising from obtaining right-of-use assets</w:t>
            </w:r>
          </w:p>
        </w:tc>
        <w:tc>
          <w:tcPr>
            <w:tcW w:w="9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650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3,422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ind w:left="260"/>
              <w:spacing w:after="0"/>
              <w:rPr>
                <w:sz w:val="20"/>
                <w:szCs w:val="20"/>
                <w:color w:val="auto"/>
              </w:rPr>
            </w:pPr>
            <w:r>
              <w:rPr>
                <w:rFonts w:ascii="Arial" w:cs="Arial" w:eastAsia="Arial" w:hAnsi="Arial"/>
                <w:sz w:val="11"/>
                <w:szCs w:val="11"/>
                <w:color w:val="auto"/>
              </w:rPr>
              <w:t>Property and equipment acquired under finance leases or debt</w:t>
            </w:r>
          </w:p>
        </w:tc>
        <w:tc>
          <w:tcPr>
            <w:tcW w:w="960" w:type="dxa"/>
            <w:vAlign w:val="bottom"/>
          </w:tcPr>
          <w:p>
            <w:pPr>
              <w:jc w:val="right"/>
              <w:ind w:right="8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650</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right="9120" w:hanging="492"/>
        <w:spacing w:after="0" w:line="532" w:lineRule="auto"/>
        <w:tabs>
          <w:tab w:leader="none" w:pos="194"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ORGANIZATION </w:t>
      </w:r>
      <w:r>
        <w:rPr>
          <w:rFonts w:ascii="Arial" w:cs="Arial" w:eastAsia="Arial" w:hAnsi="Arial"/>
          <w:sz w:val="17"/>
          <w:szCs w:val="17"/>
          <w:b w:val="1"/>
          <w:bCs w:val="1"/>
          <w:u w:val="single" w:color="auto"/>
          <w:color w:val="auto"/>
        </w:rPr>
        <w:t>Nature of Operations</w:t>
      </w:r>
    </w:p>
    <w:p>
      <w:pPr>
        <w:spacing w:after="0" w:line="1" w:lineRule="exact"/>
        <w:rPr>
          <w:sz w:val="20"/>
          <w:szCs w:val="20"/>
          <w:color w:val="auto"/>
        </w:rPr>
      </w:pPr>
    </w:p>
    <w:p>
      <w:pPr>
        <w:jc w:val="both"/>
        <w:ind w:left="500"/>
        <w:spacing w:after="0" w:line="272" w:lineRule="auto"/>
        <w:rPr>
          <w:sz w:val="20"/>
          <w:szCs w:val="20"/>
          <w:color w:val="auto"/>
        </w:rPr>
      </w:pPr>
      <w:r>
        <w:rPr>
          <w:rFonts w:ascii="Arial" w:cs="Arial" w:eastAsia="Arial" w:hAnsi="Arial"/>
          <w:sz w:val="17"/>
          <w:szCs w:val="17"/>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77" w:lineRule="exact"/>
        <w:rPr>
          <w:sz w:val="20"/>
          <w:szCs w:val="20"/>
          <w:color w:val="auto"/>
        </w:rPr>
      </w:pPr>
    </w:p>
    <w:p>
      <w:pPr>
        <w:jc w:val="both"/>
        <w:ind w:left="500"/>
        <w:spacing w:after="0" w:line="287" w:lineRule="auto"/>
        <w:rPr>
          <w:sz w:val="20"/>
          <w:szCs w:val="20"/>
          <w:color w:val="auto"/>
        </w:rPr>
      </w:pPr>
      <w:r>
        <w:rPr>
          <w:rFonts w:ascii="Arial" w:cs="Arial" w:eastAsia="Arial" w:hAnsi="Arial"/>
          <w:sz w:val="16"/>
          <w:szCs w:val="16"/>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Legacy SoundHound determined that it was the accounting acquirer in the Business Combination based on an analysis of the criteria outlined in</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determination was primarily based on the following facts:</w:t>
      </w:r>
    </w:p>
    <w:p>
      <w:pPr>
        <w:spacing w:after="0" w:line="211" w:lineRule="exact"/>
        <w:rPr>
          <w:sz w:val="20"/>
          <w:szCs w:val="20"/>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Former Legacy SoundHound stockholders have a controlling voting interest in the Company;</w:t>
      </w:r>
    </w:p>
    <w:p>
      <w:pPr>
        <w:spacing w:after="0" w:line="225"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board of directors immediately after the closing of the Business Combination was comprised of five board members, primarily from the board of directors of Legacy SoundHound; and</w:t>
      </w:r>
    </w:p>
    <w:p>
      <w:pPr>
        <w:spacing w:after="0" w:line="170"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SoundHound’s management continues to hold executive management roles for the Company following the Business Combination and are responsible for the day-to-day operations.</w:t>
      </w:r>
    </w:p>
    <w:p>
      <w:pPr>
        <w:spacing w:after="0" w:line="17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187" w:lineRule="exact"/>
        <w:rPr>
          <w:sz w:val="20"/>
          <w:szCs w:val="20"/>
          <w:color w:val="auto"/>
        </w:rPr>
      </w:pPr>
    </w:p>
    <w:p>
      <w:pPr>
        <w:jc w:val="both"/>
        <w:ind w:left="500"/>
        <w:spacing w:after="0" w:line="301" w:lineRule="auto"/>
        <w:rPr>
          <w:sz w:val="20"/>
          <w:szCs w:val="20"/>
          <w:color w:val="auto"/>
        </w:rPr>
      </w:pPr>
      <w:r>
        <w:rPr>
          <w:rFonts w:ascii="Arial" w:cs="Arial" w:eastAsia="Arial" w:hAnsi="Arial"/>
          <w:sz w:val="16"/>
          <w:szCs w:val="16"/>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 prior to the Business Combination; (ii) the combined results of the Company and Legacy SoundHound following the Closing of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Business Combination; (iii) the assets and liabilities of Legacy SoundHound at their historical cost; and (iv) the Company’s equity structure for all periods presented.</w:t>
      </w:r>
    </w:p>
    <w:p>
      <w:pPr>
        <w:spacing w:after="0" w:line="170"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Going Concern</w:t>
      </w:r>
    </w:p>
    <w:p>
      <w:pPr>
        <w:spacing w:after="0" w:line="229" w:lineRule="exact"/>
        <w:rPr>
          <w:sz w:val="20"/>
          <w:szCs w:val="20"/>
          <w:color w:val="auto"/>
        </w:rPr>
      </w:pPr>
    </w:p>
    <w:p>
      <w:pPr>
        <w:jc w:val="both"/>
        <w:ind w:left="500"/>
        <w:spacing w:after="0" w:line="301" w:lineRule="auto"/>
        <w:rPr>
          <w:sz w:val="20"/>
          <w:szCs w:val="20"/>
          <w:color w:val="auto"/>
        </w:rPr>
      </w:pPr>
      <w:r>
        <w:rPr>
          <w:rFonts w:ascii="Arial" w:cs="Arial" w:eastAsia="Arial" w:hAnsi="Arial"/>
          <w:sz w:val="16"/>
          <w:szCs w:val="16"/>
          <w:color w:val="auto"/>
        </w:rPr>
        <w:t>Since inception, the Company has generated recurring losses as well as negative operating cash flows and reported a net loss of $28.9 million and $84.7 million for the three and nine months ended September 30, 2022, respectively. As of September 30, 2022, the Company had an accumulated deficit of $471.4 million. Management expects to continue to incur additional substantial losses in the foreseeable future primarily as a result of research and development activities. The Company has historically funded its operations primarily through equity or debt financings.</w:t>
      </w:r>
    </w:p>
    <w:p>
      <w:pPr>
        <w:spacing w:after="0" w:line="157" w:lineRule="exact"/>
        <w:rPr>
          <w:sz w:val="20"/>
          <w:szCs w:val="20"/>
          <w:color w:val="auto"/>
        </w:rPr>
      </w:pPr>
    </w:p>
    <w:p>
      <w:pPr>
        <w:jc w:val="both"/>
        <w:ind w:left="500"/>
        <w:spacing w:after="0" w:line="289" w:lineRule="auto"/>
        <w:rPr>
          <w:sz w:val="20"/>
          <w:szCs w:val="20"/>
          <w:color w:val="auto"/>
        </w:rPr>
      </w:pPr>
      <w:r>
        <w:rPr>
          <w:rFonts w:ascii="Arial" w:cs="Arial" w:eastAsia="Arial" w:hAnsi="Arial"/>
          <w:sz w:val="16"/>
          <w:szCs w:val="16"/>
          <w:color w:val="auto"/>
        </w:rPr>
        <w:t>Total cash and cash equivalents on hand as of September 30, 2022 was $33.4 million. Although the Company has incurred recurring losses each year since its inception, the Company expects it will be able to fund its operations for at least the next twelve months. The Company may seek additional funding through debt or equity financing arrangements (e.g., Equity Line of Credit ("ELOC") (see Note 19)),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Other Risk and Uncertainties</w:t>
      </w:r>
    </w:p>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w:t>
      </w:r>
    </w:p>
    <w:p>
      <w:pPr>
        <w:spacing w:after="0" w:line="187"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 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87"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175" w:lineRule="exact"/>
        <w:rPr>
          <w:sz w:val="20"/>
          <w:szCs w:val="20"/>
          <w:color w:val="auto"/>
        </w:rPr>
      </w:pPr>
    </w:p>
    <w:p>
      <w:pPr>
        <w:jc w:val="right"/>
        <w:ind w:right="63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jc w:val="right"/>
        <w:ind w:right="6380"/>
        <w:spacing w:after="0"/>
        <w:rPr>
          <w:sz w:val="20"/>
          <w:szCs w:val="20"/>
          <w:color w:val="auto"/>
        </w:rPr>
      </w:pPr>
      <w:r>
        <w:rPr>
          <w:rFonts w:ascii="Arial" w:cs="Arial" w:eastAsia="Arial" w:hAnsi="Arial"/>
          <w:sz w:val="17"/>
          <w:szCs w:val="17"/>
          <w:b w:val="1"/>
          <w:bCs w:val="1"/>
          <w:u w:val="single" w:color="auto"/>
          <w:color w:val="auto"/>
        </w:rPr>
        <w:t>Basis of Presentation and Significant Accounting Policies</w:t>
      </w:r>
    </w:p>
    <w:p>
      <w:pPr>
        <w:spacing w:after="0" w:line="241"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The (a) condensed consolidated balance sheet as of December 31, 2021, which has been derived from audited financial statements as filed in the Company’s Form 8-K, which was originally filed with the SEC on May 2, 2022 and amended by Amendment No. 1 to Current Report on Form 8-K,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nine months ended September 30, 2022 are not necessarily indicative of the results for the fiscal year ending December 31, 2022 or any future interim period.</w:t>
      </w:r>
    </w:p>
    <w:p>
      <w:pPr>
        <w:spacing w:after="0" w:line="168"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Principles of Consolidation</w:t>
      </w:r>
    </w:p>
    <w:p>
      <w:pPr>
        <w:spacing w:after="0" w:line="22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Company’s condensed consolidated financial statements include the accounts of the Company and its wholly owned subsidiaries. All intercompany accounts and transactions have been eliminated in consolidation.</w:t>
      </w:r>
    </w:p>
    <w:p>
      <w:pPr>
        <w:spacing w:after="0" w:line="170" w:lineRule="exact"/>
        <w:rPr>
          <w:sz w:val="20"/>
          <w:szCs w:val="20"/>
          <w:color w:val="auto"/>
        </w:rPr>
      </w:pPr>
    </w:p>
    <w:p>
      <w:pPr>
        <w:jc w:val="both"/>
        <w:ind w:left="500" w:right="20"/>
        <w:spacing w:after="0" w:line="263" w:lineRule="auto"/>
        <w:rPr>
          <w:sz w:val="20"/>
          <w:szCs w:val="20"/>
          <w:color w:val="auto"/>
        </w:rPr>
      </w:pPr>
      <w:r>
        <w:rPr>
          <w:rFonts w:ascii="Arial" w:cs="Arial" w:eastAsia="Arial" w:hAnsi="Arial"/>
          <w:sz w:val="18"/>
          <w:szCs w:val="18"/>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Reclassification</w:t>
      </w:r>
    </w:p>
    <w:p>
      <w:pPr>
        <w:spacing w:after="0" w:line="229"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Certain prior period balances have been reclassified to conform to the current year presentation. Such changes include reclassifications or combinations of certain accounts on the condensed consolidated balance sheets.</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These reclassifications had no impact on total assets, total liabilities, net loss or comprehensive loss or accumulated deficit in the previously reported consolidated financial statements for the year ended December 31, 2021.</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Foreign Currency</w:t>
      </w:r>
    </w:p>
    <w:p>
      <w:pPr>
        <w:spacing w:after="0" w:line="229"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nine months ended September 30, 2022, the Company recognized net losses related to foreign currency transactions and remeasurements of $0.1 million and $0.4 million, respectively, in the condensed consolidated statements of operations and comprehensive loss as other income (expense), net. During the three and nine months ended September 30, 2021, the Company recognized net losses related to foreign currency transactions and remeasurements of $0.3 million and $0.5 million, respectively, in the condensed consolidated statements of operations and comprehensive loss as other income (expense), net.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29"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Emerging Growth Company Status</w:t>
      </w:r>
    </w:p>
    <w:p>
      <w:pPr>
        <w:spacing w:after="0" w:line="229"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Concentrations of Credit Risk and Other Risks and Uncertainties</w:t>
      </w:r>
    </w:p>
    <w:p>
      <w:pPr>
        <w:spacing w:after="0" w:line="22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18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As of September 30, 2022, accounts receivable balances due from two customers collectively totaled 65% of the Company’s condensed consolidated accounts receivable balance. As of December 31, 2021, accounts receivable balances due from five customers collectively totaled 86% of the Company’s condensed consolidated accounts receivable balance.</w:t>
      </w:r>
    </w:p>
    <w:p>
      <w:pPr>
        <w:spacing w:after="0" w:line="18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For the nine months ended September 30, 2022, the Company had four customers that accounted for 77% of revenue, and for the nine months ended September 30, 2021, the Company had two customers that accounted for 57% of revenue.</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For the three months ended September 30, 2022, the Company had one customer that accounted for 63% of revenue, and for the three months ended September 30, 2021, the Company had three customers that accounted for 50% of revenue.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Equity Issuance Costs</w:t>
      </w:r>
    </w:p>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$4.1 million of deferred offering costs.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87"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contract(s) with a customer;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 including the constraint on variable consideration;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225"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65"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of account in ASC 606. The Company currently generates its revenues through the following performance obligations: (1) hosted services, (2) professional services, (3) monetization and (4) licensing.</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22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Warrants</w:t>
      </w:r>
    </w:p>
    <w:p>
      <w:pPr>
        <w:spacing w:after="0" w:line="229" w:lineRule="exact"/>
        <w:rPr>
          <w:sz w:val="20"/>
          <w:szCs w:val="20"/>
          <w:color w:val="auto"/>
        </w:rPr>
      </w:pPr>
    </w:p>
    <w:p>
      <w:pPr>
        <w:jc w:val="both"/>
        <w:ind w:left="500"/>
        <w:spacing w:after="0" w:line="296" w:lineRule="auto"/>
        <w:rPr>
          <w:sz w:val="20"/>
          <w:szCs w:val="20"/>
          <w:color w:val="auto"/>
        </w:rPr>
      </w:pPr>
      <w:r>
        <w:rPr>
          <w:rFonts w:ascii="Arial" w:cs="Arial" w:eastAsia="Arial" w:hAnsi="Arial"/>
          <w:sz w:val="16"/>
          <w:szCs w:val="16"/>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7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Company classifies interest and penalties related to uncertain tax positions in income tax expense, if applicable. There has been no interest expense or penalties related to unrecognized tax benefits recorded through September 30, 2022.</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95" w:lineRule="exact"/>
        <w:rPr>
          <w:sz w:val="20"/>
          <w:szCs w:val="20"/>
          <w:color w:val="auto"/>
        </w:rPr>
      </w:pPr>
    </w:p>
    <w:p>
      <w:pPr>
        <w:jc w:val="both"/>
        <w:ind w:left="980"/>
        <w:spacing w:after="0" w:line="308"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estimates volatility for option grants by evaluating the average historical volatility of a peer group of</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for the period immediately preceding the option grant for a term that is approximately equal to the option’s expected term.</w:t>
      </w:r>
    </w:p>
    <w:p>
      <w:pPr>
        <w:spacing w:after="0" w:line="146"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the Company’s options represents the period that the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The Company has elected to use the midpoint between the stock options’ vesting term and contractual expiration period to compute the expected term, as the Company does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not have sufficient historical information to develop reasonable expectations about future exercise patterns and post-vesting employment termination behavior.</w:t>
      </w:r>
    </w:p>
    <w:p>
      <w:pPr>
        <w:spacing w:after="0" w:line="170"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implied yield currently available on U.S. Treasury zero-coupon issues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term that is equal to the options’ expected term at the grant date.</w:t>
      </w:r>
    </w:p>
    <w:p>
      <w:pPr>
        <w:spacing w:after="0" w:line="170"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Company has not declared or paid dividends to date and does not anticipate declaring dividends.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is zero.</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2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84"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issues RSUs with vesting conditions tied to certain market conditions (“Market-Based RSUs”). To derive the fair value of Market-</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Based RSUs, the Company applies a Monte Carlo simulation to determine the grant date fair value. Stock-based compensation related to Market-</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Based RSUs is recognized over the derived service period.</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ind w:left="500" w:right="20"/>
        <w:spacing w:after="0" w:line="263" w:lineRule="auto"/>
        <w:rPr>
          <w:sz w:val="20"/>
          <w:szCs w:val="20"/>
          <w:color w:val="auto"/>
        </w:rPr>
      </w:pPr>
      <w:r>
        <w:rPr>
          <w:rFonts w:ascii="Arial" w:cs="Arial" w:eastAsia="Arial" w:hAnsi="Arial"/>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84"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rFonts w:ascii="Arial" w:cs="Arial" w:eastAsia="Arial" w:hAnsi="Arial"/>
          <w:sz w:val="18"/>
          <w:szCs w:val="18"/>
          <w:color w:val="auto"/>
        </w:rPr>
      </w:pPr>
    </w:p>
    <w:p>
      <w:pPr>
        <w:ind w:left="1140" w:right="20" w:hanging="322"/>
        <w:spacing w:after="0" w:line="308" w:lineRule="auto"/>
        <w:tabs>
          <w:tab w:leader="none" w:pos="1135"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46" w:lineRule="exact"/>
        <w:rPr>
          <w:rFonts w:ascii="Arial" w:cs="Arial" w:eastAsia="Arial" w:hAnsi="Arial"/>
          <w:sz w:val="17"/>
          <w:szCs w:val="17"/>
          <w:color w:val="auto"/>
        </w:rPr>
      </w:pPr>
    </w:p>
    <w:p>
      <w:pPr>
        <w:ind w:left="1140" w:right="20" w:hanging="322"/>
        <w:spacing w:after="0" w:line="342" w:lineRule="auto"/>
        <w:tabs>
          <w:tab w:leader="none" w:pos="1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2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Redeemable Convertible Preferred Stock</w:t>
      </w:r>
    </w:p>
    <w:p>
      <w:pPr>
        <w:spacing w:after="0" w:line="229"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conditions are removed or lapse. Since the occurrence of a deemed liquidation event was not probable, the carrying values of the shares of Legacy SoundHound Preferred Stock were not being accreted to their redemption values.</w:t>
      </w:r>
    </w:p>
    <w:p>
      <w:pPr>
        <w:spacing w:after="0" w:line="170"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Convertible Notes and Derivative Liabilities</w:t>
      </w:r>
    </w:p>
    <w:p>
      <w:pPr>
        <w:spacing w:after="0" w:line="229"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65"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Net Loss Per Share</w:t>
      </w:r>
    </w:p>
    <w:p>
      <w:pPr>
        <w:spacing w:after="0" w:line="229"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4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p>
    <w:p>
      <w:pPr>
        <w:spacing w:after="0" w:line="187"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Recent Accounting Pronouncement — Adopted</w:t>
      </w:r>
    </w:p>
    <w:p>
      <w:pPr>
        <w:spacing w:after="0" w:line="229"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nine months ended September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spacing w:after="0" w:line="178"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96" w:lineRule="auto"/>
        <w:rPr>
          <w:sz w:val="20"/>
          <w:szCs w:val="20"/>
          <w:color w:val="auto"/>
        </w:rPr>
      </w:pPr>
      <w:r>
        <w:rPr>
          <w:rFonts w:ascii="Arial" w:cs="Arial" w:eastAsia="Arial" w:hAnsi="Arial"/>
          <w:sz w:val="16"/>
          <w:szCs w:val="16"/>
          <w:color w:val="auto"/>
        </w:rPr>
        <w:t>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The Company adopted Topic 842 on January 1, 2021 using the modified retrospective approach, and financial information for the comparative period was not updated.</w:t>
      </w:r>
    </w:p>
    <w:p>
      <w:pPr>
        <w:spacing w:after="0" w:line="161"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In addition, the Company elected the transition package of three practical expedients which allow companies not to reassess (i) whether agreements contain leases, (ii) the classification of leases, and (iii) 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7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 result of the adoption of the new lease accounting guidance, the Company recognized on January 1, 2021:</w:t>
      </w:r>
    </w:p>
    <w:p>
      <w:pPr>
        <w:spacing w:after="0" w:line="225" w:lineRule="exact"/>
        <w:rPr>
          <w:sz w:val="20"/>
          <w:szCs w:val="20"/>
          <w:color w:val="auto"/>
        </w:rPr>
      </w:pPr>
    </w:p>
    <w:p>
      <w:pPr>
        <w:ind w:left="1140" w:hanging="322"/>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liabilities of approximately $11.4 million, which represent the present value of the remaining lease payments, as of the date of adoption, discounted using the Company’s incremental borrowing rate on a lease-by-lease basis, and</w:t>
      </w:r>
    </w:p>
    <w:p>
      <w:pPr>
        <w:spacing w:after="0" w:line="170" w:lineRule="exact"/>
        <w:rPr>
          <w:rFonts w:ascii="Arial" w:cs="Arial" w:eastAsia="Arial" w:hAnsi="Arial"/>
          <w:sz w:val="18"/>
          <w:szCs w:val="18"/>
          <w:color w:val="auto"/>
        </w:rPr>
      </w:pPr>
    </w:p>
    <w:p>
      <w:pPr>
        <w:jc w:val="both"/>
        <w:ind w:left="1140" w:hanging="322"/>
        <w:spacing w:after="0" w:line="263"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ROU assets of approximately $9.8 million which represent the operating lease liabilities of $11.4 million, adjusted for (1) deferred rent of approximately $0.8 million, (2) lease incentives or tenant improvement allowance of $1.1 million and (3) prepaid rent of $0.3 million.</w:t>
      </w:r>
    </w:p>
    <w:p>
      <w:pPr>
        <w:spacing w:after="0" w:line="18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adoption of the new lease accounting standard did not have any other material impact on the Company’s consolidated balance sheet and did not impact the Company’s operating results and cash flows.</w:t>
      </w:r>
    </w:p>
    <w:p>
      <w:pPr>
        <w:spacing w:after="0" w:line="17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spacing w:after="0" w:line="187"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Company adopted the standard on January 1, 2022. ASU 2019-12 did not result in any material impact on the Company’s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Recent Accounting Pronouncement — Not Yet Adopted</w:t>
      </w:r>
    </w:p>
    <w:p>
      <w:pPr>
        <w:spacing w:after="0" w:line="229"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181"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anticipates that it will not have a material impact on its condensed consolidated financial statements and related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September 30, 2022.</w:t>
      </w:r>
    </w:p>
    <w:p>
      <w:pPr>
        <w:spacing w:after="0" w:line="19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8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187" w:lineRule="exact"/>
        <w:rPr>
          <w:sz w:val="20"/>
          <w:szCs w:val="20"/>
          <w:color w:val="auto"/>
        </w:rPr>
      </w:pPr>
    </w:p>
    <w:p>
      <w:pPr>
        <w:jc w:val="both"/>
        <w:ind w:left="500"/>
        <w:spacing w:after="0" w:line="301" w:lineRule="auto"/>
        <w:rPr>
          <w:sz w:val="20"/>
          <w:szCs w:val="20"/>
          <w:color w:val="auto"/>
        </w:rPr>
      </w:pPr>
      <w:r>
        <w:rPr>
          <w:rFonts w:ascii="Arial" w:cs="Arial" w:eastAsia="Arial" w:hAnsi="Arial"/>
          <w:sz w:val="16"/>
          <w:szCs w:val="16"/>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color w:val="auto"/>
        </w:rPr>
        <w:t>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85"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78"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18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ATSP trust and cash (net of redemption)</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Cash - PIPE Investment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113,000</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transaction costs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(27,668)</w:t>
            </w:r>
          </w:p>
        </w:tc>
      </w:tr>
      <w:tr>
        <w:trPr>
          <w:trHeight w:val="264"/>
        </w:trPr>
        <w:tc>
          <w:tcPr>
            <w:tcW w:w="9760" w:type="dxa"/>
            <w:vAlign w:val="bottom"/>
          </w:tcPr>
          <w:p>
            <w:pPr>
              <w:ind w:left="180"/>
              <w:spacing w:after="0"/>
              <w:rPr>
                <w:sz w:val="20"/>
                <w:szCs w:val="20"/>
                <w:color w:val="auto"/>
              </w:rPr>
            </w:pPr>
            <w:r>
              <w:rPr>
                <w:rFonts w:ascii="Arial" w:cs="Arial" w:eastAsia="Arial" w:hAnsi="Arial"/>
                <w:sz w:val="18"/>
                <w:szCs w:val="18"/>
                <w:color w:val="auto"/>
              </w:rPr>
              <w:t>Net proceeds from Business Combination and PIPE Investment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90,689</w:t>
            </w:r>
          </w:p>
        </w:tc>
      </w:tr>
      <w:tr>
        <w:trPr>
          <w:trHeight w:val="20"/>
        </w:trPr>
        <w:tc>
          <w:tcPr>
            <w:tcW w:w="9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spacing w:after="0" w:line="17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amount recorded to additional paid-in-capital was comprised of $86.6 million net proceeds from the PIPE investment and $4.1 million after net redemptions of ATSP shareholders.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Class A Common Stock - conversion of Legacy SoundHound Common Stock and Legacy SoundHound Preferred Stock outstanding</w:t>
            </w:r>
          </w:p>
        </w:tc>
        <w:tc>
          <w:tcPr>
            <w:tcW w:w="1480" w:type="dxa"/>
            <w:vAlign w:val="bottom"/>
            <w:shd w:val="clear" w:color="auto" w:fill="CCEEFF"/>
          </w:tcPr>
          <w:p>
            <w:pPr>
              <w:spacing w:after="0"/>
              <w:rPr>
                <w:sz w:val="19"/>
                <w:szCs w:val="19"/>
                <w:color w:val="auto"/>
              </w:rPr>
            </w:pPr>
          </w:p>
        </w:tc>
      </w:tr>
      <w:tr>
        <w:trPr>
          <w:trHeight w:val="237"/>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to Business Combination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140,114,060</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w w:val="92"/>
              </w:rPr>
              <w:t>Class B Common Stock - conversion of Legacy SoundHound Common Stock and Legacy SoundHound Preferred Stock outstanding</w:t>
            </w:r>
          </w:p>
        </w:tc>
        <w:tc>
          <w:tcPr>
            <w:tcW w:w="1480" w:type="dxa"/>
            <w:vAlign w:val="bottom"/>
          </w:tcPr>
          <w:p>
            <w:pPr>
              <w:spacing w:after="0"/>
              <w:rPr>
                <w:sz w:val="19"/>
                <w:szCs w:val="19"/>
                <w:color w:val="auto"/>
              </w:rPr>
            </w:pPr>
          </w:p>
        </w:tc>
      </w:tr>
      <w:tr>
        <w:trPr>
          <w:trHeight w:val="230"/>
        </w:trPr>
        <w:tc>
          <w:tcPr>
            <w:tcW w:w="9760" w:type="dxa"/>
            <w:vAlign w:val="bottom"/>
          </w:tcPr>
          <w:p>
            <w:pPr>
              <w:ind w:left="180"/>
              <w:spacing w:after="0"/>
              <w:rPr>
                <w:sz w:val="20"/>
                <w:szCs w:val="20"/>
                <w:color w:val="auto"/>
              </w:rPr>
            </w:pPr>
            <w:r>
              <w:rPr>
                <w:rFonts w:ascii="Arial" w:cs="Arial" w:eastAsia="Arial" w:hAnsi="Arial"/>
                <w:sz w:val="18"/>
                <w:szCs w:val="18"/>
                <w:color w:val="auto"/>
              </w:rPr>
              <w:t>prior to Business Combination</w:t>
            </w:r>
          </w:p>
        </w:tc>
        <w:tc>
          <w:tcPr>
            <w:tcW w:w="1480" w:type="dxa"/>
            <w:vAlign w:val="bottom"/>
          </w:tcPr>
          <w:p>
            <w:pPr>
              <w:jc w:val="right"/>
              <w:spacing w:after="0"/>
              <w:rPr>
                <w:sz w:val="20"/>
                <w:szCs w:val="20"/>
                <w:color w:val="auto"/>
              </w:rPr>
            </w:pPr>
            <w:r>
              <w:rPr>
                <w:rFonts w:ascii="Arial" w:cs="Arial" w:eastAsia="Arial" w:hAnsi="Arial"/>
                <w:sz w:val="18"/>
                <w:szCs w:val="18"/>
                <w:color w:val="auto"/>
              </w:rPr>
              <w:t>40,396,600</w:t>
            </w:r>
          </w:p>
        </w:tc>
      </w:tr>
      <w:tr>
        <w:trPr>
          <w:trHeight w:val="27"/>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 PIPE Investment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11,300,000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Class A Common Stock - issuance to ATSP shareholders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532,050</w:t>
            </w:r>
          </w:p>
        </w:tc>
      </w:tr>
      <w:tr>
        <w:trPr>
          <w:trHeight w:val="27"/>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 issuance to Legacy SoundHound founders and representatives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4,161,000</w:t>
            </w:r>
          </w:p>
        </w:tc>
      </w:tr>
      <w:tr>
        <w:trPr>
          <w:trHeight w:val="237"/>
        </w:trPr>
        <w:tc>
          <w:tcPr>
            <w:tcW w:w="9760" w:type="dxa"/>
            <w:vAlign w:val="bottom"/>
          </w:tcPr>
          <w:p>
            <w:pPr>
              <w:ind w:left="20"/>
              <w:spacing w:after="0"/>
              <w:rPr>
                <w:sz w:val="20"/>
                <w:szCs w:val="20"/>
                <w:color w:val="auto"/>
              </w:rPr>
            </w:pPr>
            <w:r>
              <w:rPr>
                <w:rFonts w:ascii="Arial" w:cs="Arial" w:eastAsia="Arial" w:hAnsi="Arial"/>
                <w:sz w:val="18"/>
                <w:szCs w:val="18"/>
                <w:color w:val="auto"/>
              </w:rPr>
              <w:t>Total shares of common stock immediately after Business Combination</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196,503,710</w:t>
            </w:r>
          </w:p>
        </w:tc>
      </w:tr>
      <w:tr>
        <w:trPr>
          <w:trHeight w:val="27"/>
        </w:trPr>
        <w:tc>
          <w:tcPr>
            <w:tcW w:w="97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22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8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arrangements with customers may contain multiple obligations. Individual services are accounted for separately if they are distinct</w:t>
      </w:r>
    </w:p>
    <w:p>
      <w:pPr>
        <w:spacing w:after="0" w:line="46" w:lineRule="exact"/>
        <w:rPr>
          <w:sz w:val="20"/>
          <w:szCs w:val="20"/>
          <w:color w:val="auto"/>
        </w:rPr>
      </w:pPr>
    </w:p>
    <w:p>
      <w:pPr>
        <w:ind w:left="500" w:right="20"/>
        <w:spacing w:after="0" w:line="260" w:lineRule="auto"/>
        <w:rPr>
          <w:sz w:val="20"/>
          <w:szCs w:val="20"/>
          <w:color w:val="auto"/>
        </w:rPr>
      </w:pPr>
      <w:r>
        <w:rPr>
          <w:rFonts w:ascii="Arial" w:cs="Arial" w:eastAsia="Arial" w:hAnsi="Arial"/>
          <w:sz w:val="18"/>
          <w:szCs w:val="18"/>
          <w:color w:val="auto"/>
        </w:rPr>
        <w:t>— that is, if a service is separately identifiable from other items in the contract and a customer can benefit from it in its own or with other resources that are readily available to the customer.</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the following performance obligations in contracts with customers: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Hosted Services</w:t>
      </w:r>
    </w:p>
    <w:p>
      <w:pPr>
        <w:spacing w:after="0" w:line="22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84"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7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Professional Services</w:t>
      </w:r>
    </w:p>
    <w:p>
      <w:pPr>
        <w:spacing w:after="0" w:line="22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95"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September 30, 2022, $0.4 million of professional service revenue was recognized over time, with the remaining $0.3 million recognized at a point in time when the performance obligation was fulfilled and control of the service was transferred to the customer. During the nine months ended September 30, 2022, $1.2 million of professional service revenue was recognized over time, with the remaining $1.4 million recognized at a point in time when the performance obligation was fulfilled and control of the service was transferred to the customer.</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Monetization</w:t>
      </w:r>
    </w:p>
    <w:p>
      <w:pPr>
        <w:spacing w:after="0" w:line="229"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Licensing</w:t>
      </w:r>
    </w:p>
    <w:p>
      <w:pPr>
        <w:spacing w:after="0" w:line="229"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7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volume discount and contract type, in instances where the SSP is not directly observable, the Company estimates SSP by considering the following factors:</w:t>
      </w:r>
    </w:p>
    <w:p>
      <w:pPr>
        <w:spacing w:after="0" w:line="170" w:lineRule="exact"/>
        <w:rPr>
          <w:sz w:val="20"/>
          <w:szCs w:val="20"/>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developing and supplying each performance obligation;</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standards;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Major product groupings;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three and nine months ended September 30, 2022 and 2021, revenues under each performance obligation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Hosted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5,329</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Licensing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three and nine months ended September 30, 2022 and 2021, the disaggregated revenue by geographic location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2,875</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7,034</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three and nine months ended September 30, 2022 and 2021, the disaggregated revenue by recognition pattern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 time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10,513</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Point-in-time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5,935</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5,533</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and nine months ended September 30, 2022 and 2021, the disaggregated revenue by service type was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13,833</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11,186</w:t>
            </w: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16,046</w:t>
            </w: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Contract Balances</w:t>
      </w:r>
    </w:p>
    <w:p>
      <w:pPr>
        <w:spacing w:after="0" w:line="22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During the three and nine months ended September 30, 2022, we recognized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Company has not recorded any asset impairment charges related to contract assets during the periods presented in the condensed consolidated financial statements.</w:t>
      </w:r>
    </w:p>
    <w:p>
      <w:pPr>
        <w:spacing w:after="0" w:line="195"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Revenue recognized included in the balances of the deferred revenue at the beginning of the reporting period during three and nine months ended September 30, 2022, was $2.0 million and $5.4 million, respectively, as compared to $2.3 million and $7.4 million for the three and nine months ended September 30, 2021, respectively.</w:t>
      </w:r>
    </w:p>
    <w:p>
      <w:pPr>
        <w:spacing w:after="0" w:line="184" w:lineRule="exact"/>
        <w:rPr>
          <w:sz w:val="20"/>
          <w:szCs w:val="20"/>
          <w:color w:val="auto"/>
        </w:rPr>
      </w:pPr>
    </w:p>
    <w:p>
      <w:pPr>
        <w:jc w:val="both"/>
        <w:ind w:left="500"/>
        <w:spacing w:after="0" w:line="301" w:lineRule="auto"/>
        <w:rPr>
          <w:sz w:val="20"/>
          <w:szCs w:val="20"/>
          <w:color w:val="auto"/>
        </w:rPr>
      </w:pPr>
      <w:r>
        <w:rPr>
          <w:rFonts w:ascii="Arial" w:cs="Arial" w:eastAsia="Arial" w:hAnsi="Arial"/>
          <w:sz w:val="16"/>
          <w:szCs w:val="16"/>
          <w:color w:val="auto"/>
        </w:rPr>
        <w:t>As of September 30, 2022, the aggregate amount of the transaction price allocated to the remaining performance obligations related to customer contracts that were unsatisfied or partially unsatisfied was $23.4 million. Given the applicable contract terms, $10.4 million is expected to be recognized as revenue within one year, $9.6 million is expected to be recognized between two to five years and the remainder of $3.4 million is expected to be recognized after five years. This amount does not include contracts to which the customer is not committed, contracts for which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88"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8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5. PROPERTY AND EQUIPMENT, NET</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Software and voice recordings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8,687</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at cost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(27,399)</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Property and equipment, net includes assets under finance lease obligations (see Note 14 for additional information) with an aggregate cost of approximately $0.9 million and $7.0 million as of September 30, 2022 and December 31, 2021, respectively, and accumulated depreciation of approximately $0.4 million and $4.3 million as of September 30, 2022 and December 31, 2021, respectively. Depreciation and amortization expense totaled approximately $0.9 million and $3.2 million for the three and nine months ended September 30, 2022, respectively, as compared to $1.3 million and $4.2 million for the three and nine months ended September 30, 2021,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6. ACCRUED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9760" w:type="dxa"/>
            <w:vAlign w:val="bottom"/>
            <w:gridSpan w:val="4"/>
          </w:tcPr>
          <w:p>
            <w:pPr>
              <w:ind w:left="500"/>
              <w:spacing w:after="0"/>
              <w:rPr>
                <w:sz w:val="20"/>
                <w:szCs w:val="20"/>
                <w:color w:val="auto"/>
              </w:rPr>
            </w:pPr>
            <w:r>
              <w:rPr>
                <w:rFonts w:ascii="Arial" w:cs="Arial" w:eastAsia="Arial" w:hAnsi="Arial"/>
                <w:sz w:val="18"/>
                <w:szCs w:val="18"/>
                <w:color w:val="auto"/>
              </w:rPr>
              <w:t>Accrued liabilities on the condensed consolidated balance sheets was comprised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vendor payables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81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7,298</w:t>
            </w:r>
          </w:p>
        </w:tc>
      </w:tr>
      <w:tr>
        <w:trPr>
          <w:trHeight w:val="27"/>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Contracts</w:t>
      </w:r>
    </w:p>
    <w:p>
      <w:pPr>
        <w:spacing w:after="0" w:line="22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500"/>
              <w:spacing w:after="0"/>
              <w:rPr>
                <w:sz w:val="20"/>
                <w:szCs w:val="20"/>
                <w:color w:val="auto"/>
              </w:rPr>
            </w:pPr>
            <w:r>
              <w:rPr>
                <w:rFonts w:ascii="Arial" w:cs="Arial" w:eastAsia="Arial" w:hAnsi="Arial"/>
                <w:sz w:val="18"/>
                <w:szCs w:val="18"/>
                <w:color w:val="auto"/>
              </w:rPr>
              <w:t>Aggregate non-cancelable future minimum payments were as follows as of September 30, 2022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14,000</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48,000</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 xml:space="preserve">The Company has not historically collected U.S. state or local sales and use tax, or other similar taxes, in any jurisdiction. On June 21, 2018, the U.S. Supreme Court decided,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September 30, 2022 and December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Series C Warrants</w:t>
      </w:r>
    </w:p>
    <w:p>
      <w:pPr>
        <w:spacing w:after="0" w:line="22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September 30, 2022 and December 31, 2021, the fair value of the warrant liability was $0.</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Warrants Related to Convertible Notes and Note Payable</w:t>
      </w:r>
    </w:p>
    <w:p>
      <w:pPr>
        <w:spacing w:after="0" w:line="22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84"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spacing w:after="0" w:line="19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Warrants Related to the Business Combination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92"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color w:val="auto"/>
        </w:rPr>
        <w:t>Subsequent to the closing of the Business Combination, the Company’s Public Warrants continue to be classified as equity instruments, as they are indexed to the Company’s stock. As of September 30, 2022, there were 3,457,996 Public Warrants issued and outstanding.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8"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spacing w:after="0" w:line="167" w:lineRule="exact"/>
        <w:rPr>
          <w:sz w:val="20"/>
          <w:szCs w:val="20"/>
          <w:color w:val="auto"/>
        </w:rPr>
      </w:pPr>
    </w:p>
    <w:p>
      <w:pPr>
        <w:ind w:left="500" w:right="7220" w:hanging="492"/>
        <w:spacing w:after="0" w:line="503" w:lineRule="auto"/>
        <w:tabs>
          <w:tab w:leader="none" w:pos="19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 AND NOTES PAYABLE </w:t>
      </w:r>
      <w:r>
        <w:rPr>
          <w:rFonts w:ascii="Arial" w:cs="Arial" w:eastAsia="Arial" w:hAnsi="Arial"/>
          <w:sz w:val="18"/>
          <w:szCs w:val="18"/>
          <w:b w:val="1"/>
          <w:bCs w:val="1"/>
          <w:i w:val="1"/>
          <w:iCs w:val="1"/>
          <w:color w:val="auto"/>
        </w:rPr>
        <w:t>SNAP June 2020 Note</w:t>
      </w:r>
    </w:p>
    <w:p>
      <w:pPr>
        <w:jc w:val="both"/>
        <w:ind w:left="500"/>
        <w:spacing w:after="0" w:line="259" w:lineRule="auto"/>
        <w:rPr>
          <w:sz w:val="20"/>
          <w:szCs w:val="20"/>
          <w:color w:val="auto"/>
        </w:rPr>
      </w:pPr>
      <w:r>
        <w:rPr>
          <w:rFonts w:ascii="Arial" w:cs="Arial" w:eastAsia="Arial" w:hAnsi="Arial"/>
          <w:sz w:val="18"/>
          <w:szCs w:val="18"/>
          <w:color w:val="auto"/>
        </w:rPr>
        <w:t>In June 2020, the Company issued a promissory note, the SNAP June 2020 Note, to a Lender in exchange for $15.0 million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8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SNAP June 2020 Note Qualified Financing shall be at least $30.0 million, which excludes the conversion of the SNAP June 2020 Note and any other indebtedness.</w:t>
      </w:r>
    </w:p>
    <w:p>
      <w:pPr>
        <w:spacing w:after="0" w:line="19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Furthermore, upon a change of control event, the Company shall settle the SNAP June 2020 Note in cash, pursuant to the following terms (“Redemption Feature”):</w:t>
      </w:r>
    </w:p>
    <w:p>
      <w:pPr>
        <w:spacing w:after="0" w:line="170" w:lineRule="exact"/>
        <w:rPr>
          <w:sz w:val="20"/>
          <w:szCs w:val="20"/>
          <w:color w:val="auto"/>
        </w:rPr>
      </w:pPr>
    </w:p>
    <w:p>
      <w:pPr>
        <w:ind w:left="1140" w:hanging="322"/>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then outstanding principal amount of the respective note plus any unpaid accrued interest on the original principal of such note; and</w:t>
      </w:r>
    </w:p>
    <w:p>
      <w:pPr>
        <w:spacing w:after="0" w:line="170" w:lineRule="exact"/>
        <w:rPr>
          <w:rFonts w:ascii="Arial" w:cs="Arial" w:eastAsia="Arial" w:hAnsi="Arial"/>
          <w:sz w:val="18"/>
          <w:szCs w:val="18"/>
          <w:color w:val="auto"/>
        </w:rPr>
      </w:pPr>
    </w:p>
    <w:p>
      <w:pPr>
        <w:ind w:left="1140" w:hanging="322"/>
        <w:spacing w:after="0" w:line="308" w:lineRule="auto"/>
        <w:tabs>
          <w:tab w:leader="none" w:pos="11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146"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September 2020 was $2.5 million,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total amount of debt discount at issuance for the SNAP June 2020 Note was $2.5 million. The Company amortized the aggregate debt discount using the effective interest method. The Company recognized total interest expense of $0.7 million associated with the SNAP June 2020 Note for the nine months ended September 30, 2022, out of which $0.4 million relates to the amortization of the debt discount. The Company recognized total interest expense of $0.5 million and $1.5 million associated with the SNAP June 2020 Note for the three and nine months ended September 30, 2021, respectively, out of which $0.3 million and $0.9 million relates to the amortization of the debt discount. The debt discount related to the SNAP June 2020 Note is amortized over the life of the instrument, beginning at note issuance and ending on April 26, 2022, the date on which the note was converted.</w:t>
      </w:r>
    </w:p>
    <w:p>
      <w:pPr>
        <w:spacing w:after="0" w:line="19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 million, excluding the face value of the SNAP June 2020 Note (“SNAP June 2020 Note Qualified Financing”).</w:t>
      </w:r>
    </w:p>
    <w:p>
      <w:pPr>
        <w:spacing w:after="0" w:line="187"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 million and accrued interest of $1.4 million were converted into 368,384 shares of Class A Common Stock. In addition, the remaining debt discount of $0.2 million and related derivative liability with fair value of $4.1 million as of the Closing Date were extinguished.</w:t>
      </w:r>
    </w:p>
    <w:p>
      <w:pPr>
        <w:spacing w:after="0" w:line="18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following table summarizes the unamortized debt discount, fair value of conversion feature, and accrued interest as of April 26, 2022 and December 31, 2021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discount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Fair value of conversion feature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3,488</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7"/>
        </w:trPr>
        <w:tc>
          <w:tcPr>
            <w:tcW w:w="8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Accrued interest is included in accrued liabilities on the condensed consolidated balance sheets to reflect the classification of the SNAP June 2020 Note as short-term in nature on December 31, 2021.</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SVB March 2021 Note</w:t>
      </w:r>
    </w:p>
    <w:p>
      <w:pPr>
        <w:spacing w:after="0" w:line="225"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In March 2021, the Company entered into a loan and security agreement with a commercial bank to borrow $30.0 million along with the issuance of warrants to purchase 127,570 shares of Legacy SoundHound’s common stock. The warrant’s allocated fair value was $2.3 million at issuance. The SVB March 2021 Note also contains a final payment provision of $1.1 million.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178" w:lineRule="exact"/>
        <w:rPr>
          <w:sz w:val="20"/>
          <w:szCs w:val="20"/>
          <w:color w:val="auto"/>
        </w:rPr>
      </w:pPr>
    </w:p>
    <w:p>
      <w:pPr>
        <w:jc w:val="both"/>
        <w:ind w:left="500"/>
        <w:spacing w:after="0" w:line="291" w:lineRule="auto"/>
        <w:rPr>
          <w:sz w:val="20"/>
          <w:szCs w:val="20"/>
          <w:color w:val="auto"/>
        </w:rPr>
      </w:pPr>
      <w:r>
        <w:rPr>
          <w:rFonts w:ascii="Arial" w:cs="Arial" w:eastAsia="Arial" w:hAnsi="Arial"/>
          <w:sz w:val="16"/>
          <w:szCs w:val="16"/>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recorded stated interest expense in the condensed consolidated statements of operations and comprehensive loss for the three and nine months ended September 30, 2022 of $0.7 million and $2.1 million, respectively, of which $0.2 million remained unpaid as accrued interest at September 30, 2022. During the three and nine months ended September 30, 2021, the Company recorded interest expense of $0.7 million and $1.4 million, respectively, of which $0.2 million remained unpaid as accrued interest at September 30, 2021. The total amount of debt discount at issuance was $3.5 million. As of September 30, 2022 and December 31, 2021, the unamortized debt discount totaled $0.1 million and $1.1 million, respectively. During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three and nine months ended September 30, 2022, the Company recorded a nominal amount and $1.0 million in interest expense related to the debt discounts, respectively. During the three and nine months ended September 30, 2021, the Company recorded $0.8 million and $1.6 million in interest expense related to the debt discounts, respectively.</w:t>
      </w:r>
    </w:p>
    <w:p>
      <w:pPr>
        <w:spacing w:after="0" w:line="184"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spacing w:after="0" w:line="18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As a result of the Business Combination, the SNAP June 2020 Note converted on the Closing Date and the performance milestone was met, satisfying the requirements to extend the maturity date to September 1, 2024 Accordingly, the Company has classified $13.1 million of the balance as long-term and $12.0 million of the balance as short-term as of September 30, 2022 compared to the entirety of the balance as short-term as of December 31, 2021.</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SCI June 2021 Note</w:t>
      </w:r>
    </w:p>
    <w:p>
      <w:pPr>
        <w:spacing w:after="0" w:line="225"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In June 2021, the Company entered into a loan and security agreement with a lender to obtain credit extensions to the Company. Extensions may be requested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alongside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spacing w:after="0" w:line="178"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As the warrants and discounts of $2.2 million are directly attributable to the total commitment of $15.0 million,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a nominal amount and $0.8 million in interest expense related to the debt discounts during the three and nine months ended September 30, 2022, respectively, and $0.4 million and $0.6 million in interest expense related to the debt discounts during the three and nine months ended September 30, 2021, respectively. As of September 30, 2022 and December 31, 2021, the unamortized debt discount totaled $0.3 million and $1.1 million, respectively.</w:t>
      </w:r>
    </w:p>
    <w:p>
      <w:pPr>
        <w:spacing w:after="0" w:line="195" w:lineRule="exact"/>
        <w:rPr>
          <w:sz w:val="20"/>
          <w:szCs w:val="20"/>
          <w:color w:val="auto"/>
        </w:rPr>
      </w:pPr>
    </w:p>
    <w:p>
      <w:pPr>
        <w:jc w:val="both"/>
        <w:ind w:left="500"/>
        <w:spacing w:after="0" w:line="301" w:lineRule="auto"/>
        <w:rPr>
          <w:sz w:val="20"/>
          <w:szCs w:val="20"/>
          <w:color w:val="auto"/>
        </w:rPr>
      </w:pPr>
      <w:r>
        <w:rPr>
          <w:rFonts w:ascii="Arial" w:cs="Arial" w:eastAsia="Arial" w:hAnsi="Arial"/>
          <w:sz w:val="16"/>
          <w:szCs w:val="16"/>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incurred and paid $0.4 million and $1.1 million in stated interest in the condensed consolidated statements of operations and comprehensive loss for the three and nine months ended September 30, 2022, respectively, and $0.1 million in stated interest during both the three and nine months ended September 30, 2021.</w:t>
      </w:r>
    </w:p>
    <w:p>
      <w:pPr>
        <w:spacing w:after="0" w:line="15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loan amortization date was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conversion occurs in connection with a SPAC, the conversion of principal amount shall be into the equity securities purchased by other investors in the SPAC at the same share price and upon the same terms.</w:t>
      </w:r>
    </w:p>
    <w:p>
      <w:pPr>
        <w:spacing w:after="0" w:line="170"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$9.5 million of the balance as long-term and $4.6 million of the balance as short-term as of September 30, 2022 compared to the entirety of the balance as short-term as of December 31, 2021. Additionally, as the Company and its Agent did not mutually consent to the equity conversion that could have been triggered by the Business Combination, the conversion feature no longer existed subsequent to the Closing Date. As of September 30, 2022, the SCI June 2021 Note was classified as a note payable.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below tables summarize the Company’s debt balances as of September 30, 2022 and December 31, 2021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September 30, 2022</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SVB</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SCI June 2021</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Note</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Notes payable, net of current portion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22,529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loan discount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4"/>
        </w:trPr>
        <w:tc>
          <w:tcPr>
            <w:tcW w:w="660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 recorded as an asset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SVB March 2021</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Note</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Unamortized loan discount</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w w:val="94"/>
              </w:rPr>
              <w:t>December 31,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6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SNAP June 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SCI June 2021</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Note</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Unamortized loan discount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0" w:type="dxa"/>
            <w:vAlign w:val="bottom"/>
          </w:tcPr>
          <w:p>
            <w:pPr>
              <w:ind w:left="20"/>
              <w:spacing w:after="0"/>
              <w:rPr>
                <w:sz w:val="20"/>
                <w:szCs w:val="20"/>
                <w:color w:val="auto"/>
              </w:rPr>
            </w:pPr>
            <w:r>
              <w:rPr>
                <w:rFonts w:ascii="Arial" w:cs="Arial" w:eastAsia="Arial" w:hAnsi="Arial"/>
                <w:sz w:val="18"/>
                <w:szCs w:val="18"/>
                <w:color w:val="auto"/>
              </w:rPr>
              <w:t>Unamortized debt issuance cost recorded as an asset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The following tables present the fair value of the Company’s financial instruments that are measured or disclosed at fair value on a recurring basis (in thousands):</w:t>
      </w:r>
    </w:p>
    <w:p>
      <w:pPr>
        <w:spacing w:after="0" w:line="220"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Fair Value Measurements as of</w:t>
      </w:r>
    </w:p>
    <w:p>
      <w:pPr>
        <w:spacing w:after="0" w:line="2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22860</wp:posOffset>
            </wp:positionV>
            <wp:extent cx="29489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20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Fair Value Measurements as of</w:t>
      </w:r>
    </w:p>
    <w:p>
      <w:pPr>
        <w:spacing w:after="0" w:line="2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22860</wp:posOffset>
            </wp:positionV>
            <wp:extent cx="29489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63"/>
        </w:trPr>
        <w:tc>
          <w:tcPr>
            <w:tcW w:w="66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The fair values of the derivative liabilities were determined based on significant inputs not observable in the market, which represent Level 3 measurements within the fair value hierarchy.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Series C Warrants (April 2013 and November 2013)</w:t>
      </w:r>
    </w:p>
    <w:p>
      <w:pPr>
        <w:spacing w:after="0" w:line="229"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The Company revalued the Series C warrants as of September 30, 2021, resulting in a change in fair value of $1.8 million and $2.7 million during the three and nine months ended September 30, 2021, respectively. This change in fair value was recorded as a component of other income (expense), net, in the accompanying condensed consolidated statements of operations and comprehensive loss.</w:t>
      </w:r>
    </w:p>
    <w:p>
      <w:pPr>
        <w:spacing w:after="0" w:line="16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Company determined the fair value of the April 2013 Series C redeemable convertible preferred stock warrants using the Black-Scholes option-pricing model using the following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96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7"/>
        </w:trPr>
        <w:tc>
          <w:tcPr>
            <w:tcW w:w="96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0.26 %</w:t>
            </w: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640" w:type="dxa"/>
            <w:vAlign w:val="bottom"/>
          </w:tcPr>
          <w:p>
            <w:pPr>
              <w:jc w:val="right"/>
              <w:spacing w:after="0"/>
              <w:rPr>
                <w:sz w:val="20"/>
                <w:szCs w:val="20"/>
                <w:color w:val="auto"/>
              </w:rPr>
            </w:pPr>
            <w:r>
              <w:rPr>
                <w:rFonts w:ascii="Arial" w:cs="Arial" w:eastAsia="Arial" w:hAnsi="Arial"/>
                <w:sz w:val="18"/>
                <w:szCs w:val="18"/>
                <w:color w:val="auto"/>
              </w:rPr>
              <w:t>1.89</w:t>
            </w:r>
          </w:p>
        </w:tc>
      </w:tr>
    </w:tbl>
    <w:p>
      <w:pPr>
        <w:spacing w:after="0" w:line="323"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Upon exercise in December 2021, the warrants were recorded as Series C Preferred Stock at their fair value of $5.8 million upon net share settlement.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Common Stock Warrants (SVB March 2021 Note and SCI June 2021 Note)</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Company issued common stock warrants in connection with the SVB March 2021 Note and SCI June 2021 Note (See Note 8 for additional information). The SVB March 2021 Note and SCI June 2021 Note warrants were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recorded based on the allocation of its relative fair value of the debt proceeds of $2.3 million and $1.5 million,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determined the fair value of the SVB March 2021 Note and SCI June 2021 Note common stock warrants at issuance using the Black-</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Scholes option-pricing model using the following assumptions,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SVB March 2021 Note Common Stock Warrants</w:t>
            </w:r>
          </w:p>
        </w:tc>
        <w:tc>
          <w:tcPr>
            <w:tcW w:w="1620" w:type="dxa"/>
            <w:vAlign w:val="bottom"/>
            <w:tcBorders>
              <w:bottom w:val="single" w:sz="8" w:color="CCEEFF"/>
            </w:tcBorders>
          </w:tcPr>
          <w:p>
            <w:pPr>
              <w:spacing w:after="0"/>
              <w:rPr>
                <w:sz w:val="20"/>
                <w:szCs w:val="20"/>
                <w:color w:val="auto"/>
              </w:rPr>
            </w:pPr>
          </w:p>
        </w:tc>
      </w:tr>
      <w:tr>
        <w:trPr>
          <w:trHeight w:val="257"/>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63"/>
        </w:trPr>
        <w:tc>
          <w:tcPr>
            <w:tcW w:w="96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1.74 %</w:t>
            </w:r>
          </w:p>
        </w:tc>
      </w:tr>
      <w:tr>
        <w:trPr>
          <w:trHeight w:val="277"/>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57"/>
        </w:trPr>
        <w:tc>
          <w:tcPr>
            <w:tcW w:w="9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6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601"/>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SCI June 2021 Note Common Stock Warrants</w:t>
            </w:r>
          </w:p>
        </w:tc>
        <w:tc>
          <w:tcPr>
            <w:tcW w:w="1620" w:type="dxa"/>
            <w:vAlign w:val="bottom"/>
            <w:tcBorders>
              <w:bottom w:val="single" w:sz="8" w:color="CCEEFF"/>
            </w:tcBorders>
          </w:tcPr>
          <w:p>
            <w:pPr>
              <w:spacing w:after="0"/>
              <w:rPr>
                <w:sz w:val="24"/>
                <w:szCs w:val="24"/>
                <w:color w:val="auto"/>
              </w:rPr>
            </w:pPr>
          </w:p>
        </w:tc>
      </w:tr>
      <w:tr>
        <w:trPr>
          <w:trHeight w:val="257"/>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63"/>
        </w:trPr>
        <w:tc>
          <w:tcPr>
            <w:tcW w:w="96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1.51 %</w:t>
            </w:r>
          </w:p>
        </w:tc>
      </w:tr>
      <w:tr>
        <w:trPr>
          <w:trHeight w:val="277"/>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57"/>
        </w:trPr>
        <w:tc>
          <w:tcPr>
            <w:tcW w:w="9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62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29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Upon the Closing of the Business Combination, all outstanding warrants associated with the SVB March 2021 Note and SCI June 2021 Note were exercised, leading to a net issuance of 673,416 shares of Class A Common Stock.</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Public and Private Common Stock Warrants</w:t>
      </w:r>
    </w:p>
    <w:p>
      <w:pPr>
        <w:spacing w:after="0" w:line="22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$0.1 million.</w:t>
      </w:r>
    </w:p>
    <w:p>
      <w:pPr>
        <w:spacing w:after="0" w:line="18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Following the Business Combination and as of September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Derivative Liability (SNAP June 2020 Note)</w:t>
      </w:r>
    </w:p>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differential value from the perspective of the With and Without Method. The Company utilized the following assumptions at the valuation date: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96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7"/>
        </w:trPr>
        <w:tc>
          <w:tcPr>
            <w:tcW w:w="96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Probability of Next Equity Financing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50"/>
        </w:trPr>
        <w:tc>
          <w:tcPr>
            <w:tcW w:w="9600" w:type="dxa"/>
            <w:vAlign w:val="bottom"/>
          </w:tcPr>
          <w:p>
            <w:pPr>
              <w:ind w:left="20"/>
              <w:spacing w:after="0"/>
              <w:rPr>
                <w:sz w:val="20"/>
                <w:szCs w:val="20"/>
                <w:color w:val="auto"/>
              </w:rPr>
            </w:pPr>
            <w:r>
              <w:rPr>
                <w:rFonts w:ascii="Arial" w:cs="Arial" w:eastAsia="Arial" w:hAnsi="Arial"/>
                <w:sz w:val="18"/>
                <w:szCs w:val="18"/>
                <w:color w:val="auto"/>
              </w:rPr>
              <w:t>Probability of SPAC/PIPE</w:t>
            </w:r>
          </w:p>
        </w:tc>
        <w:tc>
          <w:tcPr>
            <w:tcW w:w="164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5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Probability of IPO</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50"/>
        </w:trPr>
        <w:tc>
          <w:tcPr>
            <w:tcW w:w="96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term (years)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25.00 %</w:t>
            </w:r>
          </w:p>
        </w:tc>
      </w:tr>
    </w:tbl>
    <w:p>
      <w:pPr>
        <w:spacing w:after="0" w:line="310" w:lineRule="exact"/>
        <w:rPr>
          <w:sz w:val="20"/>
          <w:szCs w:val="20"/>
          <w:color w:val="auto"/>
        </w:rPr>
      </w:pPr>
    </w:p>
    <w:p>
      <w:pPr>
        <w:jc w:val="both"/>
        <w:ind w:left="500"/>
        <w:spacing w:after="0" w:line="311" w:lineRule="auto"/>
        <w:rPr>
          <w:sz w:val="20"/>
          <w:szCs w:val="20"/>
          <w:color w:val="auto"/>
        </w:rPr>
      </w:pPr>
      <w:r>
        <w:rPr>
          <w:rFonts w:ascii="Arial" w:cs="Arial" w:eastAsia="Arial" w:hAnsi="Arial"/>
          <w:sz w:val="16"/>
          <w:szCs w:val="16"/>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4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 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p>
    <w:p>
      <w:pPr>
        <w:spacing w:after="0" w:line="192"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following table summarizes the fair value remeasurement of the embedded derivative for the three and nine months ended September 30, 2022 and 2021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5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1"/>
              </w:rPr>
              <w:t>Nine Months Ended</w:t>
            </w:r>
          </w:p>
        </w:tc>
        <w:tc>
          <w:tcPr>
            <w:tcW w:w="560" w:type="dxa"/>
            <w:vAlign w:val="bottom"/>
          </w:tcPr>
          <w:p>
            <w:pPr>
              <w:spacing w:after="0"/>
              <w:rPr>
                <w:sz w:val="18"/>
                <w:szCs w:val="18"/>
                <w:color w:val="auto"/>
              </w:rPr>
            </w:pPr>
          </w:p>
        </w:tc>
      </w:tr>
      <w:tr>
        <w:trPr>
          <w:trHeight w:val="234"/>
        </w:trPr>
        <w:tc>
          <w:tcPr>
            <w:tcW w:w="5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0"/>
                <w:szCs w:val="20"/>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Remeasurement of conversion feature – loss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(606)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(1,090)</w:t>
            </w:r>
          </w:p>
        </w:tc>
      </w:tr>
      <w:tr>
        <w:trPr>
          <w:trHeight w:val="20"/>
        </w:trPr>
        <w:tc>
          <w:tcPr>
            <w:tcW w:w="5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The following tables set forth a summary of changes in fair value of the Company’s derivative liability and warrant liability for which fair value was determined by Level 3 inputs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Warrant</w:t>
            </w:r>
          </w:p>
        </w:tc>
      </w:tr>
      <w:tr>
        <w:trPr>
          <w:trHeight w:val="234"/>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Liability</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Liability</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2,701</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Derivative</w:t>
            </w:r>
          </w:p>
        </w:tc>
        <w:tc>
          <w:tcPr>
            <w:tcW w:w="26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rPr>
              <w:t>Warrant</w:t>
            </w:r>
          </w:p>
        </w:tc>
      </w:tr>
      <w:tr>
        <w:trPr>
          <w:trHeight w:val="234"/>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Liability</w:t>
            </w:r>
          </w:p>
        </w:tc>
        <w:tc>
          <w:tcPr>
            <w:tcW w:w="260" w:type="dxa"/>
            <w:vAlign w:val="bottom"/>
          </w:tcPr>
          <w:p>
            <w:pPr>
              <w:spacing w:after="0"/>
              <w:rPr>
                <w:sz w:val="20"/>
                <w:szCs w:val="20"/>
                <w:color w:val="auto"/>
              </w:rPr>
            </w:pP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rPr>
              <w:t>Liability</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Extinguishment of embedded derivative upon conversion of convertible note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Balance as of September 30, 2022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color w:val="auto"/>
        </w:rPr>
        <w:t>There were no transfers of financial instruments between the three levels of the fair value hierarchy during the nine months ended September 30, 2022. The Company had no other financial assets or liabilities that were required to be measured at fair value on a recurring basis.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Legacy SoundHound Preferred Stock authorized, issued and outstanding as of the date of the Business Combination is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580" w:type="dxa"/>
            <w:vAlign w:val="bottom"/>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Liquidation</w:t>
            </w:r>
          </w:p>
        </w:tc>
        <w:tc>
          <w:tcPr>
            <w:tcW w:w="240" w:type="dxa"/>
            <w:vAlign w:val="bottom"/>
          </w:tcPr>
          <w:p>
            <w:pPr>
              <w:spacing w:after="0"/>
              <w:rPr>
                <w:sz w:val="17"/>
                <w:szCs w:val="17"/>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r>
      <w:tr>
        <w:trPr>
          <w:trHeight w:val="241"/>
        </w:trPr>
        <w:tc>
          <w:tcPr>
            <w:tcW w:w="50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Authorized</w:t>
            </w:r>
          </w:p>
        </w:tc>
        <w:tc>
          <w:tcPr>
            <w:tcW w:w="1580" w:type="dxa"/>
            <w:vAlign w:val="bottom"/>
            <w:gridSpan w:val="2"/>
          </w:tcPr>
          <w:p>
            <w:pPr>
              <w:ind w:left="500"/>
              <w:spacing w:after="0"/>
              <w:rPr>
                <w:sz w:val="20"/>
                <w:szCs w:val="20"/>
                <w:color w:val="auto"/>
              </w:rPr>
            </w:pPr>
            <w:r>
              <w:rPr>
                <w:rFonts w:ascii="Arial" w:cs="Arial" w:eastAsia="Arial" w:hAnsi="Arial"/>
                <w:sz w:val="18"/>
                <w:szCs w:val="18"/>
                <w:b w:val="1"/>
                <w:bCs w:val="1"/>
                <w:color w:val="auto"/>
              </w:rPr>
              <w:t>Issued</w:t>
            </w: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Preference</w:t>
            </w:r>
          </w:p>
        </w:tc>
        <w:tc>
          <w:tcPr>
            <w:tcW w:w="2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57"/>
        </w:trPr>
        <w:tc>
          <w:tcPr>
            <w:tcW w:w="502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19,106,048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19,106,048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B</w:t>
            </w:r>
          </w:p>
        </w:tc>
        <w:tc>
          <w:tcPr>
            <w:tcW w:w="1480" w:type="dxa"/>
            <w:vAlign w:val="bottom"/>
          </w:tcPr>
          <w:p>
            <w:pPr>
              <w:jc w:val="right"/>
              <w:spacing w:after="0"/>
              <w:rPr>
                <w:sz w:val="20"/>
                <w:szCs w:val="20"/>
                <w:color w:val="auto"/>
              </w:rPr>
            </w:pPr>
            <w:r>
              <w:rPr>
                <w:rFonts w:ascii="Arial" w:cs="Arial" w:eastAsia="Arial" w:hAnsi="Arial"/>
                <w:sz w:val="18"/>
                <w:szCs w:val="18"/>
                <w:color w:val="auto"/>
              </w:rPr>
              <w:t>33,702,134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33,702,134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11,038</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5,687,525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5,687,525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C-1</w:t>
            </w:r>
          </w:p>
        </w:tc>
        <w:tc>
          <w:tcPr>
            <w:tcW w:w="1480" w:type="dxa"/>
            <w:vAlign w:val="bottom"/>
          </w:tcPr>
          <w:p>
            <w:pPr>
              <w:jc w:val="right"/>
              <w:spacing w:after="0"/>
              <w:rPr>
                <w:sz w:val="20"/>
                <w:szCs w:val="20"/>
                <w:color w:val="auto"/>
              </w:rPr>
            </w:pPr>
            <w:r>
              <w:rPr>
                <w:rFonts w:ascii="Arial" w:cs="Arial" w:eastAsia="Arial" w:hAnsi="Arial"/>
                <w:sz w:val="18"/>
                <w:szCs w:val="18"/>
                <w:color w:val="auto"/>
              </w:rPr>
              <w:t>4,436,090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4,436,090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16,061</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20,258,299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20,258,299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85,648</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D-1</w:t>
            </w:r>
          </w:p>
        </w:tc>
        <w:tc>
          <w:tcPr>
            <w:tcW w:w="1480" w:type="dxa"/>
            <w:vAlign w:val="bottom"/>
          </w:tcPr>
          <w:p>
            <w:pPr>
              <w:jc w:val="right"/>
              <w:spacing w:after="0"/>
              <w:rPr>
                <w:sz w:val="20"/>
                <w:szCs w:val="20"/>
                <w:color w:val="auto"/>
              </w:rPr>
            </w:pPr>
            <w:r>
              <w:rPr>
                <w:rFonts w:ascii="Arial" w:cs="Arial" w:eastAsia="Arial" w:hAnsi="Arial"/>
                <w:sz w:val="18"/>
                <w:szCs w:val="18"/>
                <w:color w:val="auto"/>
              </w:rPr>
              <w:t>8,418,535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8,418,535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277,812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49,957</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8,418,530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8,418,530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49,949</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D-3</w:t>
            </w:r>
          </w:p>
        </w:tc>
        <w:tc>
          <w:tcPr>
            <w:tcW w:w="1480" w:type="dxa"/>
            <w:vAlign w:val="bottom"/>
          </w:tcPr>
          <w:p>
            <w:pPr>
              <w:jc w:val="right"/>
              <w:spacing w:after="0"/>
              <w:rPr>
                <w:sz w:val="20"/>
                <w:szCs w:val="20"/>
                <w:color w:val="auto"/>
              </w:rPr>
            </w:pPr>
            <w:r>
              <w:rPr>
                <w:rFonts w:ascii="Arial" w:cs="Arial" w:eastAsia="Arial" w:hAnsi="Arial"/>
                <w:sz w:val="18"/>
                <w:szCs w:val="18"/>
                <w:color w:val="auto"/>
              </w:rPr>
              <w:t>6,922,165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6,922,165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50,046</w:t>
            </w: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D-3A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20,835,869</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127,785,195</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106,949,326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1,582,562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279,503</w:t>
            </w:r>
          </w:p>
        </w:tc>
      </w:tr>
      <w:tr>
        <w:trPr>
          <w:trHeight w:val="27"/>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71"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September 30, 2022.</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22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Company had 250,030,433 shares of Legacy SoundHound common stock authorized for issuance prior to the closing of the Business Combination.</w:t>
      </w:r>
    </w:p>
    <w:p>
      <w:pPr>
        <w:spacing w:after="0" w:line="170"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76" w:lineRule="exact"/>
        <w:rPr>
          <w:sz w:val="20"/>
          <w:szCs w:val="20"/>
          <w:color w:val="auto"/>
        </w:rPr>
      </w:pPr>
    </w:p>
    <w:p>
      <w:pPr>
        <w:jc w:val="both"/>
        <w:ind w:left="500"/>
        <w:spacing w:after="0" w:line="272" w:lineRule="auto"/>
        <w:rPr>
          <w:sz w:val="20"/>
          <w:szCs w:val="20"/>
          <w:color w:val="auto"/>
        </w:rPr>
      </w:pPr>
      <w:r>
        <w:rPr>
          <w:rFonts w:ascii="Arial" w:cs="Arial" w:eastAsia="Arial" w:hAnsi="Arial"/>
          <w:sz w:val="17"/>
          <w:szCs w:val="17"/>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7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INCENTIVE PLANS</w:t>
      </w:r>
    </w:p>
    <w:p>
      <w:pPr>
        <w:spacing w:after="0" w:line="22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spacing w:after="0" w:line="188"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178" w:lineRule="exact"/>
        <w:rPr>
          <w:sz w:val="20"/>
          <w:szCs w:val="20"/>
          <w:color w:val="auto"/>
        </w:rPr>
      </w:pPr>
    </w:p>
    <w:p>
      <w:pPr>
        <w:jc w:val="both"/>
        <w:ind w:left="500"/>
        <w:spacing w:after="0" w:line="301" w:lineRule="auto"/>
        <w:rPr>
          <w:sz w:val="20"/>
          <w:szCs w:val="20"/>
          <w:color w:val="auto"/>
        </w:rPr>
      </w:pPr>
      <w:r>
        <w:rPr>
          <w:rFonts w:ascii="Arial" w:cs="Arial" w:eastAsia="Arial" w:hAnsi="Arial"/>
          <w:sz w:val="16"/>
          <w:szCs w:val="16"/>
          <w:color w:val="auto"/>
        </w:rPr>
        <w:t>On April 26, 2022, the stockholders of the Company approved the SoundHound AI, Inc. 2022 Incentive Award Plan (the “2022 Incentive Plan”) (collectively,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September 30, 2022, the Company has 5,601,945 awards remaining for issuance.</w:t>
      </w:r>
    </w:p>
    <w:p>
      <w:pPr>
        <w:spacing w:after="0" w:line="171"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had not begun as of September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Option Activity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option activity under the Plans was as follows for the nine months ended September 30,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Average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0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080" w:type="dxa"/>
            <w:vAlign w:val="bottom"/>
          </w:tcPr>
          <w:p>
            <w:pPr>
              <w:jc w:val="center"/>
              <w:ind w:left="310"/>
              <w:spacing w:after="0"/>
              <w:rPr>
                <w:sz w:val="20"/>
                <w:szCs w:val="20"/>
                <w:color w:val="auto"/>
              </w:rPr>
            </w:pPr>
            <w:r>
              <w:rPr>
                <w:rFonts w:ascii="Arial" w:cs="Arial" w:eastAsia="Arial" w:hAnsi="Arial"/>
                <w:sz w:val="18"/>
                <w:szCs w:val="18"/>
                <w:b w:val="1"/>
                <w:bCs w:val="1"/>
                <w:color w:val="auto"/>
                <w:w w:val="86"/>
              </w:rPr>
              <w:t>Exercise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50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Price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Thousands)</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30,361,405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3.45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168,923</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391,619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6.17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(3,139,565)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21,751</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Forfeited or 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(663,656)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4.51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26,949,803</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3.73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44"/>
        </w:trPr>
        <w:tc>
          <w:tcPr>
            <w:tcW w:w="5020" w:type="dxa"/>
            <w:vAlign w:val="bottom"/>
          </w:tcPr>
          <w:p>
            <w:pPr>
              <w:ind w:left="20"/>
              <w:spacing w:after="0"/>
              <w:rPr>
                <w:sz w:val="20"/>
                <w:szCs w:val="20"/>
                <w:color w:val="auto"/>
              </w:rPr>
            </w:pPr>
            <w:r>
              <w:rPr>
                <w:rFonts w:ascii="Arial" w:cs="Arial" w:eastAsia="Arial" w:hAnsi="Arial"/>
                <w:sz w:val="18"/>
                <w:szCs w:val="18"/>
                <w:color w:val="auto"/>
              </w:rPr>
              <w:t>Exercisable, September 30,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18,698,462</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2.83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14,511</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898"/>
        </w:trPr>
        <w:tc>
          <w:tcPr>
            <w:tcW w:w="502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option activity under the Plans was as follows for the nine months ended September 30,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Average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0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080" w:type="dxa"/>
            <w:vAlign w:val="bottom"/>
          </w:tcPr>
          <w:p>
            <w:pPr>
              <w:jc w:val="center"/>
              <w:ind w:left="310"/>
              <w:spacing w:after="0"/>
              <w:rPr>
                <w:sz w:val="20"/>
                <w:szCs w:val="20"/>
                <w:color w:val="auto"/>
              </w:rPr>
            </w:pPr>
            <w:r>
              <w:rPr>
                <w:rFonts w:ascii="Arial" w:cs="Arial" w:eastAsia="Arial" w:hAnsi="Arial"/>
                <w:sz w:val="18"/>
                <w:szCs w:val="18"/>
                <w:b w:val="1"/>
                <w:bCs w:val="1"/>
                <w:color w:val="auto"/>
                <w:w w:val="86"/>
              </w:rPr>
              <w:t>Exercise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50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Price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Thousands)</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28,772,180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2.38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36,987</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5,203,804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6.84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(2,178,412)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Forfeited or 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(1,801,023)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29,996,549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3.22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172,816</w:t>
            </w: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color w:val="auto"/>
              </w:rPr>
              <w:t>Exercisable, September 30, 2021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17,350,839</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2.06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119,390</w:t>
            </w:r>
          </w:p>
        </w:tc>
      </w:tr>
      <w:tr>
        <w:trPr>
          <w:trHeight w:val="21"/>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nine months ended September 30, 2022 or year ended December 31, 2021 that were subject to repurchase.</w:t>
      </w:r>
    </w:p>
    <w:p>
      <w:pPr>
        <w:spacing w:after="0" w:line="184" w:lineRule="exact"/>
        <w:rPr>
          <w:sz w:val="20"/>
          <w:szCs w:val="20"/>
          <w:color w:val="auto"/>
        </w:rPr>
      </w:pPr>
    </w:p>
    <w:p>
      <w:pPr>
        <w:jc w:val="both"/>
        <w:ind w:left="500" w:right="20"/>
        <w:spacing w:after="0" w:line="308" w:lineRule="auto"/>
        <w:rPr>
          <w:sz w:val="20"/>
          <w:szCs w:val="20"/>
          <w:color w:val="auto"/>
        </w:rPr>
      </w:pPr>
      <w:r>
        <w:rPr>
          <w:rFonts w:ascii="Arial" w:cs="Arial" w:eastAsia="Arial" w:hAnsi="Arial"/>
          <w:sz w:val="17"/>
          <w:szCs w:val="17"/>
          <w:color w:val="auto"/>
        </w:rPr>
        <w:t>The total fair value of options vested was approximately $3.8 million and $7.2 million during the three and nine months ended September 30, 2022, respectively, as compared to $0.9 million and $2.9 million for the three and nine months ended September 30, 2021, respectively.</w:t>
      </w:r>
    </w:p>
    <w:p>
      <w:pPr>
        <w:spacing w:after="0" w:line="14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assumptions under the Black-Scholes option-pricing model and the weighted average calculated fair value of the options granted to employees during the nine-month periods ended September 30, 2022 and September 30, 2021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760" w:type="dxa"/>
            <w:vAlign w:val="bottom"/>
            <w:gridSpan w:val="2"/>
          </w:tcPr>
          <w:p>
            <w:pPr>
              <w:ind w:left="280"/>
              <w:spacing w:after="0"/>
              <w:rPr>
                <w:sz w:val="20"/>
                <w:szCs w:val="20"/>
                <w:color w:val="auto"/>
              </w:rPr>
            </w:pPr>
            <w:r>
              <w:rPr>
                <w:rFonts w:ascii="Arial" w:cs="Arial" w:eastAsia="Arial" w:hAnsi="Arial"/>
                <w:sz w:val="18"/>
                <w:szCs w:val="18"/>
                <w:b w:val="1"/>
                <w:bCs w:val="1"/>
                <w:color w:val="auto"/>
              </w:rPr>
              <w:t>September 30,</w:t>
            </w: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78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7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6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1.11 %</w:t>
            </w:r>
          </w:p>
        </w:tc>
      </w:tr>
    </w:tbl>
    <w:p>
      <w:pPr>
        <w:spacing w:after="0" w:line="29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As of September 30, 2022, the unamortized expense related to outstanding options was $18.8 million. The weighted average remaining amortization period over which the balance as of September 30, 2022 is to be amortized is 2.54 years. No income tax benefit was recognized for this compensation expense in the condensed consolidated statements of operations and comprehensive loss, as the Company does not anticipate realizing any such benefit in the future.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Restricted Stock Unit Activity</w:t>
            </w:r>
          </w:p>
        </w:tc>
        <w:tc>
          <w:tcPr>
            <w:tcW w:w="5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53"/>
        </w:trPr>
        <w:tc>
          <w:tcPr>
            <w:tcW w:w="500" w:type="dxa"/>
            <w:vAlign w:val="bottom"/>
          </w:tcPr>
          <w:p>
            <w:pPr>
              <w:spacing w:after="0"/>
              <w:rPr>
                <w:sz w:val="24"/>
                <w:szCs w:val="24"/>
                <w:color w:val="auto"/>
              </w:rPr>
            </w:pPr>
          </w:p>
        </w:tc>
        <w:tc>
          <w:tcPr>
            <w:tcW w:w="9260" w:type="dxa"/>
            <w:vAlign w:val="bottom"/>
            <w:gridSpan w:val="4"/>
          </w:tcPr>
          <w:p>
            <w:pPr>
              <w:spacing w:after="0"/>
              <w:rPr>
                <w:sz w:val="20"/>
                <w:szCs w:val="20"/>
                <w:color w:val="auto"/>
              </w:rPr>
            </w:pPr>
            <w:r>
              <w:rPr>
                <w:rFonts w:ascii="Arial" w:cs="Arial" w:eastAsia="Arial" w:hAnsi="Arial"/>
                <w:sz w:val="18"/>
                <w:szCs w:val="18"/>
                <w:color w:val="auto"/>
              </w:rPr>
              <w:t>Restricted stock unit activity under the Plans was as follows for the nine months ended September 30, 2022:</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8"/>
        </w:trPr>
        <w:tc>
          <w:tcPr>
            <w:tcW w:w="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5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Number of Shares</w:t>
            </w:r>
          </w:p>
        </w:tc>
        <w:tc>
          <w:tcPr>
            <w:tcW w:w="10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2800" w:type="dxa"/>
            <w:vAlign w:val="bottom"/>
            <w:tcBorders>
              <w:bottom w:val="single" w:sz="8" w:color="CCEEFF"/>
            </w:tcBorders>
            <w:gridSpan w:val="2"/>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5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15,802,990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2800" w:type="dxa"/>
            <w:vAlign w:val="bottom"/>
            <w:gridSpan w:val="2"/>
          </w:tcPr>
          <w:p>
            <w:pPr>
              <w:spacing w:after="0"/>
              <w:rPr>
                <w:sz w:val="2"/>
                <w:szCs w:val="2"/>
                <w:color w:val="auto"/>
              </w:rPr>
            </w:pPr>
          </w:p>
        </w:tc>
        <w:tc>
          <w:tcPr>
            <w:tcW w:w="5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6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(631,925)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(68,772)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7"/>
        </w:trPr>
        <w:tc>
          <w:tcPr>
            <w:tcW w:w="2800" w:type="dxa"/>
            <w:vAlign w:val="bottom"/>
            <w:tcBorders>
              <w:bottom w:val="single" w:sz="8" w:color="CCEEFF"/>
            </w:tcBorders>
            <w:gridSpan w:val="2"/>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3"/>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September 30, 2022</w:t>
            </w: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15,102,293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500"/>
        <w:spacing w:after="0" w:line="311" w:lineRule="auto"/>
        <w:rPr>
          <w:sz w:val="20"/>
          <w:szCs w:val="20"/>
          <w:color w:val="auto"/>
        </w:rPr>
      </w:pPr>
      <w:r>
        <w:rPr>
          <w:rFonts w:ascii="Arial" w:cs="Arial" w:eastAsia="Arial" w:hAnsi="Arial"/>
          <w:sz w:val="16"/>
          <w:szCs w:val="16"/>
          <w:color w:val="auto"/>
        </w:rPr>
        <w:t>The Company assessed an accounting grant date on June 2, 2022 for the issuance of 2,310,000 RSUs, 870,000 Performance-Based RSUs and 770,000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spacing w:after="0" w:line="149"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color w:val="auto"/>
        </w:rPr>
        <w:t>The Company recorded stock-based compensation expense of $0.2 million related to Performance-Based RSUs during the three and nine months ended September 30, 2022. Unamortized expense related to Performance-Based RSUs was $7.3 million as of September 30, 2022.</w:t>
      </w:r>
    </w:p>
    <w:p>
      <w:pPr>
        <w:spacing w:after="0" w:line="14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assumptions under the Monte Carlo simulation model and the calculated fair value of the Market-Based RSUs granted to employees during the nine months ended September 30, 2022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96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7"/>
        </w:trPr>
        <w:tc>
          <w:tcPr>
            <w:tcW w:w="96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Drift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96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weighted average grant date fair value of the Market-Based RSUs was $3.91. The Company recorded $0.6 million in stock-based compensation expense related to Market-Based RSUs during the three and nine months ended September 30, 2022. Unamortized expense related to Market-Based RSUs was $3.0 million as of September 30, 2022.</w:t>
      </w:r>
    </w:p>
    <w:p>
      <w:pPr>
        <w:spacing w:after="0" w:line="184"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During the three and nine months ended September 30, 2022, the fair value of RSUs that vested was $2.7 million and $3.6 million, respectively. During the three and nine months ended September 30, 2022 the Company recorded $7.1 million and $11.6 million, respectively, of stock-based compensation related to RSUs. As of September 30, 2022, the unamortized expense related to RSUs was $56.8 million. The weighted average remaining amortization period over which the balance as of September 30, 2022 is to be amortized is 3.07 years. No income tax benefit was recognized for this compensation expense in the condensed consolidated statements of operations and comprehensive loss, as the Company does not anticipate realizing any such benefit in the future.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Employee Stock-Based Compensation</w:t>
      </w:r>
    </w:p>
    <w:p>
      <w:pPr>
        <w:spacing w:after="0" w:line="229"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condensed consolidated statements of operations and comprehensive loss for the nine month period ended September 30, 2022.</w:t>
      </w:r>
    </w:p>
    <w:p>
      <w:pPr>
        <w:spacing w:after="0" w:line="17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During the three and nine months ended September 30, 2022, the Company’s stock compensation expense was $9.2 million and $19.5 million, respectively, as compared to $1.3 million and $4.0 million for the three and nine months ended September 30, 2021, respectively. Stock-based compensation is classified in the following operating expense accounts on the condensed consolidated statements of operations and comprehensive loss for the three and nine months ended September 30, 2022 and 2021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5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0"/>
              </w:rPr>
              <w:t>September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7"/>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1,077</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4,668</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3,371</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7"/>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9,173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Aggregate non-cancelable future minimum lease payments under operating and finance leases were as follows as of September 30, 2022:</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Financing</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2023</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2025</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 value of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w w:val="92"/>
              </w:rPr>
              <w:t>The components of lease cost were as follows (in thousands):</w:t>
            </w:r>
          </w:p>
        </w:tc>
        <w:tc>
          <w:tcPr>
            <w:tcW w:w="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060" w:type="dxa"/>
            <w:vAlign w:val="bottom"/>
          </w:tcPr>
          <w:p>
            <w:pPr>
              <w:spacing w:after="0"/>
              <w:rPr>
                <w:sz w:val="24"/>
                <w:szCs w:val="24"/>
                <w:color w:val="auto"/>
              </w:rPr>
            </w:pPr>
          </w:p>
        </w:tc>
        <w:tc>
          <w:tcPr>
            <w:tcW w:w="258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6"/>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6"/>
          </w:tcPr>
          <w:p>
            <w:pPr>
              <w:jc w:val="right"/>
              <w:ind w:right="8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3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 cost: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Amortization of finance leased assets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623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of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513"/>
        </w:trPr>
        <w:tc>
          <w:tcPr>
            <w:tcW w:w="7640" w:type="dxa"/>
            <w:vAlign w:val="bottom"/>
            <w:gridSpan w:val="5"/>
          </w:tcPr>
          <w:p>
            <w:pPr>
              <w:ind w:left="500"/>
              <w:spacing w:after="0"/>
              <w:rPr>
                <w:sz w:val="20"/>
                <w:szCs w:val="20"/>
                <w:color w:val="auto"/>
              </w:rPr>
            </w:pPr>
            <w:r>
              <w:rPr>
                <w:rFonts w:ascii="Arial" w:cs="Arial" w:eastAsia="Arial" w:hAnsi="Arial"/>
                <w:sz w:val="18"/>
                <w:szCs w:val="18"/>
                <w:color w:val="auto"/>
                <w:w w:val="93"/>
              </w:rPr>
              <w:t>The table below presents additional information related to our leases as of September 30, 2022: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8"/>
          </w:tcPr>
          <w:p>
            <w:pPr>
              <w:ind w:left="20"/>
              <w:spacing w:after="0"/>
              <w:rPr>
                <w:sz w:val="20"/>
                <w:szCs w:val="20"/>
                <w:color w:val="auto"/>
              </w:rPr>
            </w:pPr>
            <w:r>
              <w:rPr>
                <w:rFonts w:ascii="Arial" w:cs="Arial" w:eastAsia="Arial" w:hAnsi="Arial"/>
                <w:sz w:val="18"/>
                <w:szCs w:val="18"/>
                <w:b w:val="1"/>
                <w:bCs w:val="1"/>
                <w:color w:val="auto"/>
              </w:rPr>
              <w:t>Operating Lease</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0"/>
              </w:rPr>
              <w:t>Financing Lease</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10.61 %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0"/>
        <w:spacing w:after="0" w:line="308" w:lineRule="auto"/>
        <w:rPr>
          <w:sz w:val="20"/>
          <w:szCs w:val="20"/>
          <w:color w:val="auto"/>
        </w:rPr>
      </w:pPr>
      <w:r>
        <w:rPr>
          <w:rFonts w:ascii="Arial" w:cs="Arial" w:eastAsia="Arial" w:hAnsi="Arial"/>
          <w:sz w:val="17"/>
          <w:szCs w:val="17"/>
          <w:color w:val="auto"/>
        </w:rPr>
        <w:t>The Company’s total rent expense for the three and nine months ended September 30, 2022 was $1.0 million and $2.9 million, respectively. The Company’s total rent expense for the three and nine months ended September 30, 2021 was $0.9 million and $2.9 million,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INCOME (EXPENSE), NET</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Other income (expense), net on the condensed consolidated statements of operations and comprehensive loss is comprised of the following for the three and nine months ended September 30, 2022 and 2021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5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0"/>
              </w:rPr>
              <w:t>September 30,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86"/>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Change in fair value of derivative and warrant liability</w:t>
            </w:r>
          </w:p>
        </w:tc>
        <w:tc>
          <w:tcPr>
            <w:tcW w:w="9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(2,478)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610"/>
              <w:spacing w:after="0"/>
              <w:rPr>
                <w:sz w:val="20"/>
                <w:szCs w:val="20"/>
                <w:color w:val="auto"/>
              </w:rPr>
            </w:pPr>
            <w:r>
              <w:rPr>
                <w:rFonts w:ascii="Arial" w:cs="Arial" w:eastAsia="Arial" w:hAnsi="Arial"/>
                <w:sz w:val="18"/>
                <w:szCs w:val="18"/>
                <w:color w:val="auto"/>
                <w:w w:val="95"/>
              </w:rPr>
              <w:t>(606)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95"/>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(2,738)</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center"/>
              <w:ind w:left="610"/>
              <w:spacing w:after="0"/>
              <w:rPr>
                <w:sz w:val="20"/>
                <w:szCs w:val="20"/>
                <w:color w:val="auto"/>
              </w:rPr>
            </w:pPr>
            <w:r>
              <w:rPr>
                <w:rFonts w:ascii="Arial" w:cs="Arial" w:eastAsia="Arial" w:hAnsi="Arial"/>
                <w:sz w:val="18"/>
                <w:szCs w:val="18"/>
                <w:color w:val="auto"/>
                <w:w w:val="95"/>
              </w:rPr>
              <w:t>(718)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PER SHARE</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for the three and nine months ended September 30,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Three Months Ended</w:t>
            </w:r>
          </w:p>
        </w:tc>
        <w:tc>
          <w:tcPr>
            <w:tcW w:w="340" w:type="dxa"/>
            <w:vAlign w:val="bottom"/>
          </w:tcPr>
          <w:p>
            <w:pPr>
              <w:spacing w:after="0"/>
              <w:rPr>
                <w:sz w:val="18"/>
                <w:szCs w:val="18"/>
                <w:color w:val="auto"/>
              </w:rPr>
            </w:pPr>
          </w:p>
        </w:tc>
        <w:tc>
          <w:tcPr>
            <w:tcW w:w="27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 thousands)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(57,693)</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 and dilutive</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9"/>
              </w:rPr>
              <w:t>197,006,980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67,718,940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9"/>
              </w:rPr>
              <w:t>143,338,517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67,021,176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2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For the three and nine months ended September 30, 2022 and 2021, the diluted earnings per share is equal to the basic earnings per share as the effect of potentially dilutive securities would have been antidilutive.</w:t>
      </w:r>
    </w:p>
    <w:p>
      <w:pPr>
        <w:spacing w:after="0" w:line="170" w:lineRule="exact"/>
        <w:rPr>
          <w:sz w:val="20"/>
          <w:szCs w:val="20"/>
          <w:color w:val="auto"/>
        </w:rPr>
      </w:pPr>
    </w:p>
    <w:p>
      <w:pPr>
        <w:ind w:left="500"/>
        <w:spacing w:after="0" w:line="308"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calculation of diluted earnings per share because their inclusion would have been anti-dilutive for the three and nine months ended September 30,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As of September 30,</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26,949,803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29,996,549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Restricted stock units (RSUs)</w:t>
            </w:r>
          </w:p>
        </w:tc>
        <w:tc>
          <w:tcPr>
            <w:tcW w:w="1480" w:type="dxa"/>
            <w:vAlign w:val="bottom"/>
          </w:tcPr>
          <w:p>
            <w:pPr>
              <w:jc w:val="right"/>
              <w:spacing w:after="0"/>
              <w:rPr>
                <w:sz w:val="20"/>
                <w:szCs w:val="20"/>
                <w:color w:val="auto"/>
              </w:rPr>
            </w:pPr>
            <w:r>
              <w:rPr>
                <w:rFonts w:ascii="Arial" w:cs="Arial" w:eastAsia="Arial" w:hAnsi="Arial"/>
                <w:sz w:val="18"/>
                <w:szCs w:val="18"/>
                <w:color w:val="auto"/>
              </w:rPr>
              <w:t>15,102,293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 warrants</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745,235</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3,665,996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1,063,214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106,303,970</w:t>
            </w:r>
          </w:p>
        </w:tc>
      </w:tr>
      <w:tr>
        <w:trPr>
          <w:trHeight w:val="264"/>
        </w:trPr>
        <w:tc>
          <w:tcPr>
            <w:tcW w:w="8180" w:type="dxa"/>
            <w:vAlign w:val="bottom"/>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45,718,092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138,108,968</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17. INCOME TAXES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6360" w:type="dxa"/>
            <w:vAlign w:val="bottom"/>
            <w:gridSpan w:val="4"/>
          </w:tcPr>
          <w:p>
            <w:pPr>
              <w:ind w:left="500"/>
              <w:spacing w:after="0"/>
              <w:rPr>
                <w:sz w:val="20"/>
                <w:szCs w:val="20"/>
                <w:color w:val="auto"/>
              </w:rPr>
            </w:pPr>
            <w:r>
              <w:rPr>
                <w:rFonts w:ascii="Arial" w:cs="Arial" w:eastAsia="Arial" w:hAnsi="Arial"/>
                <w:sz w:val="18"/>
                <w:szCs w:val="18"/>
                <w:color w:val="auto"/>
                <w:w w:val="99"/>
              </w:rPr>
              <w:t>The tax expense and the effective tax rate were as follows (in thousands):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8"/>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24"/>
                <w:szCs w:val="24"/>
                <w:color w:val="auto"/>
              </w:rPr>
            </w:pPr>
          </w:p>
        </w:tc>
        <w:tc>
          <w:tcPr>
            <w:tcW w:w="288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r>
      <w:tr>
        <w:trPr>
          <w:trHeight w:val="34"/>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0"/>
        </w:trPr>
        <w:tc>
          <w:tcPr>
            <w:tcW w:w="47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2021</w:t>
            </w: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(28,058)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(22,591)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(83,088)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(56,293)</w:t>
            </w:r>
          </w:p>
        </w:tc>
      </w:tr>
      <w:tr>
        <w:trPr>
          <w:trHeight w:val="250"/>
        </w:trPr>
        <w:tc>
          <w:tcPr>
            <w:tcW w:w="4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1,400</w:t>
            </w:r>
          </w:p>
        </w:tc>
      </w:tr>
      <w:tr>
        <w:trPr>
          <w:trHeight w:val="26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bl>
    <w:p>
      <w:pPr>
        <w:spacing w:after="0" w:line="29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2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us was reduced to less than 5%. Consequently, considering all aspects of our relationships with the companies, as of June 30, 2022, we no longer consider the companies related parties. Below we provide our disclosures for transactions with the companies through June 30, 2022.</w:t>
      </w:r>
    </w:p>
    <w:p>
      <w:pPr>
        <w:spacing w:after="0" w:line="188"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During the six months ended June 30, 2022, we recognized revenue from the companies of $5.2 million. During the three and nine months ended September 30, 2021, we recognized revenue from the companies of $1.6 million and $5.2 million, respectively. As of December 31, 2021, we had accounts receivable and deferred revenue balances related to the companies of $0.6 million and $15.2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Equity Line of Credit</w:t>
      </w:r>
    </w:p>
    <w:p>
      <w:pPr>
        <w:spacing w:after="0" w:line="22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As of November 14, 2022, the Company’s Registration Statement on Form S-1 registering the resale of the ELOC Shares had not yet been declared effective. If declared effective and certain other conditions are met permitting the Commencement (as defined in the Common Stock Purchase Agreement) of the offering, the Company expects to utilize proceeds from the ELOC for working capital and other general corporate purposes.</w:t>
      </w:r>
    </w:p>
    <w:p>
      <w:pPr>
        <w:spacing w:after="0" w:line="192"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After the Commencement, the Company will have the right from time to time at its sole discretion until the first day of the month next following the 36-month period from and after the Commencement, to direct CFPI to purchase up to a specified maximum amount of shares of Class A common stock as set forth in the Common Stock Purchase Agreement by delivering written notice to CFPI prior to the commencement of trading on any trading day. The Company will control the timing and amount of any sales of the Class A common stock to CFPI. Actual sales of shares to CFPI under the Common Stock Purchase Agreement will depend on a variety of factors to be determined by the Company from time to time, including, among other things, market conditions, and the trading price of the Common Stock.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spacing w:after="0" w:line="187" w:lineRule="exact"/>
        <w:rPr>
          <w:sz w:val="20"/>
          <w:szCs w:val="20"/>
          <w:color w:val="auto"/>
        </w:rPr>
      </w:pPr>
    </w:p>
    <w:p>
      <w:pPr>
        <w:jc w:val="both"/>
        <w:ind w:left="500"/>
        <w:spacing w:after="0" w:line="290" w:lineRule="auto"/>
        <w:rPr>
          <w:sz w:val="20"/>
          <w:szCs w:val="20"/>
          <w:color w:val="auto"/>
        </w:rPr>
      </w:pPr>
      <w:r>
        <w:rPr>
          <w:rFonts w:ascii="Arial" w:cs="Arial" w:eastAsia="Arial" w:hAnsi="Arial"/>
          <w:sz w:val="16"/>
          <w:szCs w:val="16"/>
          <w:color w:val="auto"/>
        </w:rPr>
        <w:t>In connection with the execution of the Common Stock Purchase Agreement, the Company issued CFPI 250,000 shares (the “Commitment Shares”) as consideration for its irrevocable commitment to purchase the shares upon the terms and subject to the satisfaction of the conditions set forth in the Common Stock Purchase Agreement. Pursuant to a separate side letter agreement between the Company and CFPI, the Company and CFPI have agreed that if the net proceeds with respect to Commitment Shares either sold by CFPI by the 121st day after Commencement, subject to an extension under certain circumstances (the “True-Up Date”), or held by CFPI on the True-Up Date (based on the closing price of the Class A common stock on the Nasdaq Global Market on the trading day immediately prior to the True-Up Date), in the aggregate, are less than $1.0 million, the Company will pay to CFPI the difference between $1.0 million and the applicable net proceeds. Alternatively, in the event that such net proceeds exceed $1.0 million, CFPI will pay to the Company the difference between the applicable net proceeds and $1.0 million.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ind w:right="140" w:firstLine="324"/>
        <w:spacing w:after="0" w:line="269"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operations of SoundHound should be read together with our unaudited interim condensed consolidated financial statements as of September 30, 2022 and for the three and nine month periods ended September 30, 2022 and 2021, together with related notes thereto, and our audited financial statements included in Form 8-K, which was originally filed with the SEC on May 2, 2022 and amended by Amendment No. 1 to Current Report on Form 8-K. Some of the information contained in this discussion and analysis or set forth elsewhere in this the Form 10-Q,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the Form 10-Q,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SoundHound’s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first three quarters of 2022, compared to the same period in 2021.</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partners span multiple industries and geographies, and together have a combined reach of over 2 billion end users.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$160.0 billion per year by 2026.</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4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ATSP Merger</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November 15, 2021, Archimedes Tech SPAC Partners Co. (“ATSP”), SoundHound, Inc. (“Legacy SoundHound”) and ATSPC Merger Sub, Inc. (“Merger Sub”) entered into a merger agreement (“Merger Agreement”) pursuant to which Merger Sub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the PIPE investment. Upon the Closing of the Business Combination, ATSP changed its name to SoundHound AI, Inc.</w:t>
      </w:r>
    </w:p>
    <w:p>
      <w:pPr>
        <w:spacing w:after="0" w:line="16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Cash proceeds of the Business Combination were funded through a combination of $5.4 million in cash held in trust by ATSP (following satisfaction of redemptions by public stockholders) with 532,050 shares of SoundHound AI Class A common stock remaining outstanding, and $113.0 million in aggregate gross proceeds from PIPE investors in exchange for 11,300,000 shares of SoundHound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Impact of the Business Combination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nine months ended September 30, 2021, the COVID-19 pandemic had an impact on our billings and revenue recognized from per unit royalties for Houndify Solutions and, although the impact during the three and nine months ended September 30, 2022 was not considered material, the extent of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Demands, Commitments, Events or Uncertainties Impacting Our Business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SoundHound believes that its performance and future success depend on many factors that present significant opportunities for us but also pose risks and challenges, including the following:</w:t>
      </w:r>
    </w:p>
    <w:p>
      <w:pPr>
        <w:spacing w:after="0" w:line="170" w:lineRule="exact"/>
        <w:rPr>
          <w:sz w:val="20"/>
          <w:szCs w:val="20"/>
          <w:color w:val="auto"/>
        </w:rPr>
      </w:pPr>
    </w:p>
    <w:p>
      <w:pPr>
        <w:jc w:val="both"/>
        <w:ind w:left="660" w:hanging="328"/>
        <w:spacing w:after="0" w:line="279"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Investments in Technology. </w:t>
      </w:r>
      <w:r>
        <w:rPr>
          <w:rFonts w:ascii="Arial" w:cs="Arial" w:eastAsia="Arial" w:hAnsi="Arial"/>
          <w:sz w:val="17"/>
          <w:szCs w:val="17"/>
          <w:color w:val="auto"/>
        </w:rPr>
        <w:t>Our business model since inception has been to invest significantly in our Houndify platform technology in the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71" w:lineRule="exact"/>
        <w:rPr>
          <w:rFonts w:ascii="Arial" w:cs="Arial" w:eastAsia="Arial" w:hAnsi="Arial"/>
          <w:sz w:val="17"/>
          <w:szCs w:val="17"/>
          <w:color w:val="auto"/>
        </w:rPr>
      </w:pPr>
    </w:p>
    <w:p>
      <w:pPr>
        <w:jc w:val="both"/>
        <w:ind w:left="660" w:hanging="328"/>
        <w:spacing w:after="0" w:line="25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Growth. </w:t>
      </w:r>
      <w:r>
        <w:rPr>
          <w:rFonts w:ascii="Arial" w:cs="Arial" w:eastAsia="Arial" w:hAnsi="Arial"/>
          <w:sz w:val="18"/>
          <w:szCs w:val="18"/>
          <w:color w:val="auto"/>
        </w:rPr>
        <w:t>Our commercial success, including acceptance and use of our applications, will depend on a number of factors, some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September 30, 2022 was at least 80%.</w:t>
      </w:r>
    </w:p>
    <w:p>
      <w:pPr>
        <w:spacing w:after="0" w:line="166" w:lineRule="exact"/>
        <w:rPr>
          <w:sz w:val="20"/>
          <w:szCs w:val="20"/>
          <w:color w:val="auto"/>
        </w:rPr>
      </w:pPr>
    </w:p>
    <w:p>
      <w:pPr>
        <w:jc w:val="both"/>
        <w:ind w:left="66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The results of our business will depend in part on our ability to establish and increase our gross margins by scaling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8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Seasonality. </w:t>
      </w:r>
      <w:r>
        <w:rPr>
          <w:rFonts w:ascii="Arial" w:cs="Arial" w:eastAsia="Arial" w:hAnsi="Arial"/>
          <w:sz w:val="17"/>
          <w:szCs w:val="17"/>
          <w:color w:val="auto"/>
        </w:rPr>
        <w:t>Our ability to accurately forecast demand for our technology could be negatively affected by many factors, including seasonal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International Markets. </w:t>
      </w:r>
      <w:r>
        <w:rPr>
          <w:rFonts w:ascii="Arial" w:cs="Arial" w:eastAsia="Arial" w:hAnsi="Arial"/>
          <w:sz w:val="18"/>
          <w:szCs w:val="18"/>
          <w:color w:val="auto"/>
        </w:rPr>
        <w:t>We have rapidly expanded our capabilities and global reach. We have globalized our solution from 1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languages, with a roadmap of 39 languages and 114 acoustic variations. We view opportunities for conversational Voice AI to be global in reach, and we expect our growth to be fueled across multiple geographies.</w:t>
      </w:r>
    </w:p>
    <w:p>
      <w:pPr>
        <w:spacing w:after="0" w:line="18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Industry Risks. </w:t>
      </w:r>
      <w:r>
        <w:rPr>
          <w:rFonts w:ascii="Arial" w:cs="Arial" w:eastAsia="Arial" w:hAnsi="Arial"/>
          <w:sz w:val="18"/>
          <w:szCs w:val="18"/>
          <w:color w:val="auto"/>
        </w:rPr>
        <w:t>In addition to the COVID-19 pandemic as addressed herein, the military conflict between Russia and Ukraine, which began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accompanying unaudited condensed consolidated financial statements were prepared in accordance with U.S. GAAP for the three and nine months ended September 30,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is shown in our music identification app — and, to a lesser extent, affiliate revenue for referrals to music stores for content sales and downloads of our premium music application.</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$23.4 million as of September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included within this Quarterly Report on Form 10-Q for more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a greater investment in go-to-market strategies and customer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research and development expenses are our largest operating expense as we continue to develop our software platforms and produce new technological capabilities.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and Warrant Liability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set forth the significant components of our results of operations for the three and nine months ended September 30, 2022 and 2021 ($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(27,008)</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(28,058)</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4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(28,922)</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13,623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98,283</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(76,655)</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(83,088)</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64"/>
        </w:trPr>
        <w:tc>
          <w:tcPr>
            <w:tcW w:w="4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(84,693)</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our revenues by type and geographic regions for the three and nine months ended September 30, 2022 and 2021 ($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498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11,186</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63"/>
        </w:trPr>
        <w:tc>
          <w:tcPr>
            <w:tcW w:w="49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1"/>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revenues increased by $7.2 million, or 178%, in the three months ended September 30, 2022 compared to the same period in 2021. The increase is primarily attributable to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increase in revenue is also due to a $1.7 million increase in hosted services during the three months ended September 30,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Total revenues increased by $5.6 million, or 35%, in the nine months ended September 30, 2022, compared to the same period in 2021. The increase is primarily attributable to the $5.3 million of Houndify Edge licensing revenue and a $3.0 million increase in hosted services partially offset by a $2.7 million decrease in professional services during the nine months ended September 30, 2022. The decrease in professional services is primarily due to the recognition of $4.3 million in nonrecurring royalties revenue as a result of a contract modification to end a distinct professional service contract prior to completion with a customer in Germany during the nine months ended September 30, 2021.</w:t>
      </w:r>
    </w:p>
    <w:p>
      <w:pPr>
        <w:spacing w:after="0" w:line="1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to the revenue growth experienced in Korea due to the $5.3 million Houndify Edge licensing agreement, we benefited from growth across the United States, France and other smaller foreign regions from scaling our Houndify Products with large automotive and device makers. We experienced additional revenue growth from Houndified Products in geographic regions of France and the United States of $0.1 million and $1.4 million, and $2.0 million and $2.3 million, respectively, during the three and nine months ended September 30, 2022 compared to the same periods in 2021. In France, our revenue increased due to distinct customization services sold to an existing large automotive company which also commenced production of our Houndified Product in their vehicles. In the United States, the increase is primarily attributable to an increase in royalties from one customer due to higher usage and hosting. Additionally, we experienced a $4.1 million decrease in revenue from Germany during the nine months ended September 30, 2022 compared to the same period in 2021. This was primarily due to a one-time contract modification to end a distinct professional service contract prior to completion during the nine months ended September 30, 2021. This customer was retained through ongoing hosting services. Revenue in both periods came principally from customers across the automotive and IoT sectors, with less significant amounts derived from other industry verticals.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Cost of revenues increased by $0.9 million, or 56%, and $2.0 million, or 40%, in the three and nine months ended September 30, 2022, respectively, compared to the same periods in 2021. The increases are primarily related to incurring additional data center and hosting costs due to system migrations in order to support our revenue growth. Gross margin increased to 77% during the three months ended September 30, 2022 compared to 59% during the same period in 2021 primarily due to increased margins on the Houndify Edge licensing agreement described above. Gross margin decreased to 68% during the nine months ended September 30, 2022 compared to 70% during the same period in 2021 primarily due to the one-time contract modification to end the distinct professional service contract prior to completion with a customer in Germany during the second quarter of 2021 offset by the increased margins on the Houndify Edge agreement described above. While our gross margin may continue to fluctuate in the near-term due to revenue contributions from varying product mixes, we expect it will stabilize as we continue to expand our revenue from subscriptions and monetization.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Research and development expenses increased by $5.0 million, or 35%, and $12.1 million, or 28%, in the three and nine months ended September 30, 2022, respectively, compared to the same periods in 2021. This increase in research and development expenses was primarily related to our investment in technology and engineering and increasing our full-time engineer headcount by to ensure we remain at the forefront of innovation, while also helping to develop and scale new products and services. Research and development headcount increased by 13% and was accompanied by higher salaries and compensation packages for executive hires as well as an additional $3.7 million and $6.1 million of stock-based compensation expense in the three and nine months ended September 30, 2022, respectively, compared to the same periods in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increased by $5.5 million, or 468%, and $10.4 million, or 318%, in the three and nine months ended September 30, 2022, respectively, compared to the same periods in 2021. This increase is due to a 184% increase in sales and marketing headcount and increased program spend to support a greater investment in go-to-market strategies and customer engagement and drive growth in our revenue from subscriptions and monetization.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costs increased by $5.6 million, or 138%, and $11.6 million, or 102%, in the three and nine months ended September 30, 2022, respectively, compared to the same periods in 2021. This increase represents investments in our human resources, finance and legal functions, including increased personnel-related expenses as we prepared and began to function as a public entity. General and administrative headcount increased by 83% and was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accompanied by higher salaries and compensation packages for executive hires as well as an additional $3.1 million and $7.7 million of stock-based compensation expense in the three and nine months ended September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during the nine months ended September 30, 2022.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expense decreased by $1.5 million, or 57%, in the three months ended September 30, 2022 compared to the same period in 2021. The decrease in interest expense was primarily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second quarter of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expense decreased by a nominal amount in the nine months ended September 30, 2022 compared to the same period in 2021. The decrease in interest expense was primarily attributable to the conversion of the SNAP June 2020 Note, as described above, and largely offset by the issuance of the SVB March 2021 Note and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nine months ended September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our other income (expense), net, by type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Change in fair value of derivative and warrant liability</w:t>
            </w:r>
          </w:p>
        </w:tc>
        <w:tc>
          <w:tcPr>
            <w:tcW w:w="9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(2,478)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496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(2,738)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100" w:type="dxa"/>
            <w:vAlign w:val="bottom"/>
            <w:gridSpan w:val="6"/>
          </w:tcPr>
          <w:p>
            <w:pPr>
              <w:ind w:left="74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6"/>
              </w:rPr>
              <w:t>225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Change in fair value of derivative and warrant liability</w:t>
            </w:r>
          </w:p>
        </w:tc>
        <w:tc>
          <w:tcPr>
            <w:tcW w:w="92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(606)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(337)</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980" w:type="dxa"/>
            <w:vAlign w:val="bottom"/>
          </w:tcPr>
          <w:p>
            <w:pPr>
              <w:spacing w:after="0"/>
              <w:rPr>
                <w:sz w:val="20"/>
                <w:szCs w:val="20"/>
                <w:color w:val="auto"/>
              </w:rPr>
            </w:pP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(718)</w:t>
            </w:r>
          </w:p>
        </w:tc>
        <w:tc>
          <w:tcPr>
            <w:tcW w:w="8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4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and Warrant Liability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losses attributable to the change in fair value of derivative and warrant liability decreased by $2.5 million, or 100%, and $3.2 million, or 84%, in the three and nine months ended September 30, 2022, respectively, compared to the same periods in 2021. The changes were primarily attributable to $1.8 million and $2.7 million in losses, from the change in fair value of the warrant liability during the three and nine months ended September 30, 2021, respectively, as compared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no change in the fair value of the warrant liability during the three and nine months ended September 30, 2022, due to the exercise of Series C Warrants in December 2021, which extinguished the Company’s corresponding warrant liability.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balance during the nine months ended September 30, 2022 solely reflects the change in fair value of the embedded derivative from the SNAP June 2020 Note. The fair value of the derivative liability decreased by $0.6 million during the nine months ended September 30, 2022, compared to decreases of $0.7 million and $1.1 million during the three and nine months ended September 30, 2021, respectively. The changes in fair value of the derivative liability represent corresponding gains or losses on the Condensed Consolidated Statement of Operations and Comprehensive Loss due to changes in probability assumptions of a change in control or SPAC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2"/>
        </w:trPr>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5"/>
          </w:tcPr>
          <w:p>
            <w:pPr>
              <w:ind w:left="14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4"/>
        </w:trPr>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1220" w:type="dxa"/>
            <w:vAlign w:val="bottom"/>
            <w:gridSpan w:val="3"/>
          </w:tcPr>
          <w:p>
            <w:pPr>
              <w:ind w:left="560"/>
              <w:spacing w:after="0"/>
              <w:rPr>
                <w:sz w:val="20"/>
                <w:szCs w:val="20"/>
                <w:color w:val="auto"/>
              </w:rPr>
            </w:pPr>
            <w:r>
              <w:rPr>
                <w:rFonts w:ascii="Arial" w:cs="Arial" w:eastAsia="Arial" w:hAnsi="Arial"/>
                <w:sz w:val="18"/>
                <w:szCs w:val="18"/>
                <w:b w:val="1"/>
                <w:bCs w:val="1"/>
                <w:color w:val="auto"/>
                <w:w w:val="96"/>
              </w:rPr>
              <w:t>Change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240" w:type="dxa"/>
            <w:vAlign w:val="bottom"/>
            <w:gridSpan w:val="3"/>
          </w:tcPr>
          <w:p>
            <w:pPr>
              <w:ind w:left="560"/>
              <w:spacing w:after="0"/>
              <w:rPr>
                <w:sz w:val="20"/>
                <w:szCs w:val="20"/>
                <w:color w:val="auto"/>
              </w:rPr>
            </w:pPr>
            <w:r>
              <w:rPr>
                <w:rFonts w:ascii="Arial" w:cs="Arial" w:eastAsia="Arial" w:hAnsi="Arial"/>
                <w:sz w:val="18"/>
                <w:szCs w:val="18"/>
                <w:b w:val="1"/>
                <w:bCs w:val="1"/>
                <w:color w:val="auto"/>
                <w:w w:val="99"/>
              </w:rPr>
              <w:t>Change</w:t>
            </w:r>
          </w:p>
        </w:tc>
        <w:tc>
          <w:tcPr>
            <w:tcW w:w="740" w:type="dxa"/>
            <w:vAlign w:val="bottom"/>
          </w:tcPr>
          <w:p>
            <w:pPr>
              <w:spacing w:after="0"/>
              <w:rPr>
                <w:sz w:val="20"/>
                <w:szCs w:val="20"/>
                <w:color w:val="auto"/>
              </w:rPr>
            </w:pPr>
          </w:p>
        </w:tc>
      </w:tr>
      <w:tr>
        <w:trPr>
          <w:trHeight w:val="27"/>
        </w:trPr>
        <w:tc>
          <w:tcPr>
            <w:tcW w:w="1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1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1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had $33.4 million in cash and cash equivalents as of September 30, 2022. Although the Company has incurred recurring losses each year since its inception, the Company expects it will be able to fund its operations for at least the next twelve months. The Company may seek additional funding through debt or equity financing arrangements (e.g., Equity Line of Credit ("ELOC") (see Note 19)),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 of Credit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As of November 14, 2022, the Company’s Registration Statement on Form S-1 registering the resale of the ELOC Shares had not yet been declared effective. If declared effective and certain other conditions are met permitting the Commencement (as defined in the Common Stock Purchase Agreement) of the offering, the Company expects to utilize proceeds from the ELOC for working capital and other general corporate purposes.</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After the Commencement, the Company will have the right from time to time at its sole discretion until the first day of the month next following the 36-month period from and after the Commencement, to direct CFPI to purchase up to a specified maximum amount of shares of Class A common stock as set forth in the Common Stock Purchase Agreement by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delivering written notice to CFPI prior to the commencement of trading on any trading day. The Company will control the timing and amount of any sales of the Class A common stock to CFPI. Actual sales of shares to CFPI under the Common Stock Purchase Agreement will depend on a variety of factors to be determined by the Company from time to time, including, among other things, market conditions, and the trading price of the Common Stock.</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execution of the Common Stock Purchase Agreement, the Company issued CFPI 250,000 shares (the “Commitment Shares”) as consideration for its irrevocable commitment to purchase the shares upon the terms and subject to the satisfaction of the conditions set forth in the Common Stock Purchase Agreement. Pursuant to a separate side letter agreement between the Company and CFPI, the Company and CFPI have agreed that if the net proceeds with respect to Commitment Shares either sold by CFPI by the 121st day after Commencement, subject to an extension under certain circumstances (the “True-Up Date”), or held by CFPI on the True-Up Date (based on the closing price of the Class A common stock on the Nasdaq Global Market on the trading day immediately prior to the True-Up Date), in the aggregate, are less than $1.0 million, the Company will pay to CFPI the difference between $1.0 million and the applicable net proceeds. Alternatively, in the event that such net proceeds exceed $1.0 million, CFPI will pay to the Company the difference between the applicable net proceeds and $1.0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included within this Quarterly Report on Form 10-Q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material debt agreements as of September 30, 2022:</w:t>
      </w:r>
    </w:p>
    <w:p>
      <w:pPr>
        <w:spacing w:after="0" w:line="225" w:lineRule="exact"/>
        <w:rPr>
          <w:sz w:val="20"/>
          <w:szCs w:val="20"/>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SVB March 2021 </w:t>
      </w:r>
      <w:r>
        <w:rPr>
          <w:rFonts w:ascii="Arial" w:cs="Arial" w:eastAsia="Arial" w:hAnsi="Arial"/>
          <w:sz w:val="18"/>
          <w:szCs w:val="18"/>
          <w:color w:val="auto"/>
        </w:rPr>
        <w:t>— In March 2021, we entered into a loan and security agreement with a commercial bank to borrow $30.0 million (“SVB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SCI June 2021 Note </w:t>
      </w:r>
      <w:r>
        <w:rPr>
          <w:rFonts w:ascii="Arial" w:cs="Arial" w:eastAsia="Arial" w:hAnsi="Arial"/>
          <w:sz w:val="18"/>
          <w:szCs w:val="18"/>
          <w:color w:val="auto"/>
        </w:rPr>
        <w:t>— In June 2021, we issued a note pursuant to a loan and security agreement with a lender to borrow up to a commitment</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$15.0 million in $5.0 million increments (“SCI June 2021 Note”). Through December 31, 2021, we had borrowed $15.0 million. The maturity date of the loan is May 31, 2025.</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9760" w:type="dxa"/>
            <w:vAlign w:val="bottom"/>
            <w:gridSpan w:val="4"/>
          </w:tcPr>
          <w:p>
            <w:pPr>
              <w:ind w:left="340"/>
              <w:spacing w:after="0"/>
              <w:rPr>
                <w:sz w:val="20"/>
                <w:szCs w:val="20"/>
                <w:color w:val="auto"/>
              </w:rPr>
            </w:pPr>
            <w:r>
              <w:rPr>
                <w:rFonts w:ascii="Arial" w:cs="Arial" w:eastAsia="Arial" w:hAnsi="Arial"/>
                <w:sz w:val="18"/>
                <w:szCs w:val="18"/>
                <w:color w:val="auto"/>
                <w:w w:val="98"/>
              </w:rPr>
              <w:t>The following table summarizes our cash flows for the nine months ended September 30, 2022 and 2021 (in thousands):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8"/>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(51,097)</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85,613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34,898</w:t>
            </w:r>
          </w:p>
        </w:tc>
      </w:tr>
      <w:tr>
        <w:trPr>
          <w:trHeight w:val="237"/>
        </w:trPr>
        <w:tc>
          <w:tcPr>
            <w:tcW w:w="81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(16,433)</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operating activities was $73.6 million during the nine months ended September 30, 2022 compared to $51.1 million during the nine months ended September 30, 2021. The $22.5 million increase in cash used in operating activities was primarily due to our increased net loss, adjusted for non-cash expenses, including stock-based compensation and depreciation and amortization, as well as an increase in our contract assets balance of $6.0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Net cash used in investing activities was $1.2 million during the nine months ended September 30, 2022 compared to $0.2 million during the nine months ended September 30, 2021. The $1.0 million increase in cash used in investing activities was driven by purchases of property and equipment.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Net cash provided by financing activities was $85.6 million during the nine months ended September 30, 2022 compared to $34.9 million during the nine months ended September 30, 2021. The $50.7 million increase in cash provided by financing activities was primarily due to the $90.7 million in net proceeds from the Business Combination and a $1.7 million increase in proceeds from common stock options exercised during the nine months ended September 30, 2022. This was partially offset by net proceeds of $34.9 million from the issuance of the SVB March 2021 Note and the SCI June 2021 Note during the nine months ended September 30, 2021 and payments on our notes payable of $7.5 million during the nine months ended September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have no material changes to our commitments and contingencies as of September 30, 2022 as disclosed in the contractual obligations and commitment section in our audited consolidated financial statements as of December 31, 2021 included within our Form S-1/A.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unaudited condensed consolidated financial statements included elsewhere in the Form 10-Q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 discussion of our critical accounting policies, see “Management’s discussion and analysis of financial condition and results of operations of SoundHound” in our most recently filed Form S-1/A, and the notes to the consolidated financial statements appearing in the Form S-1/A as of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Rule 13a-15(b) under the Securities Exchange Act of 1934 (“Exchange Act”), our management carried out an evaluation, with the participation of our Chief Executive Officer (“CEO”) and Chief Financial Officer (“CFO”), of the effectiveness of our disclosure controls and procedures (as defined under Rule 13a-15(e) under the Exchange Act) as of the end of the period covered by this report. Based upon that evaluation, our CEO and CFO concluded that our disclosure controls and procedures as of September 30, 2022 are effective to ensure that information required to be disclosed by us in the reports that we file or submit under the Exchange Act, was recorded, processed, summarized and reported, within the time periods specified in the SEC’s rules and forms, and that such information is accumulated and communicated to our management, including our CEO and CFO, to allow timely decisions regarding required disclosure.</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designing and evaluating our disclosure controls and procedures, our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this evaluation, the CEO and CFO have concluded that, as of the end of the period covered by this report, the Company’s disclosure controls and procedures were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There has not been any change in our internal control over financial reporting (as defined in Rules 13a-15(f) and 15d-15(f) of the Exchange Act) that occurred during our fiscal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not a party to any material pending legal proceedings, nor are we aware of any pending litigation or legal proceeding against us that would have a material adverse effect upon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 required for smaller reporting companies. However, as of the date of this Quarterly Report, there have been no material changes to the risk factors disclosed in our current report on Form 8-K, which was originally filed with the SEC on May 2, 2022 and amended by Amendment No. 1 to Current Report on Form 8-K.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sales of equity securities during the period covered by this Quarterly Report that were not either registered under the Securities Act or were not previously reported in a Quarterly Report on Form 10-Q or a Current Report on Form 8-K filed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No.</w:t>
            </w:r>
          </w:p>
        </w:tc>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420" w:type="dxa"/>
            <w:vAlign w:val="bottom"/>
            <w:gridSpan w:val="6"/>
          </w:tcPr>
          <w:p>
            <w:pPr>
              <w:ind w:left="18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6"/>
        </w:trPr>
        <w:tc>
          <w:tcPr>
            <w:tcW w:w="166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31.1*</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040" w:type="dxa"/>
            <w:vAlign w:val="bottom"/>
            <w:tcBorders>
              <w:bottom w:val="single" w:sz="8" w:color="0000FF"/>
            </w:tcBorders>
            <w:gridSpan w:val="6"/>
            <w:shd w:val="clear" w:color="auto" w:fill="CCEEFF"/>
          </w:tcPr>
          <w:p>
            <w:pPr>
              <w:spacing w:after="0" w:line="196" w:lineRule="exact"/>
              <w:rPr>
                <w:sz w:val="20"/>
                <w:szCs w:val="20"/>
                <w:color w:val="auto"/>
              </w:rPr>
            </w:pPr>
            <w:r>
              <w:rPr>
                <w:rFonts w:ascii="Arial" w:cs="Arial" w:eastAsia="Arial" w:hAnsi="Arial"/>
                <w:sz w:val="18"/>
                <w:szCs w:val="18"/>
                <w:color w:val="0000FF"/>
                <w:w w:val="91"/>
              </w:rPr>
              <w:t>Certification of Principal Executive Officer Pursuant to Securities Exchange Act Rules 13a-14(a) and 15(d)-14(a), as adopted</w:t>
            </w:r>
          </w:p>
        </w:tc>
        <w:tc>
          <w:tcPr>
            <w:tcW w:w="440" w:type="dxa"/>
            <w:vAlign w:val="bottom"/>
            <w:tcBorders>
              <w:bottom w:val="single" w:sz="8" w:color="CCEEFF"/>
            </w:tcBorders>
            <w:shd w:val="clear" w:color="auto" w:fill="CCEEFF"/>
          </w:tcPr>
          <w:p>
            <w:pPr>
              <w:spacing w:after="0"/>
              <w:rPr>
                <w:sz w:val="17"/>
                <w:szCs w:val="17"/>
                <w:color w:val="auto"/>
              </w:rPr>
            </w:pPr>
          </w:p>
        </w:tc>
      </w:tr>
      <w:tr>
        <w:trPr>
          <w:trHeight w:val="244"/>
        </w:trPr>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0000FF"/>
            </w:tcBorders>
            <w:gridSpan w:val="2"/>
            <w:shd w:val="clear" w:color="auto" w:fill="CCEEFF"/>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5200" w:type="dxa"/>
            <w:vAlign w:val="bottom"/>
            <w:tcBorders>
              <w:bottom w:val="single" w:sz="8" w:color="CCEEFF"/>
            </w:tcBorders>
            <w:gridSpan w:val="5"/>
            <w:shd w:val="clear" w:color="auto" w:fill="CCEEFF"/>
          </w:tcPr>
          <w:p>
            <w:pPr>
              <w:spacing w:after="0"/>
              <w:rPr>
                <w:sz w:val="21"/>
                <w:szCs w:val="21"/>
                <w:color w:val="auto"/>
              </w:rPr>
            </w:pPr>
          </w:p>
        </w:tc>
      </w:tr>
      <w:tr>
        <w:trPr>
          <w:trHeight w:val="202"/>
        </w:trPr>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7"/>
          </w:tcPr>
          <w:p>
            <w:pPr>
              <w:spacing w:after="0" w:line="202" w:lineRule="exact"/>
              <w:rPr>
                <w:sz w:val="20"/>
                <w:szCs w:val="20"/>
                <w:color w:val="auto"/>
              </w:rPr>
            </w:pPr>
            <w:r>
              <w:rPr>
                <w:rFonts w:ascii="Arial" w:cs="Arial" w:eastAsia="Arial" w:hAnsi="Arial"/>
                <w:sz w:val="18"/>
                <w:szCs w:val="18"/>
                <w:color w:val="0000FF"/>
                <w:w w:val="96"/>
              </w:rPr>
              <w:t>Certification of Principal Financial Officer Pursuant to Securities Exchange Act Rules 13a-14(a) and 15(d)-14(a), as adopted</w:t>
            </w:r>
          </w:p>
        </w:tc>
      </w:tr>
      <w:tr>
        <w:trPr>
          <w:trHeight w:val="196"/>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c>
          <w:tcPr>
            <w:tcW w:w="500" w:type="dxa"/>
            <w:vAlign w:val="bottom"/>
            <w:gridSpan w:val="2"/>
          </w:tcPr>
          <w:p>
            <w:pPr>
              <w:spacing w:after="0"/>
              <w:rPr>
                <w:sz w:val="17"/>
                <w:szCs w:val="17"/>
                <w:color w:val="auto"/>
              </w:rPr>
            </w:pPr>
          </w:p>
        </w:tc>
      </w:tr>
      <w:tr>
        <w:trPr>
          <w:trHeight w:val="48"/>
        </w:trPr>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2220" w:type="dxa"/>
            <w:vAlign w:val="bottom"/>
            <w:tcBorders>
              <w:top w:val="single" w:sz="8" w:color="0000FF"/>
            </w:tcBorders>
          </w:tcPr>
          <w:p>
            <w:pPr>
              <w:spacing w:after="0"/>
              <w:rPr>
                <w:sz w:val="4"/>
                <w:szCs w:val="4"/>
                <w:color w:val="auto"/>
              </w:rPr>
            </w:pPr>
          </w:p>
        </w:tc>
        <w:tc>
          <w:tcPr>
            <w:tcW w:w="4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03"/>
        </w:trPr>
        <w:tc>
          <w:tcPr>
            <w:tcW w:w="1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8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0000FF"/>
                <w:w w:val="97"/>
              </w:rPr>
              <w:t>Certification of Principal Executive Officer Pursuant to 18 U.S.C. Section 1350, as adopted Pursuant to Section 906 of the</w:t>
            </w:r>
          </w:p>
        </w:tc>
      </w:tr>
      <w:tr>
        <w:trPr>
          <w:trHeight w:val="196"/>
        </w:trPr>
        <w:tc>
          <w:tcPr>
            <w:tcW w:w="1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800" w:type="dxa"/>
            <w:vAlign w:val="bottom"/>
            <w:tcBorders>
              <w:top w:val="single" w:sz="8" w:color="0000FF"/>
            </w:tcBorders>
            <w:gridSpan w:val="4"/>
            <w:shd w:val="clear" w:color="auto" w:fill="CCEEFF"/>
          </w:tcPr>
          <w:p>
            <w:pPr>
              <w:spacing w:after="0" w:line="196" w:lineRule="exact"/>
              <w:rPr>
                <w:sz w:val="20"/>
                <w:szCs w:val="20"/>
                <w:color w:val="auto"/>
              </w:rPr>
            </w:pPr>
            <w:r>
              <w:rPr>
                <w:rFonts w:ascii="Arial" w:cs="Arial" w:eastAsia="Arial" w:hAnsi="Arial"/>
                <w:sz w:val="18"/>
                <w:szCs w:val="18"/>
                <w:color w:val="0000FF"/>
              </w:rPr>
              <w:t>Sarbanes-Oxley Act of 2002</w:t>
            </w:r>
          </w:p>
        </w:tc>
        <w:tc>
          <w:tcPr>
            <w:tcW w:w="680" w:type="dxa"/>
            <w:vAlign w:val="bottom"/>
            <w:tcBorders>
              <w:top w:val="single" w:sz="8" w:color="CCEEFF"/>
            </w:tcBorders>
            <w:gridSpan w:val="3"/>
            <w:shd w:val="clear" w:color="auto" w:fill="CCEEFF"/>
          </w:tcPr>
          <w:p>
            <w:pPr>
              <w:spacing w:after="0"/>
              <w:rPr>
                <w:sz w:val="17"/>
                <w:szCs w:val="17"/>
                <w:color w:val="auto"/>
              </w:rPr>
            </w:pPr>
          </w:p>
        </w:tc>
      </w:tr>
      <w:tr>
        <w:trPr>
          <w:trHeight w:val="48"/>
        </w:trPr>
        <w:tc>
          <w:tcPr>
            <w:tcW w:w="1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0000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4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r>
      <w:tr>
        <w:trPr>
          <w:trHeight w:val="202"/>
        </w:trPr>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FF"/>
            </w:tcBorders>
            <w:gridSpan w:val="3"/>
          </w:tcPr>
          <w:p>
            <w:pPr>
              <w:spacing w:after="0" w:line="202" w:lineRule="exact"/>
              <w:rPr>
                <w:sz w:val="20"/>
                <w:szCs w:val="20"/>
                <w:color w:val="auto"/>
              </w:rPr>
            </w:pPr>
            <w:r>
              <w:rPr>
                <w:rFonts w:ascii="Arial" w:cs="Arial" w:eastAsia="Arial" w:hAnsi="Arial"/>
                <w:sz w:val="18"/>
                <w:szCs w:val="18"/>
                <w:color w:val="0000FF"/>
                <w:w w:val="90"/>
              </w:rPr>
              <w:t>Certification of Principal Financial Officer Pursuant to 18 U.S.C. Section 1350, as adopted Pursuant to Section 906 of the</w:t>
            </w:r>
          </w:p>
        </w:tc>
        <w:tc>
          <w:tcPr>
            <w:tcW w:w="720" w:type="dxa"/>
            <w:vAlign w:val="bottom"/>
            <w:gridSpan w:val="4"/>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7"/>
          </w:tcPr>
          <w:p>
            <w:pPr>
              <w:spacing w:after="0" w:line="196" w:lineRule="exact"/>
              <w:rPr>
                <w:sz w:val="20"/>
                <w:szCs w:val="20"/>
                <w:color w:val="auto"/>
              </w:rPr>
            </w:pPr>
            <w:r>
              <w:rPr>
                <w:rFonts w:ascii="Arial" w:cs="Arial" w:eastAsia="Arial" w:hAnsi="Arial"/>
                <w:sz w:val="18"/>
                <w:szCs w:val="18"/>
                <w:color w:val="0000FF"/>
              </w:rPr>
              <w:t>Sarbanes-Oxley Act of 2002</w:t>
            </w:r>
          </w:p>
        </w:tc>
      </w:tr>
      <w:tr>
        <w:trPr>
          <w:trHeight w:val="48"/>
        </w:trPr>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22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101.INS*</w:t>
            </w:r>
          </w:p>
        </w:tc>
        <w:tc>
          <w:tcPr>
            <w:tcW w:w="2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43"/>
        </w:trPr>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101.SCH*</w:t>
            </w:r>
          </w:p>
        </w:tc>
        <w:tc>
          <w:tcPr>
            <w:tcW w:w="20" w:type="dxa"/>
            <w:vAlign w:val="bottom"/>
          </w:tcPr>
          <w:p>
            <w:pPr>
              <w:spacing w:after="0"/>
              <w:rPr>
                <w:sz w:val="21"/>
                <w:szCs w:val="21"/>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101.CAL*</w:t>
            </w:r>
          </w:p>
        </w:tc>
        <w:tc>
          <w:tcPr>
            <w:tcW w:w="2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1"/>
                <w:szCs w:val="21"/>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101.LAB*</w:t>
            </w:r>
          </w:p>
        </w:tc>
        <w:tc>
          <w:tcPr>
            <w:tcW w:w="2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101.PRE*</w:t>
            </w:r>
          </w:p>
        </w:tc>
        <w:tc>
          <w:tcPr>
            <w:tcW w:w="20" w:type="dxa"/>
            <w:vAlign w:val="bottom"/>
          </w:tcPr>
          <w:p>
            <w:pPr>
              <w:spacing w:after="0"/>
              <w:rPr>
                <w:sz w:val="21"/>
                <w:szCs w:val="21"/>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4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7"/>
        </w:trPr>
        <w:tc>
          <w:tcPr>
            <w:tcW w:w="1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9880" w:firstLine="8"/>
        <w:spacing w:after="0" w:line="623" w:lineRule="auto"/>
        <w:tabs>
          <w:tab w:leader="none" w:pos="2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20" w:type="dxa"/>
            <w:vAlign w:val="bottom"/>
            <w:gridSpan w:val="2"/>
          </w:tcPr>
          <w:p>
            <w:pPr>
              <w:ind w:left="2080"/>
              <w:spacing w:after="0"/>
              <w:rPr>
                <w:sz w:val="20"/>
                <w:szCs w:val="20"/>
                <w:color w:val="auto"/>
              </w:rPr>
            </w:pPr>
            <w:r>
              <w:rPr>
                <w:rFonts w:ascii="Arial" w:cs="Arial" w:eastAsia="Arial" w:hAnsi="Arial"/>
                <w:sz w:val="18"/>
                <w:szCs w:val="18"/>
                <w:b w:val="1"/>
                <w:bCs w:val="1"/>
                <w:color w:val="auto"/>
              </w:rPr>
              <w:t>SOUNDHOUND AI, INC</w:t>
            </w:r>
          </w:p>
        </w:tc>
      </w:tr>
      <w:tr>
        <w:trPr>
          <w:trHeight w:val="540"/>
        </w:trPr>
        <w:tc>
          <w:tcPr>
            <w:tcW w:w="3700" w:type="dxa"/>
            <w:vAlign w:val="bottom"/>
          </w:tcPr>
          <w:p>
            <w:pPr>
              <w:spacing w:after="0"/>
              <w:rPr>
                <w:sz w:val="20"/>
                <w:szCs w:val="20"/>
                <w:color w:val="auto"/>
              </w:rPr>
            </w:pPr>
            <w:r>
              <w:rPr>
                <w:rFonts w:ascii="Arial" w:cs="Arial" w:eastAsia="Arial" w:hAnsi="Arial"/>
                <w:sz w:val="18"/>
                <w:szCs w:val="18"/>
                <w:color w:val="auto"/>
              </w:rPr>
              <w:t>Date: November 14, 2022</w:t>
            </w:r>
          </w:p>
        </w:tc>
        <w:tc>
          <w:tcPr>
            <w:tcW w:w="2980" w:type="dxa"/>
            <w:vAlign w:val="bottom"/>
          </w:tcPr>
          <w:p>
            <w:pPr>
              <w:ind w:left="2080"/>
              <w:spacing w:after="0"/>
              <w:rPr>
                <w:sz w:val="20"/>
                <w:szCs w:val="20"/>
                <w:color w:val="auto"/>
              </w:rPr>
            </w:pPr>
            <w:r>
              <w:rPr>
                <w:rFonts w:ascii="Arial" w:cs="Arial" w:eastAsia="Arial" w:hAnsi="Arial"/>
                <w:sz w:val="18"/>
                <w:szCs w:val="18"/>
                <w:color w:val="auto"/>
              </w:rPr>
              <w:t>By:</w:t>
            </w:r>
          </w:p>
        </w:tc>
        <w:tc>
          <w:tcPr>
            <w:tcW w:w="4540" w:type="dxa"/>
            <w:vAlign w:val="bottom"/>
          </w:tcPr>
          <w:p>
            <w:pPr>
              <w:spacing w:after="0"/>
              <w:rPr>
                <w:sz w:val="20"/>
                <w:szCs w:val="20"/>
                <w:color w:val="auto"/>
              </w:rPr>
            </w:pPr>
            <w:r>
              <w:rPr>
                <w:rFonts w:ascii="Arial" w:cs="Arial" w:eastAsia="Arial" w:hAnsi="Arial"/>
                <w:sz w:val="18"/>
                <w:szCs w:val="18"/>
                <w:color w:val="auto"/>
              </w:rPr>
              <w:t>/s/ Dr. Keyvan Mohajer</w:t>
            </w:r>
          </w:p>
        </w:tc>
      </w:tr>
      <w:tr>
        <w:trPr>
          <w:trHeight w:val="27"/>
        </w:trPr>
        <w:tc>
          <w:tcPr>
            <w:tcW w:w="3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Dr. Keyvan Mohajer</w:t>
            </w:r>
          </w:p>
        </w:tc>
      </w:tr>
      <w:tr>
        <w:trPr>
          <w:trHeight w:val="270"/>
        </w:trPr>
        <w:tc>
          <w:tcPr>
            <w:tcW w:w="3700" w:type="dxa"/>
            <w:vAlign w:val="bottom"/>
          </w:tcPr>
          <w:p>
            <w:pPr>
              <w:spacing w:after="0"/>
              <w:rPr>
                <w:sz w:val="23"/>
                <w:szCs w:val="23"/>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70"/>
        </w:trPr>
        <w:tc>
          <w:tcPr>
            <w:tcW w:w="37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700" w:type="dxa"/>
            <w:vAlign w:val="bottom"/>
          </w:tcPr>
          <w:p>
            <w:pPr>
              <w:spacing w:after="0"/>
              <w:rPr>
                <w:sz w:val="20"/>
                <w:szCs w:val="20"/>
                <w:color w:val="auto"/>
              </w:rPr>
            </w:pPr>
            <w:r>
              <w:rPr>
                <w:rFonts w:ascii="Arial" w:cs="Arial" w:eastAsia="Arial" w:hAnsi="Arial"/>
                <w:sz w:val="18"/>
                <w:szCs w:val="18"/>
                <w:color w:val="auto"/>
              </w:rPr>
              <w:t>Date: November 14, 2022</w:t>
            </w:r>
          </w:p>
        </w:tc>
        <w:tc>
          <w:tcPr>
            <w:tcW w:w="2980" w:type="dxa"/>
            <w:vAlign w:val="bottom"/>
          </w:tcPr>
          <w:p>
            <w:pPr>
              <w:ind w:left="2080"/>
              <w:spacing w:after="0"/>
              <w:rPr>
                <w:sz w:val="20"/>
                <w:szCs w:val="20"/>
                <w:color w:val="auto"/>
              </w:rPr>
            </w:pPr>
            <w:r>
              <w:rPr>
                <w:rFonts w:ascii="Arial" w:cs="Arial" w:eastAsia="Arial" w:hAnsi="Arial"/>
                <w:sz w:val="18"/>
                <w:szCs w:val="18"/>
                <w:color w:val="auto"/>
              </w:rPr>
              <w:t>By:</w:t>
            </w:r>
          </w:p>
        </w:tc>
        <w:tc>
          <w:tcPr>
            <w:tcW w:w="4540" w:type="dxa"/>
            <w:vAlign w:val="bottom"/>
          </w:tcPr>
          <w:p>
            <w:pPr>
              <w:spacing w:after="0"/>
              <w:rPr>
                <w:sz w:val="20"/>
                <w:szCs w:val="20"/>
                <w:color w:val="auto"/>
              </w:rPr>
            </w:pPr>
            <w:r>
              <w:rPr>
                <w:rFonts w:ascii="Arial" w:cs="Arial" w:eastAsia="Arial" w:hAnsi="Arial"/>
                <w:sz w:val="18"/>
                <w:szCs w:val="18"/>
                <w:color w:val="auto"/>
              </w:rPr>
              <w:t>/s/ Nitesh Sharan</w:t>
            </w:r>
          </w:p>
        </w:tc>
      </w:tr>
      <w:tr>
        <w:trPr>
          <w:trHeight w:val="27"/>
        </w:trPr>
        <w:tc>
          <w:tcPr>
            <w:tcW w:w="3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Nitesh Sharan</w:t>
            </w:r>
          </w:p>
        </w:tc>
      </w:tr>
      <w:tr>
        <w:trPr>
          <w:trHeight w:val="270"/>
        </w:trPr>
        <w:tc>
          <w:tcPr>
            <w:tcW w:w="3700" w:type="dxa"/>
            <w:vAlign w:val="bottom"/>
          </w:tcPr>
          <w:p>
            <w:pPr>
              <w:spacing w:after="0"/>
              <w:rPr>
                <w:sz w:val="23"/>
                <w:szCs w:val="23"/>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37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932"/>
        </w:trPr>
        <w:tc>
          <w:tcPr>
            <w:tcW w:w="3700" w:type="dxa"/>
            <w:vAlign w:val="bottom"/>
          </w:tcPr>
          <w:p>
            <w:pPr>
              <w:spacing w:after="0"/>
              <w:rPr>
                <w:sz w:val="24"/>
                <w:szCs w:val="24"/>
                <w:color w:val="auto"/>
              </w:rPr>
            </w:pPr>
          </w:p>
        </w:tc>
        <w:tc>
          <w:tcPr>
            <w:tcW w:w="2980" w:type="dxa"/>
            <w:vAlign w:val="bottom"/>
          </w:tcPr>
          <w:p>
            <w:pPr>
              <w:ind w:left="1820"/>
              <w:spacing w:after="0"/>
              <w:rPr>
                <w:sz w:val="20"/>
                <w:szCs w:val="20"/>
                <w:color w:val="auto"/>
              </w:rPr>
            </w:pPr>
            <w:r>
              <w:rPr>
                <w:rFonts w:ascii="Arial" w:cs="Arial" w:eastAsia="Arial" w:hAnsi="Arial"/>
                <w:sz w:val="18"/>
                <w:szCs w:val="18"/>
                <w:color w:val="auto"/>
              </w:rPr>
              <w:t>60</w:t>
            </w:r>
          </w:p>
        </w:tc>
        <w:tc>
          <w:tcPr>
            <w:tcW w:w="45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Dr. Keyvan Mohajer,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SoundHound AI,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77"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 w:hanging="324"/>
        <w:spacing w:after="0" w:line="308" w:lineRule="auto"/>
        <w:tabs>
          <w:tab w:leader="none" w:pos="977"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November 14, 2022</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Dr. Keyvan Mohajer</w:t>
            </w:r>
          </w:p>
        </w:tc>
      </w:tr>
      <w:tr>
        <w:trPr>
          <w:trHeight w:val="243"/>
        </w:trPr>
        <w:tc>
          <w:tcPr>
            <w:tcW w:w="6740" w:type="dxa"/>
            <w:vAlign w:val="bottom"/>
          </w:tcPr>
          <w:p>
            <w:pPr>
              <w:ind w:left="6020"/>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Dr. Keyvan Mohajer</w:t>
            </w:r>
          </w:p>
        </w:tc>
      </w:tr>
      <w:tr>
        <w:trPr>
          <w:trHeight w:val="257"/>
        </w:trPr>
        <w:tc>
          <w:tcPr>
            <w:tcW w:w="6740" w:type="dxa"/>
            <w:vAlign w:val="bottom"/>
          </w:tcPr>
          <w:p>
            <w:pPr>
              <w:ind w:left="602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56"/>
        </w:trPr>
        <w:tc>
          <w:tcPr>
            <w:tcW w:w="674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4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Nitesh Sharan,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SoundHound AI,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77"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 w:hanging="324"/>
        <w:spacing w:after="0" w:line="308" w:lineRule="auto"/>
        <w:tabs>
          <w:tab w:leader="none" w:pos="977"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November 14, 2022</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Nitesh Sharan</w:t>
            </w:r>
          </w:p>
        </w:tc>
      </w:tr>
      <w:tr>
        <w:trPr>
          <w:trHeight w:val="243"/>
        </w:trPr>
        <w:tc>
          <w:tcPr>
            <w:tcW w:w="6740" w:type="dxa"/>
            <w:vAlign w:val="bottom"/>
          </w:tcPr>
          <w:p>
            <w:pPr>
              <w:ind w:left="6020"/>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Nitesh Sharan</w:t>
            </w:r>
          </w:p>
        </w:tc>
      </w:tr>
      <w:tr>
        <w:trPr>
          <w:trHeight w:val="257"/>
        </w:trPr>
        <w:tc>
          <w:tcPr>
            <w:tcW w:w="6740" w:type="dxa"/>
            <w:vAlign w:val="bottom"/>
          </w:tcPr>
          <w:p>
            <w:pPr>
              <w:ind w:left="602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56"/>
        </w:trPr>
        <w:tc>
          <w:tcPr>
            <w:tcW w:w="674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4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SoundHound AI, Inc. (the “Company’s Quarterly Report”) on Form 10-Q for the period ended September 30, 2022,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261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Keyvan Mohajer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Principal Executive Officer</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14, 2022</w:t>
      </w: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4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SoundHound AI, Inc. (the “Company’s Quarterly Report”) on Form 10-Q for the period ended September 30, 2022,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261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Nitesh Sharan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Principal Financial Officer</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14, 2022</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4"/>
    </w:lvl>
  </w:abstractNum>
  <w:abstractNum w:abstractNumId="7">
    <w:nsid w:val="109CF92E"/>
    <w:multiLevelType w:val="hybridMultilevel"/>
    <w:lvl w:ilvl="0">
      <w:lvlJc w:val="left"/>
      <w:lvlText w:val="\emdash "/>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2022-11-14T18:53:58Z</dcterms:created>
  <dcterms:modified xsi:type="dcterms:W3CDTF">2022-11-14T18:53:58Z</dcterms:modified>
</cp:coreProperties>
</file>