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12529"/>
        </w:rPr>
        <w:t>FORM 8-K</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212529"/>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 xml:space="preserve">Date of Report (Date of earliest event reported): </w:t>
      </w:r>
      <w:r>
        <w:rPr>
          <w:rFonts w:ascii="Arial" w:cs="Arial" w:eastAsia="Arial" w:hAnsi="Arial"/>
          <w:sz w:val="18"/>
          <w:szCs w:val="18"/>
          <w:b w:val="1"/>
          <w:bCs w:val="1"/>
          <w:color w:val="212529"/>
        </w:rPr>
        <w:t>March 7, 2023</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SOUNDHOUND AI,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85-1286799</w:t>
            </w:r>
          </w:p>
        </w:tc>
      </w:tr>
      <w:tr>
        <w:trPr>
          <w:trHeight w:val="182"/>
        </w:trPr>
        <w:tc>
          <w:tcPr>
            <w:tcW w:w="37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82" w:lineRule="exact"/>
              <w:rPr>
                <w:sz w:val="20"/>
                <w:szCs w:val="20"/>
                <w:color w:val="auto"/>
              </w:rPr>
            </w:pPr>
            <w:r>
              <w:rPr>
                <w:rFonts w:ascii="Arial" w:cs="Arial" w:eastAsia="Arial" w:hAnsi="Arial"/>
                <w:sz w:val="18"/>
                <w:szCs w:val="18"/>
                <w:color w:val="auto"/>
                <w:w w:val="93"/>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of incorporation)</w:t>
            </w:r>
          </w:p>
        </w:tc>
        <w:tc>
          <w:tcPr>
            <w:tcW w:w="29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Number)</w:t>
            </w: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6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b w:val="1"/>
                <w:bCs w:val="1"/>
                <w:color w:val="auto"/>
              </w:rPr>
              <w:t>95054</w:t>
            </w:r>
          </w:p>
        </w:tc>
      </w:tr>
      <w:tr>
        <w:trPr>
          <w:trHeight w:val="224"/>
        </w:trPr>
        <w:tc>
          <w:tcPr>
            <w:tcW w:w="46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(Former name or former address, if changed since last report)</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88"/>
        </w:trPr>
        <w:tc>
          <w:tcPr>
            <w:tcW w:w="46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1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SOUNW</w:t>
            </w:r>
          </w:p>
        </w:tc>
        <w:tc>
          <w:tcPr>
            <w:tcW w:w="4500" w:type="dxa"/>
            <w:vAlign w:val="bottom"/>
          </w:tcPr>
          <w:p>
            <w:pPr>
              <w:jc w:val="center"/>
              <w:spacing w:after="0" w:line="189" w:lineRule="exact"/>
              <w:rPr>
                <w:sz w:val="20"/>
                <w:szCs w:val="20"/>
                <w:color w:val="auto"/>
              </w:rPr>
            </w:pPr>
            <w:r>
              <w:rPr>
                <w:rFonts w:ascii="Arial" w:cs="Arial" w:eastAsia="Arial" w:hAnsi="Arial"/>
                <w:sz w:val="18"/>
                <w:szCs w:val="18"/>
                <w:color w:val="auto"/>
                <w:w w:val="91"/>
              </w:rPr>
              <w:t>The Nasdaq Stock Market LLC</w:t>
            </w:r>
          </w:p>
        </w:tc>
      </w:tr>
      <w:tr>
        <w:trPr>
          <w:trHeight w:val="176"/>
        </w:trPr>
        <w:tc>
          <w:tcPr>
            <w:tcW w:w="46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0"/>
        </w:trPr>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212529"/>
        </w:rPr>
        <w:t>Emerging growth company x</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2125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12529"/>
        </w:rPr>
        <w:t>On March 7, 2023, SoundHound AI, Inc. issued a press release announcing financial results and operational highlights for the fourth quarter ended December 31, 2022. A copy of the press release is furnished as Exhibit 99.1 to this current report on Form 8-K.</w:t>
      </w:r>
    </w:p>
    <w:p>
      <w:pPr>
        <w:spacing w:after="0" w:line="1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58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Arial" w:cs="Arial" w:eastAsia="Arial" w:hAnsi="Arial"/>
                <w:sz w:val="18"/>
                <w:szCs w:val="18"/>
                <w:color w:val="0000FF"/>
                <w:w w:val="87"/>
              </w:rPr>
              <w:t>Press Release, dated March 7, 2023</w:t>
            </w:r>
          </w:p>
        </w:tc>
        <w:tc>
          <w:tcPr>
            <w:tcW w:w="68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580"/>
              <w:spacing w:after="0"/>
              <w:rPr>
                <w:sz w:val="20"/>
                <w:szCs w:val="20"/>
                <w:color w:val="auto"/>
              </w:rPr>
            </w:pPr>
            <w:r>
              <w:rPr>
                <w:rFonts w:ascii="Arial" w:cs="Arial" w:eastAsia="Arial" w:hAnsi="Arial"/>
                <w:sz w:val="18"/>
                <w:szCs w:val="18"/>
                <w:color w:val="auto"/>
              </w:rPr>
              <w:t>2</w:t>
            </w: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6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320" w:type="dxa"/>
            <w:vAlign w:val="bottom"/>
          </w:tcPr>
          <w:p>
            <w:pPr>
              <w:spacing w:after="0"/>
              <w:rPr>
                <w:sz w:val="20"/>
                <w:szCs w:val="20"/>
                <w:color w:val="auto"/>
              </w:rPr>
            </w:pPr>
            <w:r>
              <w:rPr>
                <w:rFonts w:ascii="Arial" w:cs="Arial" w:eastAsia="Arial" w:hAnsi="Arial"/>
                <w:sz w:val="18"/>
                <w:szCs w:val="18"/>
                <w:color w:val="auto"/>
              </w:rPr>
              <w:t>Dated: March 7, 2023</w:t>
            </w:r>
          </w:p>
        </w:tc>
        <w:tc>
          <w:tcPr>
            <w:tcW w:w="7900" w:type="dxa"/>
            <w:vAlign w:val="bottom"/>
            <w:gridSpan w:val="3"/>
          </w:tcPr>
          <w:p>
            <w:pPr>
              <w:ind w:left="1740"/>
              <w:spacing w:after="0"/>
              <w:rPr>
                <w:sz w:val="20"/>
                <w:szCs w:val="20"/>
                <w:color w:val="auto"/>
              </w:rPr>
            </w:pPr>
            <w:r>
              <w:rPr>
                <w:rFonts w:ascii="Arial" w:cs="Arial" w:eastAsia="Arial" w:hAnsi="Arial"/>
                <w:sz w:val="18"/>
                <w:szCs w:val="18"/>
                <w:color w:val="auto"/>
              </w:rPr>
              <w:t>SoundHound AI, Inc.</w:t>
            </w:r>
          </w:p>
        </w:tc>
      </w:tr>
      <w:tr>
        <w:trPr>
          <w:trHeight w:val="473"/>
        </w:trPr>
        <w:tc>
          <w:tcPr>
            <w:tcW w:w="3320" w:type="dxa"/>
            <w:vAlign w:val="bottom"/>
          </w:tcPr>
          <w:p>
            <w:pPr>
              <w:spacing w:after="0"/>
              <w:rPr>
                <w:sz w:val="24"/>
                <w:szCs w:val="24"/>
                <w:color w:val="auto"/>
              </w:rPr>
            </w:pPr>
          </w:p>
        </w:tc>
        <w:tc>
          <w:tcPr>
            <w:tcW w:w="7900" w:type="dxa"/>
            <w:vAlign w:val="bottom"/>
            <w:gridSpan w:val="3"/>
          </w:tcPr>
          <w:p>
            <w:pPr>
              <w:ind w:left="1740"/>
              <w:spacing w:after="0"/>
              <w:rPr>
                <w:sz w:val="20"/>
                <w:szCs w:val="20"/>
                <w:color w:val="auto"/>
              </w:rPr>
            </w:pPr>
            <w:r>
              <w:rPr>
                <w:rFonts w:ascii="Arial" w:cs="Arial" w:eastAsia="Arial" w:hAnsi="Arial"/>
                <w:sz w:val="18"/>
                <w:szCs w:val="18"/>
                <w:color w:val="auto"/>
              </w:rPr>
              <w:t>By:  /s/ Keyvan Mohajer</w:t>
            </w:r>
          </w:p>
        </w:tc>
      </w:tr>
      <w:tr>
        <w:trPr>
          <w:trHeight w:val="222"/>
        </w:trPr>
        <w:tc>
          <w:tcPr>
            <w:tcW w:w="3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Keyvan Mohajer</w:t>
            </w:r>
          </w:p>
        </w:tc>
      </w:tr>
      <w:tr>
        <w:trPr>
          <w:trHeight w:val="230"/>
        </w:trPr>
        <w:tc>
          <w:tcPr>
            <w:tcW w:w="3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904"/>
        </w:trPr>
        <w:tc>
          <w:tcPr>
            <w:tcW w:w="3320" w:type="dxa"/>
            <w:vAlign w:val="bottom"/>
          </w:tcPr>
          <w:p>
            <w:pPr>
              <w:spacing w:after="0"/>
              <w:rPr>
                <w:sz w:val="24"/>
                <w:szCs w:val="24"/>
                <w:color w:val="auto"/>
              </w:rPr>
            </w:pPr>
          </w:p>
        </w:tc>
        <w:tc>
          <w:tcPr>
            <w:tcW w:w="282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highlight w:val="white"/>
        </w:rPr>
        <w:t>Exhibit 99.1</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SoundHound AI Reports Strong Q4 Revenue, Up 84% Year-Over-Year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Full Year 2022 Revenue of $31.1 Million at High End of Guidance; Company Expects to Grow Revenue by Approximately 50% in 2023</w:t>
      </w:r>
    </w:p>
    <w:p>
      <w:pPr>
        <w:spacing w:after="0" w:line="200" w:lineRule="exact"/>
        <w:rPr>
          <w:sz w:val="20"/>
          <w:szCs w:val="20"/>
          <w:color w:val="auto"/>
        </w:rPr>
      </w:pPr>
    </w:p>
    <w:p>
      <w:pPr>
        <w:spacing w:after="0" w:line="2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highlight w:val="white"/>
        </w:rPr>
        <w:t>SANTA CLARA, Calif.--(BUSINESS WIRE)--SoundHound AI, Inc. (Nasdaq: SOUN), a global leader in voice artificial intelligence, today reported its financial results for the fourth quarter and full year 2022.</w:t>
      </w:r>
    </w:p>
    <w:p>
      <w:pPr>
        <w:spacing w:after="0" w:line="197" w:lineRule="exact"/>
        <w:rPr>
          <w:sz w:val="20"/>
          <w:szCs w:val="20"/>
          <w:color w:val="auto"/>
        </w:rPr>
      </w:pPr>
    </w:p>
    <w:p>
      <w:pPr>
        <w:ind w:right="440"/>
        <w:spacing w:after="0" w:line="290" w:lineRule="auto"/>
        <w:rPr>
          <w:sz w:val="20"/>
          <w:szCs w:val="20"/>
          <w:color w:val="auto"/>
        </w:rPr>
      </w:pPr>
      <w:r>
        <w:rPr>
          <w:rFonts w:ascii="Arial" w:cs="Arial" w:eastAsia="Arial" w:hAnsi="Arial"/>
          <w:sz w:val="16"/>
          <w:szCs w:val="16"/>
          <w:i w:val="1"/>
          <w:iCs w:val="1"/>
          <w:color w:val="1D1C1D"/>
        </w:rPr>
        <w:t>Conversational AI is at a watershed moment and our proprietary Dynamic Interaction and Generative AI solutions are perfectly positioned. From electricity to telecommunications to internet search, each generation has established a new foundational capability to better serve society, and AI will catalyze this next horizon” said Keyvan Mohajer, Co-Founder and CEO of SoundHound. “Such a convergence of technological maturity and market demand is rare, and SoundHound, as a leading innovator of voice and conversational AI, is in a unique position to create tremendous value.”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Fourth Quarter and Full Year Financial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1D2228"/>
          <w:highlight w:val="white"/>
        </w:rPr>
      </w:pPr>
      <w:r>
        <w:rPr>
          <w:rFonts w:ascii="Arial" w:cs="Arial" w:eastAsia="Arial" w:hAnsi="Arial"/>
          <w:sz w:val="18"/>
          <w:szCs w:val="18"/>
          <w:color w:val="auto"/>
          <w:highlight w:val="white"/>
        </w:rPr>
        <w:t>Fourth quarter revenue was $9.5 million, an increase of 84% year-over-year</w:t>
      </w:r>
    </w:p>
    <w:p>
      <w:pPr>
        <w:spacing w:after="0" w:line="9" w:lineRule="exact"/>
        <w:rPr>
          <w:rFonts w:ascii="Arial" w:cs="Arial" w:eastAsia="Arial" w:hAnsi="Arial"/>
          <w:sz w:val="18"/>
          <w:szCs w:val="18"/>
          <w:color w:val="1D2228"/>
          <w:highlight w:val="white"/>
        </w:rPr>
      </w:pPr>
    </w:p>
    <w:p>
      <w:pPr>
        <w:ind w:left="660" w:hanging="328"/>
        <w:spacing w:after="0" w:line="236" w:lineRule="auto"/>
        <w:tabs>
          <w:tab w:leader="none" w:pos="660" w:val="left"/>
        </w:tabs>
        <w:numPr>
          <w:ilvl w:val="0"/>
          <w:numId w:val="2"/>
        </w:numPr>
        <w:rPr>
          <w:rFonts w:ascii="Arial" w:cs="Arial" w:eastAsia="Arial" w:hAnsi="Arial"/>
          <w:sz w:val="18"/>
          <w:szCs w:val="18"/>
          <w:color w:val="auto"/>
          <w:highlight w:val="white"/>
        </w:rPr>
      </w:pPr>
      <w:r>
        <w:rPr>
          <w:rFonts w:ascii="Arial" w:cs="Arial" w:eastAsia="Arial" w:hAnsi="Arial"/>
          <w:sz w:val="18"/>
          <w:szCs w:val="18"/>
          <w:color w:val="auto"/>
          <w:highlight w:val="white"/>
        </w:rPr>
        <w:t>Fourth quarter gross margin was 71%, an increase of 4 percentage points year-over-year</w:t>
      </w:r>
    </w:p>
    <w:p>
      <w:pPr>
        <w:ind w:left="660" w:right="540" w:hanging="328"/>
        <w:spacing w:after="0" w:line="24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Fourth quarter earnings per share was a net loss of ($0.15), compared to ($0.32) in the prior year. Net loss was ($30.7) million, compared to </w:t>
      </w:r>
      <w:r>
        <w:rPr>
          <w:rFonts w:ascii="Arial" w:cs="Arial" w:eastAsia="Arial" w:hAnsi="Arial"/>
          <w:sz w:val="18"/>
          <w:szCs w:val="18"/>
          <w:color w:val="auto"/>
          <w:highlight w:val="white"/>
        </w:rPr>
        <w:t>($21.8) million in the prior year</w:t>
      </w:r>
    </w:p>
    <w:p>
      <w:pPr>
        <w:spacing w:after="0" w:line="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
        </w:numPr>
        <w:rPr>
          <w:rFonts w:ascii="Arial" w:cs="Arial" w:eastAsia="Arial" w:hAnsi="Arial"/>
          <w:sz w:val="18"/>
          <w:szCs w:val="18"/>
          <w:color w:val="auto"/>
          <w:highlight w:val="white"/>
        </w:rPr>
      </w:pPr>
      <w:r>
        <w:rPr>
          <w:rFonts w:ascii="Arial" w:cs="Arial" w:eastAsia="Arial" w:hAnsi="Arial"/>
          <w:sz w:val="18"/>
          <w:szCs w:val="18"/>
          <w:color w:val="auto"/>
          <w:highlight w:val="white"/>
        </w:rPr>
        <w:t>At the end of 2022, cumulative bookings backlog was $332 million, an increase of 59% year-over-year</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2022, queries grew 85% year-over-year leading to an annual run rate of approximately 2.2 billion queries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revenue was $31.1 million, an increase of 47% year-over-year</w:t>
      </w:r>
    </w:p>
    <w:p>
      <w:pPr>
        <w:spacing w:after="0" w:line="7" w:lineRule="exact"/>
        <w:rPr>
          <w:rFonts w:ascii="Arial" w:cs="Arial" w:eastAsia="Arial" w:hAnsi="Arial"/>
          <w:sz w:val="18"/>
          <w:szCs w:val="18"/>
          <w:color w:val="auto"/>
        </w:rPr>
      </w:pPr>
    </w:p>
    <w:p>
      <w:pPr>
        <w:ind w:left="660" w:right="280" w:hanging="328"/>
        <w:spacing w:after="0" w:line="245" w:lineRule="auto"/>
        <w:tabs>
          <w:tab w:leader="none" w:pos="655" w:val="left"/>
        </w:tabs>
        <w:numPr>
          <w:ilvl w:val="0"/>
          <w:numId w:val="2"/>
        </w:numPr>
        <w:rPr>
          <w:rFonts w:ascii="Arial" w:cs="Arial" w:eastAsia="Arial" w:hAnsi="Arial"/>
          <w:sz w:val="18"/>
          <w:szCs w:val="18"/>
          <w:color w:val="auto"/>
          <w:highlight w:val="white"/>
        </w:rPr>
      </w:pPr>
      <w:r>
        <w:rPr>
          <w:rFonts w:ascii="Arial" w:cs="Arial" w:eastAsia="Arial" w:hAnsi="Arial"/>
          <w:sz w:val="18"/>
          <w:szCs w:val="18"/>
          <w:color w:val="auto"/>
          <w:highlight w:val="white"/>
        </w:rPr>
        <w:t>Full year earnings per share was a net loss of ($0.73), compared to ($1.18) in the prior year. Net loss was ($115.3) million, compared to ($79.5)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-1056640</wp:posOffset>
            </wp:positionV>
            <wp:extent cx="658368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25717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-662305</wp:posOffset>
            </wp:positionV>
            <wp:extent cx="513461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4610" cy="386080"/>
                    </a:xfrm>
                    <a:prstGeom prst="rect">
                      <a:avLst/>
                    </a:prstGeom>
                    <a:noFill/>
                  </pic:spPr>
                </pic:pic>
              </a:graphicData>
            </a:graphic>
          </wp:anchor>
        </w:drawing>
      </w:r>
    </w:p>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highlight w:val="white"/>
        </w:rPr>
        <w:t>"We closed 2022 on a strong note, and we are entering 2023 in a position of strength. Customer engagement is robust, we are rolling out waves of industry-defining innovations, and the market demand for our solutions is high," said Nitesh Sharan, CFO of SoundHound. "We have taken the necessary steps to significantly improve our operating efficiency, strengthen our financial foundation, and we have a clear line of sight to near-term profitability and sustained long-term growth."</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launches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SoundHound launched a broad range of category-leading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4254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57175"/>
                    </a:xfrm>
                    <a:prstGeom prst="rect">
                      <a:avLst/>
                    </a:prstGeom>
                    <a:noFill/>
                  </pic:spPr>
                </pic:pic>
              </a:graphicData>
            </a:graphic>
          </wp:anchor>
        </w:drawing>
      </w:r>
    </w:p>
    <w:p>
      <w:pPr>
        <w:ind w:left="660" w:hanging="328"/>
        <w:spacing w:after="0"/>
        <w:tabs>
          <w:tab w:leader="none" w:pos="660" w:val="left"/>
        </w:tabs>
        <w:numPr>
          <w:ilvl w:val="0"/>
          <w:numId w:val="3"/>
        </w:numPr>
        <w:rPr>
          <w:rFonts w:ascii="Arial" w:cs="Arial" w:eastAsia="Arial" w:hAnsi="Arial"/>
          <w:sz w:val="18"/>
          <w:szCs w:val="18"/>
          <w:color w:val="auto"/>
          <w:highlight w:val="white"/>
        </w:rPr>
      </w:pPr>
      <w:r>
        <w:rPr>
          <w:rFonts w:ascii="Arial" w:cs="Arial" w:eastAsia="Arial" w:hAnsi="Arial"/>
          <w:sz w:val="18"/>
          <w:szCs w:val="18"/>
          <w:color w:val="auto"/>
          <w:highlight w:val="white"/>
        </w:rPr>
        <w:t>SoundHound’s next generation, multimodal voice interface Dynamic Interaction for restaurants and customer service.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Interaction with Generative AI for devices and automotive.</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
        </w:numPr>
        <w:rPr>
          <w:rFonts w:ascii="Arial" w:cs="Arial" w:eastAsia="Arial" w:hAnsi="Arial"/>
          <w:sz w:val="18"/>
          <w:szCs w:val="18"/>
          <w:color w:val="auto"/>
          <w:highlight w:val="white"/>
        </w:rPr>
      </w:pPr>
      <w:r>
        <w:rPr>
          <w:rFonts w:ascii="Arial" w:cs="Arial" w:eastAsia="Arial" w:hAnsi="Arial"/>
          <w:sz w:val="18"/>
          <w:szCs w:val="18"/>
          <w:color w:val="auto"/>
          <w:highlight w:val="white"/>
        </w:rPr>
        <w:t>Intelligent Transcription, which captures, identifies, and attributes meaning to live conversations.</w:t>
      </w:r>
    </w:p>
    <w:p>
      <w:pPr>
        <w:ind w:right="2140" w:firstLine="332"/>
        <w:spacing w:after="0" w:line="241"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Edge and Cloud connectivity options to open up voice AI to even more smart device, IoT, and vehicle manufacturers. Upcoming Launch</w:t>
      </w:r>
    </w:p>
    <w:p>
      <w:pPr>
        <w:spacing w:after="0" w:line="1" w:lineRule="exact"/>
        <w:rPr>
          <w:rFonts w:ascii="Arial" w:cs="Arial" w:eastAsia="Arial" w:hAnsi="Arial"/>
          <w:sz w:val="18"/>
          <w:szCs w:val="18"/>
          <w:color w:val="auto"/>
        </w:rPr>
      </w:pPr>
    </w:p>
    <w:p>
      <w:pPr>
        <w:ind w:left="660" w:right="460" w:hanging="328"/>
        <w:spacing w:after="0" w:line="323" w:lineRule="auto"/>
        <w:tabs>
          <w:tab w:leader="none" w:pos="655" w:val="left"/>
        </w:tabs>
        <w:numPr>
          <w:ilvl w:val="0"/>
          <w:numId w:val="3"/>
        </w:numPr>
        <w:rPr>
          <w:rFonts w:ascii="Arial" w:cs="Arial" w:eastAsia="Arial" w:hAnsi="Arial"/>
          <w:sz w:val="16"/>
          <w:szCs w:val="16"/>
          <w:color w:val="auto"/>
          <w:highlight w:val="white"/>
        </w:rPr>
      </w:pPr>
      <w:r>
        <w:rPr>
          <w:rFonts w:ascii="Arial" w:cs="Arial" w:eastAsia="Arial" w:hAnsi="Arial"/>
          <w:sz w:val="16"/>
          <w:szCs w:val="16"/>
          <w:color w:val="auto"/>
          <w:highlight w:val="white"/>
        </w:rPr>
        <w:t>The Company is announcing the upcoming launch of its chat AI service for end users and businesses, which combines the power of software engineering and machine learning with Generative AI to deliver the digital assistant experience that users have been desiring for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-845185</wp:posOffset>
            </wp:positionV>
            <wp:extent cx="557212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2125" cy="39433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 announcements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SoundHound forged a number of key partnerships with world class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4254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257175"/>
                    </a:xfrm>
                    <a:prstGeom prst="rect">
                      <a:avLst/>
                    </a:prstGeom>
                    <a:noFill/>
                  </pic:spPr>
                </pic:pic>
              </a:graphicData>
            </a:graphic>
          </wp:anchor>
        </w:drawing>
      </w:r>
    </w:p>
    <w:p>
      <w:pPr>
        <w:ind w:left="660" w:hanging="328"/>
        <w:spacing w:after="0"/>
        <w:tabs>
          <w:tab w:leader="none" w:pos="660" w:val="left"/>
        </w:tabs>
        <w:numPr>
          <w:ilvl w:val="0"/>
          <w:numId w:val="4"/>
        </w:numPr>
        <w:rPr>
          <w:rFonts w:ascii="Arial" w:cs="Arial" w:eastAsia="Arial" w:hAnsi="Arial"/>
          <w:sz w:val="18"/>
          <w:szCs w:val="18"/>
          <w:color w:val="auto"/>
          <w:highlight w:val="white"/>
        </w:rPr>
      </w:pPr>
      <w:r>
        <w:rPr>
          <w:rFonts w:ascii="Arial" w:cs="Arial" w:eastAsia="Arial" w:hAnsi="Arial"/>
          <w:sz w:val="18"/>
          <w:szCs w:val="18"/>
          <w:color w:val="auto"/>
          <w:highlight w:val="white"/>
        </w:rPr>
        <w:t>In automotive, SoundHound now provides voice AI solutions for 20 global brands.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its existing relationship with Hyundai, which includes a multi-year arrangement.</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4"/>
        </w:numPr>
        <w:rPr>
          <w:rFonts w:ascii="Arial" w:cs="Arial" w:eastAsia="Arial" w:hAnsi="Arial"/>
          <w:sz w:val="18"/>
          <w:szCs w:val="18"/>
          <w:color w:val="auto"/>
          <w:highlight w:val="white"/>
        </w:rPr>
      </w:pPr>
      <w:r>
        <w:rPr>
          <w:rFonts w:ascii="Arial" w:cs="Arial" w:eastAsia="Arial" w:hAnsi="Arial"/>
          <w:sz w:val="18"/>
          <w:szCs w:val="18"/>
          <w:color w:val="auto"/>
          <w:highlight w:val="white"/>
        </w:rPr>
        <w:t>Expanded its relationship with Stellantis in Europe, adding multiple brands.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Announced collaborations in the automotive space with LG and HARMAN International, a Samsung Company, as well as DPCA and DMI.</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Agreement with Qualcomm to bring SoundHound voice AI to Snapdragon platforms.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4"/>
        </w:numPr>
        <w:rPr>
          <w:rFonts w:ascii="Arial" w:cs="Arial" w:eastAsia="Arial" w:hAnsi="Arial"/>
          <w:sz w:val="18"/>
          <w:szCs w:val="18"/>
          <w:color w:val="auto"/>
          <w:highlight w:val="white"/>
        </w:rPr>
      </w:pPr>
      <w:r>
        <w:rPr>
          <w:rFonts w:ascii="Arial" w:cs="Arial" w:eastAsia="Arial" w:hAnsi="Arial"/>
          <w:sz w:val="18"/>
          <w:szCs w:val="18"/>
          <w:color w:val="auto"/>
          <w:highlight w:val="white"/>
        </w:rPr>
        <w:t>Signed a new deal expanding its long standing relationship with VIZIO.</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Extended its partnership with Snap.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-791845</wp:posOffset>
            </wp:positionV>
            <wp:extent cx="660082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78867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highlight w:val="white"/>
        </w:rPr>
      </w:pPr>
      <w:r>
        <w:rPr>
          <w:rFonts w:ascii="Arial" w:cs="Arial" w:eastAsia="Arial" w:hAnsi="Arial"/>
          <w:sz w:val="18"/>
          <w:szCs w:val="18"/>
          <w:color w:val="auto"/>
          <w:highlight w:val="white"/>
        </w:rPr>
        <w:t>PoS agreements with Square, Toast and Oracle.</w:t>
      </w:r>
    </w:p>
    <w:p>
      <w:pPr>
        <w:spacing w:after="0" w:line="11" w:lineRule="exact"/>
        <w:rPr>
          <w:rFonts w:ascii="Arial" w:cs="Arial" w:eastAsia="Arial" w:hAnsi="Arial"/>
          <w:sz w:val="18"/>
          <w:szCs w:val="18"/>
          <w:color w:val="auto"/>
          <w:highlight w:val="white"/>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Airmeez chose SoundHound to deliver its intelligent virtual assistant and notification services with natural language interactions across multiple </w:t>
      </w:r>
      <w:r>
        <w:rPr>
          <w:rFonts w:ascii="Arial" w:cs="Arial" w:eastAsia="Arial" w:hAnsi="Arial"/>
          <w:sz w:val="18"/>
          <w:szCs w:val="18"/>
          <w:color w:val="auto"/>
          <w:highlight w:val="white"/>
        </w:rPr>
        <w:t>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-411480</wp:posOffset>
            </wp:positionV>
            <wp:extent cx="679767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7675" cy="25717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recognition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SoundHound’s voice AI has received broad praise and recognition:</w:t>
      </w:r>
    </w:p>
    <w:p>
      <w:pPr>
        <w:spacing w:after="0" w:line="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highlight w:val="white"/>
        </w:rPr>
      </w:pPr>
      <w:r>
        <w:rPr>
          <w:rFonts w:ascii="Arial" w:cs="Arial" w:eastAsia="Arial" w:hAnsi="Arial"/>
          <w:sz w:val="18"/>
          <w:szCs w:val="18"/>
          <w:color w:val="auto"/>
          <w:highlight w:val="white"/>
        </w:rPr>
        <w:t>Qualcomm, Yobe, and LG showcasing its voice technology at CES.</w:t>
      </w:r>
    </w:p>
    <w:p>
      <w:pPr>
        <w:spacing w:after="0" w:line="9" w:lineRule="exact"/>
        <w:rPr>
          <w:rFonts w:ascii="Arial" w:cs="Arial" w:eastAsia="Arial" w:hAnsi="Arial"/>
          <w:sz w:val="18"/>
          <w:szCs w:val="18"/>
          <w:color w:val="auto"/>
          <w:highlight w:val="white"/>
        </w:rPr>
      </w:pPr>
    </w:p>
    <w:p>
      <w:pPr>
        <w:ind w:left="660" w:hanging="328"/>
        <w:spacing w:after="0" w:line="236" w:lineRule="auto"/>
        <w:tabs>
          <w:tab w:leader="none" w:pos="660" w:val="left"/>
        </w:tabs>
        <w:numPr>
          <w:ilvl w:val="0"/>
          <w:numId w:val="6"/>
        </w:numPr>
        <w:rPr>
          <w:rFonts w:ascii="Arial" w:cs="Arial" w:eastAsia="Arial" w:hAnsi="Arial"/>
          <w:sz w:val="18"/>
          <w:szCs w:val="18"/>
          <w:color w:val="auto"/>
          <w:highlight w:val="white"/>
        </w:rPr>
      </w:pPr>
      <w:r>
        <w:rPr>
          <w:rFonts w:ascii="Arial" w:cs="Arial" w:eastAsia="Arial" w:hAnsi="Arial"/>
          <w:sz w:val="18"/>
          <w:szCs w:val="18"/>
          <w:color w:val="auto"/>
          <w:highlight w:val="white"/>
        </w:rPr>
        <w:t>AI Magazine named SoundHound among ten other disruptive global AI companies.</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SoundHound was also named as a 2022 Speech Industry Award Winner.</w:t>
      </w:r>
    </w:p>
    <w:p>
      <w:pPr>
        <w:ind w:left="660" w:right="600" w:hanging="328"/>
        <w:spacing w:after="0" w:line="24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SoundHound for Restaurants was named among the winners of the National Restaurant Association’s Smartbrief Innovation Awards for </w:t>
      </w:r>
      <w:r>
        <w:rPr>
          <w:rFonts w:ascii="Arial" w:cs="Arial" w:eastAsia="Arial" w:hAnsi="Arial"/>
          <w:sz w:val="18"/>
          <w:szCs w:val="18"/>
          <w:color w:val="auto"/>
          <w:highlight w:val="white"/>
        </w:rPr>
        <w:t>Foodservice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-523875</wp:posOffset>
            </wp:positionV>
            <wp:extent cx="642048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0485" cy="38608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in Detail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shd w:val="clear" w:color="auto" w:fill="FEFEFE"/>
          </w:tcPr>
          <w:p>
            <w:pPr>
              <w:spacing w:after="0"/>
              <w:rPr>
                <w:sz w:val="20"/>
                <w:szCs w:val="20"/>
                <w:color w:val="auto"/>
              </w:rPr>
            </w:pPr>
            <w:r>
              <w:rPr>
                <w:rFonts w:ascii="Arial" w:cs="Arial" w:eastAsia="Arial" w:hAnsi="Arial"/>
                <w:sz w:val="18"/>
                <w:szCs w:val="18"/>
                <w:b w:val="1"/>
                <w:bCs w:val="1"/>
                <w:color w:val="auto"/>
                <w:highlight w:val="white"/>
                <w:w w:val="91"/>
              </w:rPr>
              <w:t>Fourth Quarter 2022 Financial Measures</w:t>
            </w: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(thousands, except per share data)</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 in %</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Cumulative bookings backlog</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331,515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207,927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59 %</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0" w:type="dxa"/>
            <w:vAlign w:val="bottom"/>
          </w:tcPr>
          <w:p>
            <w:pPr>
              <w:spacing w:after="0"/>
              <w:rPr>
                <w:sz w:val="1"/>
                <w:szCs w:val="1"/>
                <w:color w:val="auto"/>
              </w:rPr>
            </w:pPr>
          </w:p>
        </w:tc>
      </w:tr>
      <w:tr>
        <w:trPr>
          <w:trHeight w:val="230"/>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51 %</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506"/>
        </w:trPr>
        <w:tc>
          <w:tcPr>
            <w:tcW w:w="2660" w:type="dxa"/>
            <w:vAlign w:val="bottom"/>
          </w:tcPr>
          <w:p>
            <w:pPr>
              <w:spacing w:after="0"/>
              <w:rPr>
                <w:sz w:val="24"/>
                <w:szCs w:val="24"/>
                <w:color w:val="auto"/>
              </w:rPr>
            </w:pPr>
          </w:p>
        </w:tc>
        <w:tc>
          <w:tcPr>
            <w:tcW w:w="3600" w:type="dxa"/>
            <w:vAlign w:val="bottom"/>
            <w:gridSpan w:val="2"/>
            <w:vMerge w:val="restart"/>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FEFEFE"/>
          </w:tcPr>
          <w:p>
            <w:pPr>
              <w:spacing w:after="0" w:line="202" w:lineRule="exact"/>
              <w:rPr>
                <w:sz w:val="20"/>
                <w:szCs w:val="20"/>
                <w:color w:val="auto"/>
              </w:rPr>
            </w:pPr>
            <w:r>
              <w:rPr>
                <w:rFonts w:ascii="Arial" w:cs="Arial" w:eastAsia="Arial" w:hAnsi="Arial"/>
                <w:sz w:val="18"/>
                <w:szCs w:val="18"/>
                <w:b w:val="1"/>
                <w:bCs w:val="1"/>
                <w:color w:val="auto"/>
                <w:highlight w:val="white"/>
                <w:w w:val="90"/>
              </w:rPr>
              <w:t>Full Year 2022 Financial Measures</w:t>
            </w:r>
          </w:p>
        </w:tc>
        <w:tc>
          <w:tcPr>
            <w:tcW w:w="3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Twelve Months Ended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(thousands, except per share data)</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 in %</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0" w:type="dxa"/>
            <w:vAlign w:val="bottom"/>
          </w:tcPr>
          <w:p>
            <w:pPr>
              <w:spacing w:after="0"/>
              <w:rPr>
                <w:sz w:val="1"/>
                <w:szCs w:val="1"/>
                <w:color w:val="auto"/>
              </w:rPr>
            </w:pPr>
          </w:p>
        </w:tc>
      </w:tr>
      <w:tr>
        <w:trPr>
          <w:trHeight w:val="230"/>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r>
        <w:trPr>
          <w:trHeight w:val="223"/>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260" w:type="dxa"/>
            <w:vAlign w:val="bottom"/>
            <w:gridSpan w:val="3"/>
          </w:tcPr>
          <w:p>
            <w:pPr>
              <w:ind w:left="20"/>
              <w:spacing w:after="0" w:line="23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935" w:right="5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40"/>
          </w:cols>
          <w:pgMar w:left="320" w:top="935" w:right="539" w:bottom="1440" w:gutter="0" w:footer="0" w:header="0"/>
          <w:type w:val="continuous"/>
        </w:sectPr>
      </w:pPr>
    </w:p>
    <w:bookmarkStart w:id="5" w:name="page6"/>
    <w:bookmarkEnd w:id="5"/>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Cumulative bookings backlog is prior quarter end balance plus new bookings in the current quarter minus associated revenue recognized. Balance is as of December 31, 2022.</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Please see table below for a reconciliation from GAAP to non-GAAP.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Summary of Liquidity and Cash Flows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highlight w:val="white"/>
        </w:rPr>
        <w:t>The Company’s cash and cash equivalents was $9.2 million at December 31, 2022. In January 2023, the Company successfully raised $25 million in net proceeds of equity financing from both current shareholders and new capital providers.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December 31,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Cash flows: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(66,177)</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(22,160)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Business Outlook</w:t>
      </w:r>
    </w:p>
    <w:p>
      <w:pPr>
        <w:spacing w:after="0" w:line="25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highlight w:val="white"/>
        </w:rPr>
        <w:t>Based on the Company's strong business momentum and customer demand for its voice AI products and services, the Company expects to grow its revenue by approximately 50% in 2023. SoundHound’s guidance for revenue in 2023 is expected to be in a range of $43 to $50 million. With this growth, and previously announced restructuring, which we expect will result in approximately $60 million of operating cost savings, the Company expects to become adjusted EBITDA positive in the fourth quarter of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Additional Information</w:t>
      </w:r>
    </w:p>
    <w:p>
      <w:pPr>
        <w:spacing w:after="0" w:line="18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SoundHound expects to file its Form 10-K for 2022, by March 31, 2023. For more information please see the company’s SEC filings which can be obtained on our website at investors.soundhound.com.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Conference Call and Webcast</w:t>
      </w:r>
    </w:p>
    <w:p>
      <w:pPr>
        <w:spacing w:after="0" w:line="243"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Keyvan Mohajer, Co-Founder and CEO and Nitesh Sharan, CFO will host a live audio conference call and webcast today at 2:30 p.m. Pacific Time/5:30 p.m. Eastern Time. Please click here to pre-register for the conference call and obtain your dial in number and passcode. A live webcast will also be accessible at investors.soundhound.com and a replay of the webcast will be available following the session.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SoundHound</w:t>
      </w:r>
    </w:p>
    <w:p>
      <w:pPr>
        <w:spacing w:after="0" w:line="25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SoundHound AI (Nasdaq: SOUN),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Qualcomm, Netflix, Snap, Square, Toast, LG, VIZIO, KIA, and Stellantis. www.soundhound.com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This press release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w:t>
      </w:r>
      <w:r>
        <w:rPr>
          <w:rFonts w:ascii="Arial" w:cs="Arial" w:eastAsia="Arial" w:hAnsi="Arial"/>
          <w:sz w:val="18"/>
          <w:szCs w:val="18"/>
          <w:color w:val="auto"/>
          <w:highlight w:val="white"/>
        </w:rPr>
        <w:t>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the expected financial performance of the company, the company's ability to implement its business strategy and anticipated business and operations, including the anticipated launch of its chat AI service, the potential utility of and market for the company's products and services, guidance for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31" w:right="3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7"/>
          <w:szCs w:val="17"/>
          <w:color w:val="auto"/>
          <w:highlight w:val="white"/>
        </w:rPr>
        <w:t>financial results for 2023 and our ability to timely file our annual report on Form 10-K.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performance or achievements may differ materially from those expressed or implied by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at our customers resulting from the COVID-19 pandemic and other causes, the potential future revenue associated with our AI platform products and services; our projected rate of revenue growth; the impact of our announced restructuring;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Quarterly Reports on Form 10-Q and Current Reports on Form 8-K. We do not intend to update or alter our forward-looking statements, whether as a result of new information, future events or otherwise, except as required by applicable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of Financial Performance</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To supplement our financial statements, which are presented on the basis of U.S. generally accepted accounting principles (GAAP), the following non-GAAP measure of financial performance is included in this release: adjusted EBITDA. We define Adjusted EBITDA as our GAAP net loss excluding (i) interest and other expense, net, (ii) depreciation and amortization expense, (iii) income taxes, and (iv) stock-based compensation.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92"/>
              </w:rPr>
              <w:t>Reconciliation of GAAP Net Profit (Loss) to Non-GAAP Adjusted EBITDA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5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5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net profit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(21,847)</w:t>
            </w:r>
          </w:p>
        </w:tc>
        <w:tc>
          <w:tcPr>
            <w:tcW w:w="100" w:type="dxa"/>
            <w:vAlign w:val="bottom"/>
            <w:shd w:val="clear" w:color="auto" w:fill="CCEEFF"/>
          </w:tcPr>
          <w:p>
            <w:pPr>
              <w:spacing w:after="0"/>
              <w:rPr>
                <w:sz w:val="19"/>
                <w:szCs w:val="19"/>
                <w:color w:val="auto"/>
              </w:rPr>
            </w:pPr>
          </w:p>
        </w:tc>
      </w:tr>
      <w:tr>
        <w:trPr>
          <w:trHeight w:val="270"/>
        </w:trPr>
        <w:tc>
          <w:tcPr>
            <w:tcW w:w="656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Interest and other expense, net</w:t>
            </w:r>
            <w:r>
              <w:rPr>
                <w:rFonts w:ascii="Arial" w:cs="Arial" w:eastAsia="Arial" w:hAnsi="Arial"/>
                <w:sz w:val="23"/>
                <w:szCs w:val="23"/>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(15,433)</w:t>
            </w:r>
          </w:p>
        </w:tc>
        <w:tc>
          <w:tcPr>
            <w:tcW w:w="100" w:type="dxa"/>
            <w:vAlign w:val="bottom"/>
          </w:tcPr>
          <w:p>
            <w:pPr>
              <w:spacing w:after="0"/>
              <w:rPr>
                <w:sz w:val="19"/>
                <w:szCs w:val="19"/>
                <w:color w:val="auto"/>
              </w:rPr>
            </w:pPr>
          </w:p>
        </w:tc>
      </w:tr>
    </w:tbl>
    <w:p>
      <w:pPr>
        <w:spacing w:after="0" w:line="7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other (income)/expense of ($0.5) and $1.1 million,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92"/>
              </w:rPr>
              <w:t>Reconciliation of GAAP Net Profit (Loss) to Non-GAAP Adjusted EBITDA</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5"/>
        </w:trPr>
        <w:tc>
          <w:tcPr>
            <w:tcW w:w="5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Twelve Months Ended</w:t>
            </w:r>
          </w:p>
        </w:tc>
      </w:tr>
      <w:tr>
        <w:trPr>
          <w:trHeight w:val="178"/>
        </w:trPr>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144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December 31,</w:t>
            </w:r>
          </w:p>
        </w:tc>
      </w:tr>
      <w:tr>
        <w:trPr>
          <w:trHeight w:val="234"/>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net profit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(79,540)</w:t>
            </w:r>
          </w:p>
        </w:tc>
        <w:tc>
          <w:tcPr>
            <w:tcW w:w="100" w:type="dxa"/>
            <w:vAlign w:val="bottom"/>
            <w:shd w:val="clear" w:color="auto" w:fill="CCEEFF"/>
          </w:tcPr>
          <w:p>
            <w:pPr>
              <w:spacing w:after="0"/>
              <w:rPr>
                <w:sz w:val="19"/>
                <w:szCs w:val="19"/>
                <w:color w:val="auto"/>
              </w:rPr>
            </w:pPr>
          </w:p>
        </w:tc>
      </w:tr>
      <w:tr>
        <w:trPr>
          <w:trHeight w:val="270"/>
        </w:trPr>
        <w:tc>
          <w:tcPr>
            <w:tcW w:w="656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Interest and other expense, net</w:t>
            </w:r>
            <w:r>
              <w:rPr>
                <w:rFonts w:ascii="Arial" w:cs="Arial" w:eastAsia="Arial" w:hAnsi="Arial"/>
                <w:sz w:val="23"/>
                <w:szCs w:val="23"/>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19"/>
                <w:szCs w:val="19"/>
                <w:color w:val="auto"/>
              </w:rPr>
            </w:pPr>
          </w:p>
        </w:tc>
      </w:tr>
      <w:tr>
        <w:trPr>
          <w:trHeight w:val="230"/>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9"/>
                <w:szCs w:val="19"/>
                <w:color w:val="auto"/>
              </w:rPr>
            </w:pP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(53,503)</w:t>
            </w:r>
          </w:p>
        </w:tc>
        <w:tc>
          <w:tcPr>
            <w:tcW w:w="100" w:type="dxa"/>
            <w:vAlign w:val="bottom"/>
          </w:tcPr>
          <w:p>
            <w:pPr>
              <w:spacing w:after="0"/>
              <w:rPr>
                <w:sz w:val="19"/>
                <w:szCs w:val="19"/>
                <w:color w:val="auto"/>
              </w:rPr>
            </w:pPr>
          </w:p>
        </w:tc>
      </w:tr>
    </w:tbl>
    <w:p>
      <w:pPr>
        <w:spacing w:after="0" w:line="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other expense of $0.2 and $5.4 million, respectively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2023-03-07T18:04:06Z</dcterms:created>
  <dcterms:modified xsi:type="dcterms:W3CDTF">2023-03-07T18:04:06Z</dcterms:modified>
</cp:coreProperties>
</file>