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1273175</wp:posOffset>
            </wp:positionH>
            <wp:positionV relativeFrom="page">
              <wp:posOffset>197485</wp:posOffset>
            </wp:positionV>
            <wp:extent cx="50018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01895" cy="24765"/>
                    </a:xfrm>
                    <a:prstGeom prst="rect">
                      <a:avLst/>
                    </a:prstGeom>
                    <a:noFill/>
                  </pic:spPr>
                </pic:pic>
              </a:graphicData>
            </a:graphic>
          </wp:anchor>
        </w:drawing>
        <w:drawing>
          <wp:anchor simplePos="0" relativeHeight="251657728" behindDoc="1" locked="0" layoutInCell="0" allowOverlap="1">
            <wp:simplePos x="0" y="0"/>
            <wp:positionH relativeFrom="page">
              <wp:posOffset>1273175</wp:posOffset>
            </wp:positionH>
            <wp:positionV relativeFrom="page">
              <wp:posOffset>238760</wp:posOffset>
            </wp:positionV>
            <wp:extent cx="50018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01895" cy="2476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14C</w:t>
      </w:r>
    </w:p>
    <w:p>
      <w:pPr>
        <w:spacing w:after="0" w:line="6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0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SCHEDULE 14C INFORMATION</w:t>
      </w:r>
    </w:p>
    <w:p>
      <w:pPr>
        <w:spacing w:after="0" w:line="123"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Information Statement Pursuant to Section 14(c) of</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3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18" w:lineRule="exact"/>
        <w:rPr>
          <w:sz w:val="24"/>
          <w:szCs w:val="24"/>
          <w:color w:val="auto"/>
        </w:rPr>
      </w:pPr>
    </w:p>
    <w:p>
      <w:pPr>
        <w:ind w:left="860" w:hanging="29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187" w:lineRule="exact"/>
        <w:rPr>
          <w:sz w:val="24"/>
          <w:szCs w:val="24"/>
          <w:color w:val="auto"/>
        </w:rPr>
      </w:pPr>
    </w:p>
    <w:p>
      <w:pPr>
        <w:ind w:left="860" w:hanging="295"/>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186" w:lineRule="exact"/>
        <w:rPr>
          <w:rFonts w:ascii="MS PGothic" w:cs="MS PGothic" w:eastAsia="MS PGothic" w:hAnsi="MS PGothic"/>
          <w:sz w:val="18"/>
          <w:szCs w:val="18"/>
          <w:color w:val="auto"/>
        </w:rPr>
      </w:pPr>
    </w:p>
    <w:p>
      <w:pPr>
        <w:ind w:left="860" w:hanging="295"/>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SOUNDHOUND AI,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9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7" w:lineRule="exact"/>
        <w:rPr>
          <w:sz w:val="24"/>
          <w:szCs w:val="24"/>
          <w:color w:val="auto"/>
        </w:rPr>
      </w:pPr>
    </w:p>
    <w:p>
      <w:pPr>
        <w:ind w:left="860" w:hanging="295"/>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7" w:lineRule="exact"/>
        <w:rPr>
          <w:sz w:val="24"/>
          <w:szCs w:val="24"/>
          <w:color w:val="auto"/>
        </w:rPr>
      </w:pPr>
    </w:p>
    <w:p>
      <w:pPr>
        <w:ind w:left="860" w:hanging="295"/>
        <w:spacing w:after="0"/>
        <w:tabs>
          <w:tab w:leader="none" w:pos="8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6" w:lineRule="exact"/>
        <w:rPr>
          <w:rFonts w:ascii="MS PGothic" w:cs="MS PGothic" w:eastAsia="MS PGothic" w:hAnsi="MS PGothic"/>
          <w:sz w:val="18"/>
          <w:szCs w:val="18"/>
          <w:color w:val="auto"/>
        </w:rPr>
      </w:pPr>
    </w:p>
    <w:p>
      <w:pPr>
        <w:ind w:left="860" w:hanging="295"/>
        <w:spacing w:after="0"/>
        <w:tabs>
          <w:tab w:leader="none" w:pos="8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358775</wp:posOffset>
            </wp:positionH>
            <wp:positionV relativeFrom="paragraph">
              <wp:posOffset>344805</wp:posOffset>
            </wp:positionV>
            <wp:extent cx="500189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01895" cy="24765"/>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386715</wp:posOffset>
            </wp:positionV>
            <wp:extent cx="500189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01895" cy="24765"/>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661670</wp:posOffset>
            </wp:positionV>
            <wp:extent cx="5001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D2232A"/>
        </w:rPr>
        <w:t>PRELIMINARY INFORMATION STATEMENT — SUBJECT TO COMPLETION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SOUNDHOUND AI,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Clara, 95054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Action Taken Pursuant to Written Consent of Stockholders</w:t>
      </w:r>
    </w:p>
    <w:p>
      <w:pPr>
        <w:spacing w:after="0" w:line="1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34"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accompanying information statement, including the annexes thereto (together, the “Information Statement”) is furnished to holders of Class A common stock, par value $0.0001 (the “Class A Common Stock”), and Class B common stock, par value $0.0001 (the “Class B Common Stock” and, together with the Class A Common Stock, the “Common Stock”) of SoundHound AI, Inc. (the “Company,” “our,” “we” or “us”) pursuant to Section 14 of the Securities Exchange Act of 1934, as amended, and Regulation 14C and Schedule 14C thereunder, in connection with the approval of the matters described herein by written consent of the holders of a majority of the outstanding voting power of the Common Stock in connection with the Company’s issuance and sale of newly designated Series A Preferred Stock, par value $0.0001 per share (the “Series A Preferred Stock”), under the Company’s Certificate of Designations of Preferences, Rights and Limitations of the Series A Preferred Stock (the “Certificate of Designations”).</w:t>
      </w:r>
    </w:p>
    <w:p>
      <w:pPr>
        <w:spacing w:after="0" w:line="123"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The purpose of this Notice and Information Statement is to notify you of actions taken by the holders of a majority of the outstanding voting power of the Common Stock. On January 19, 2023, the Company received written consent (the “Minimum Issuance and Change of Control Consent”) from the holders of a majority of the outstanding voting power of the Common Stock to approve the issuance of shares of Class A Common Stock from time to time upon any conversion of shares of the Series A Preferred Stock pursuant to the terms of the Certificate of Designations that may result in a Minimum Issuance as defined under Nasdaq Listing Rule 5635(d) or a Change of Control as defined under Nasdaq Listing Rule 5635(b). On January 23, 2023, the Company received written consent (the “Equity Compensation Consent” and, together with the Minimum Issuance and Change of Control Consent, the “Nasdaq Consents”) from the holders of a majority of the outstanding voting power of the Common Stock to approve the issuance and sale of shares of Series A Preferred Stock, and the issuance of shares of Class A Common Stock from time to time upon any conversion of such shares of Series A Preferred Stock pursuant to the terms of the Certificate of Designations, to certain directors and officers of the Company in accordance with Nasdaq Listing Rule 5635(c). The Nasdaq Consents were obtained in connection with a private placement of shares of Series A Preferred Stock by the Company pursuant to certain preferred stock purchase agreements (the “Purchase Agreements”) with certain investors (the “Investors”) under which the Company issued and sold to the Investors an aggregate of 835,011 shares of Series A Preferred Stock for an aggregate issue price of approximately $25 million (the “Transaction”).</w:t>
      </w:r>
    </w:p>
    <w:p>
      <w:pPr>
        <w:spacing w:after="0" w:line="318"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Nasdaq Consents were obtained following discussion, due consideration and approval of these matters by the board of directors of the Company (the “Board”) on January 19, 2023. Following such approvals by the Board, the Company elected to seek approval of the Nasdaq Consents via written consent in accordance with the Company’s Amended and Restated Bylaws (the “Bylaws”) to reduce associated costs and implement the proposals in a timely manner.</w:t>
      </w:r>
    </w:p>
    <w:p>
      <w:pPr>
        <w:spacing w:after="0" w:line="10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 xml:space="preserve">This Notice and the accompanying Information Statement are being furnished to you to inform you of the approval of the Nasdaq Consents via written consent of the holders of a majority of the outstanding voting power of the Common Stock. </w:t>
      </w:r>
      <w:r>
        <w:rPr>
          <w:rFonts w:ascii="Times New Roman" w:cs="Times New Roman" w:eastAsia="Times New Roman" w:hAnsi="Times New Roman"/>
          <w:sz w:val="18"/>
          <w:szCs w:val="18"/>
          <w:b w:val="1"/>
          <w:bCs w:val="1"/>
          <w:color w:val="auto"/>
        </w:rPr>
        <w:t>The Board is not soliciting your proxy in connection with these actions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proxies are not requested from stockholders.</w:t>
      </w:r>
    </w:p>
    <w:p>
      <w:pPr>
        <w:spacing w:after="0" w:line="11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corporate actions set forth above will not become effective before a date which is 20 calendar days after this Information Statement is first mailed to our stockholders. You are urged to read the Information Statement in its entirety for a description of the actions taken by a majority of the outstanding voting power of the Common Stock.</w:t>
      </w:r>
    </w:p>
    <w:p>
      <w:pPr>
        <w:spacing w:after="0" w:line="1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7" w:lineRule="exact"/>
        <w:rPr>
          <w:sz w:val="20"/>
          <w:szCs w:val="20"/>
          <w:color w:val="auto"/>
        </w:rPr>
      </w:pPr>
    </w:p>
    <w:p>
      <w:pPr>
        <w:ind w:left="560"/>
        <w:spacing w:after="0"/>
        <w:tabs>
          <w:tab w:leader="none" w:pos="1540" w:val="left"/>
          <w:tab w:leader="none" w:pos="4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2023</w:t>
      </w:r>
      <w:r>
        <w:rPr>
          <w:sz w:val="20"/>
          <w:szCs w:val="20"/>
          <w:color w:val="auto"/>
        </w:rPr>
        <w:tab/>
      </w: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38735</wp:posOffset>
            </wp:positionV>
            <wp:extent cx="200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9140" cy="8255"/>
                    </a:xfrm>
                    <a:prstGeom prst="rect">
                      <a:avLst/>
                    </a:prstGeom>
                    <a:noFill/>
                  </pic:spPr>
                </pic:pic>
              </a:graphicData>
            </a:graphic>
          </wp:anchor>
        </w:drawing>
      </w:r>
    </w:p>
    <w:p>
      <w:pPr>
        <w:spacing w:after="0" w:line="49" w:lineRule="exact"/>
        <w:rPr>
          <w:sz w:val="20"/>
          <w:szCs w:val="20"/>
          <w:color w:val="auto"/>
        </w:rPr>
      </w:pPr>
    </w:p>
    <w:p>
      <w:pPr>
        <w:ind w:left="4640"/>
        <w:spacing w:after="0"/>
        <w:tabs>
          <w:tab w:leader="none" w:pos="5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Dr. Keyvan Mohajer</w:t>
      </w:r>
    </w:p>
    <w:p>
      <w:pPr>
        <w:spacing w:after="0" w:line="69" w:lineRule="exact"/>
        <w:rPr>
          <w:sz w:val="20"/>
          <w:szCs w:val="20"/>
          <w:color w:val="auto"/>
        </w:rPr>
      </w:pPr>
    </w:p>
    <w:p>
      <w:pPr>
        <w:ind w:left="464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288925</wp:posOffset>
            </wp:positionV>
            <wp:extent cx="5001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ACCOMPANYING INFORMATION STATEMENT IS BEING MAILED</w:t>
      </w:r>
    </w:p>
    <w:p>
      <w:pPr>
        <w:spacing w:after="0" w:line="46" w:lineRule="exact"/>
        <w:rPr>
          <w:sz w:val="20"/>
          <w:szCs w:val="20"/>
          <w:color w:val="auto"/>
        </w:rPr>
      </w:pPr>
    </w:p>
    <w:tbl>
      <w:tblPr>
        <w:tblLayout w:type="fixed"/>
        <w:tblInd w:w="248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STOCKHOLDERS ON OR ABOUT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 ARE NOT ASKING YOU FOR A PROXY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YOU ARE REQUESTED NOT TO SEND US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243840</wp:posOffset>
            </wp:positionV>
            <wp:extent cx="5001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SOUNDHOUND AI, INC.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Clara, 95054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Action Taken Pursuant to Written Consent of Stockholders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 VOTE OR OTHER ACTION OF THE COMPANY’S STOCKHOLDERS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 REQUIRED IN CONNECTION WITH THIS INFORMATION STATEMENT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 ARE REQUESTED NOT TO SEND US A PROXY</w:t>
      </w:r>
    </w:p>
    <w:p>
      <w:pPr>
        <w:spacing w:after="0" w:line="130" w:lineRule="exact"/>
        <w:rPr>
          <w:sz w:val="20"/>
          <w:szCs w:val="20"/>
          <w:color w:val="auto"/>
        </w:rPr>
      </w:pPr>
    </w:p>
    <w:p>
      <w:pPr>
        <w:jc w:val="both"/>
        <w:ind w:left="560" w:right="579" w:firstLine="420"/>
        <w:spacing w:after="0" w:line="253" w:lineRule="auto"/>
        <w:rPr>
          <w:sz w:val="20"/>
          <w:szCs w:val="20"/>
          <w:color w:val="auto"/>
        </w:rPr>
      </w:pPr>
      <w:r>
        <w:rPr>
          <w:rFonts w:ascii="Times New Roman" w:cs="Times New Roman" w:eastAsia="Times New Roman" w:hAnsi="Times New Roman"/>
          <w:sz w:val="18"/>
          <w:szCs w:val="18"/>
          <w:color w:val="auto"/>
        </w:rPr>
        <w:t>This Information Statement is first being furnished on or about , 2023 to the holders of record of the Common Stock of SoundHound AI, Inc. as of , 2023 (the “Record Date”) in connection with the</w:t>
      </w:r>
    </w:p>
    <w:p>
      <w:pPr>
        <w:spacing w:after="0" w:line="2" w:lineRule="exact"/>
        <w:rPr>
          <w:sz w:val="20"/>
          <w:szCs w:val="20"/>
          <w:color w:val="auto"/>
        </w:rPr>
      </w:pPr>
    </w:p>
    <w:p>
      <w:pPr>
        <w:jc w:val="both"/>
        <w:ind w:left="560" w:right="599"/>
        <w:spacing w:after="0" w:line="247" w:lineRule="auto"/>
        <w:rPr>
          <w:sz w:val="20"/>
          <w:szCs w:val="20"/>
          <w:color w:val="auto"/>
        </w:rPr>
      </w:pPr>
      <w:r>
        <w:rPr>
          <w:rFonts w:ascii="Times New Roman" w:cs="Times New Roman" w:eastAsia="Times New Roman" w:hAnsi="Times New Roman"/>
          <w:sz w:val="18"/>
          <w:szCs w:val="18"/>
          <w:color w:val="auto"/>
        </w:rPr>
        <w:t>approval of the Nasdaq Consents, as further described in this Information Statement, by written consent of the holders of a majority of the outstanding voting power of the Common Stock taken without a meeting.</w:t>
      </w:r>
    </w:p>
    <w:p>
      <w:pPr>
        <w:spacing w:after="0" w:line="107"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Pursuant to Rule 14c-2 promulgated by the Securities and Exchange Commission (the “SEC”) under the Securities Exchange Act of 1934, as amended (the “Exchange Act”), the corporate actions described herein will not become effective until 20 calendar days following the date on which this Information Statement is first mailed to our stockholders.</w:t>
      </w:r>
    </w:p>
    <w:p>
      <w:pPr>
        <w:spacing w:after="0" w:line="11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or about January 19, 2023, following discussion and due consideration of these matters, the Board approved the Transaction. Following such approvals, the Company elected to seek the written consent of the holders of a majority of the outstanding voting power of the Common Stock in order to reduce associated costs and implement the proposal in a timely manner.</w:t>
      </w:r>
    </w:p>
    <w:p>
      <w:pPr>
        <w:spacing w:after="0" w:line="11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Such consents are sufficient under the Bylaws. Accordingly, the actions will not be submitted to the other stockholders of our company for a vote, and this Information Statement is being furnished to such other stockholders to provide them with certain information concerning the actions in accordance with the requirements of the Exchange Act, and the regulations promulgated under the Exchange Act, including Regulation 14C.</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ISSUANCE</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Transaction and the Series A Preferred Stock</w:t>
      </w:r>
    </w:p>
    <w:p>
      <w:pPr>
        <w:spacing w:after="0" w:line="15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On or around January 20, 2023 (the “Closing Date”), we entered into the Purchase Agreements with the Investors pursuant to which we issued and sold to the Investors an aggregate of 835,011 shares of the Series A Preferred Stock for an aggregate issue price of approximately $25 million. We expect to use the proceeds from the Transaction, together with cash on hand, to execute on our business plans and for general corporate purposes. Pursuant to the Certificate of Designations, 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$30.00, the original issue price per share.</w:t>
      </w:r>
    </w:p>
    <w:p>
      <w:pPr>
        <w:spacing w:after="0" w:line="110"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thereof, at any time on or after May 2, 2023 into such number of shares of Class A Common Stock equal to the Liquidation Preference per share at the time of conversion divided by $1.00 (the “Conversion Price” or the “Conversion Ratio”). In addition, each share of Series A Preferred Stock will automatically convert into shares of Class A Common Stock at the Conversion Ratio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Conversion is subject to the lapse of the 20-calendar day period after this Information Statement is first mailed to our stockholders. The Conversion Price is not subject to any anti-dilution adjustments. The Company may also elect to pay any dividend in cash in lieu of accretion to Liquidation Preference if permitted under the agreements and instruments governing its outstanding indebtedness at such time.</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Series A Preferred Stock is not entitled to any preemptive rights or registration rights.</w:t>
      </w:r>
    </w:p>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Effect on Rights of Holders of Common Stock</w:t>
      </w:r>
    </w:p>
    <w:p>
      <w:pPr>
        <w:spacing w:after="0" w:line="151" w:lineRule="exact"/>
        <w:rPr>
          <w:sz w:val="20"/>
          <w:szCs w:val="20"/>
          <w:color w:val="auto"/>
        </w:rPr>
      </w:pPr>
    </w:p>
    <w:p>
      <w:pPr>
        <w:jc w:val="both"/>
        <w:ind w:left="560" w:right="579" w:firstLine="420"/>
        <w:spacing w:after="0" w:line="276" w:lineRule="auto"/>
        <w:rPr>
          <w:sz w:val="20"/>
          <w:szCs w:val="20"/>
          <w:color w:val="auto"/>
        </w:rPr>
      </w:pPr>
      <w:r>
        <w:rPr>
          <w:rFonts w:ascii="Times New Roman" w:cs="Times New Roman" w:eastAsia="Times New Roman" w:hAnsi="Times New Roman"/>
          <w:sz w:val="16"/>
          <w:szCs w:val="16"/>
          <w:color w:val="auto"/>
        </w:rPr>
        <w:t>The holders of Series A Preferred Stock will not be entitled to vote on any matter presented to our stockholders prior to conversion of such shares into Class A Common Stock. However, certain matters require the approval of a majority of the then-outstanding shares of Series A Preferred Stock, voting as a separate class, including to (i) amend our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or any obligation or security convertible into or evidencing a right to purchase, any class or series of capital stock, unless such class or series of capital stock ranks junior to the Series A Preferred Stock;</w:t>
      </w:r>
    </w:p>
    <w:p>
      <w:pPr>
        <w:spacing w:after="0" w:line="6" w:lineRule="exact"/>
        <w:rPr>
          <w:sz w:val="20"/>
          <w:szCs w:val="20"/>
          <w:color w:val="auto"/>
        </w:rPr>
      </w:pPr>
    </w:p>
    <w:p>
      <w:pPr>
        <w:jc w:val="both"/>
        <w:ind w:left="560" w:right="579" w:firstLine="5"/>
        <w:spacing w:after="0" w:line="244" w:lineRule="auto"/>
        <w:tabs>
          <w:tab w:leader="none" w:pos="8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subject to certain exceptions; and (vi) incur any secured debt as a result of which the aggregate principal amount of our secured debt outstanding would exceed the greater of $75,000,000 or 20% of our enterprise value.</w:t>
      </w:r>
    </w:p>
    <w:p>
      <w:pPr>
        <w:spacing w:after="0" w:line="11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Series A Preferred Stock will have preference over our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our company or a merger or consolidation that results in a change in control of our company or the sale or transfer of all or substantially all our assets (each a “Liquidation Event”). However, the Series A Preferred Stock will rank junior to our indebtedness outstanding.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Class A Common Stock immediately prior to such Liquidation Event.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 w:name="page6"/>
    <w:bookmarkEnd w:id="5"/>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foregoing description of certain terms pertaining to the Series A Preferred Stock and the Certificate of Designations is not complete and is qualified in its entirety by reference to the full text of the Certificate of Designations, a copy of which is filed as Exhibit 3.1 to our Current Report on Form 8-K filed with the SEC on January 24, 2023.</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Reason for Stockholder Approval</w:t>
      </w:r>
    </w:p>
    <w:p>
      <w:pPr>
        <w:spacing w:after="0" w:line="136" w:lineRule="exact"/>
        <w:rPr>
          <w:sz w:val="20"/>
          <w:szCs w:val="20"/>
          <w:color w:val="auto"/>
        </w:rPr>
      </w:pPr>
    </w:p>
    <w:p>
      <w:pPr>
        <w:jc w:val="both"/>
        <w:ind w:left="560" w:right="579" w:firstLine="420"/>
        <w:spacing w:after="0" w:line="281" w:lineRule="auto"/>
        <w:rPr>
          <w:sz w:val="20"/>
          <w:szCs w:val="20"/>
          <w:color w:val="auto"/>
        </w:rPr>
      </w:pPr>
      <w:r>
        <w:rPr>
          <w:rFonts w:ascii="Times New Roman" w:cs="Times New Roman" w:eastAsia="Times New Roman" w:hAnsi="Times New Roman"/>
          <w:sz w:val="16"/>
          <w:szCs w:val="16"/>
          <w:color w:val="auto"/>
        </w:rPr>
        <w:t>Our Class A Common Stock is currently listed on the Nasdaq Global Select Market, and as a result, issuances of shares of Class A Common Stock are subject to the Nasdaq Listing Rules. Pursuant to Nasdaq Listing Rule 5635(d), stockholder approval must be obtained prior to the issuance of securities in connection with a transaction other than a public offering involving the sale, issuance, or potential issuance of common stock (or securities convertible into or exercisable for common stock) equal to 20% or more of common stock, or 20% or more of voting power, outstanding before such issuance, at a price per share that is less than the lower of: (i) the closing price of the common stock immediately preceding the signing of the applicable binding agreement; or (ii) the average closing price of shares of common stock for the five trading days immediately preceding the signing of the applicable binding agreement governing such issuance (a “Minimum Issuance”).</w:t>
      </w:r>
    </w:p>
    <w:p>
      <w:pPr>
        <w:spacing w:after="0" w:line="9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Pursuant to Nasdaq Listing Rule 5635(b), stockholder approval must be obtained prior to the issuance of securities when the issuance or potential issuance will result in a “change of control” of a company, which is generally understood to occur when after a transaction, an investor (or a group of investors) would hold 20% or more of a company’s then-outstanding capital stock (a “Change of Control”).</w:t>
      </w:r>
    </w:p>
    <w:p>
      <w:pPr>
        <w:spacing w:after="0" w:line="11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Pursuant to Nasdaq Listing Rule 5635(c), stockholder approval must be obtained prior to the issuance of securities when any equity compensation arrangement is made or materially amended, pursuant to which stock may be acquired by officers, directors, employees (the “Equity Compensation Approval”).</w:t>
      </w:r>
    </w:p>
    <w:p>
      <w:pPr>
        <w:spacing w:after="0" w:line="102"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Transaction did not constitute a public offering under Nasdaq Listing Rules, and the shares of Series A Preferred Stock were issued at an effective “minimum price” of $1.00 per share, the Conversion Price, which is less than the closing price of our Class A Common Stock immediately preceding the signing of the Purchase Agreements and the average closing price of our Class A Common Stock for the five trading days immediately preceding the signing of the Purchase Agreements. Further, while the shares of Series A Preferred Stock issued on the Closing Date on an as-converted to Class A Common Stock basis represents approximately 15% of the total shares of Common Stock outstanding prior to the Transaction (including shares of Class B Common Stock), as a result of the PIK Dividends that accumulate over time, the maximum potential issuance of shares of Class A Common Stock upon conversion of Series A Preferred Stock may exceed 20% of the total shares of Common Stock outstanding (including shares of Class B Common Stock), and as such, constitutes a potential Minimum Issuance or Change of Control and requires stockholder approval under the applicable Nasdaq Listing Rules.</w:t>
      </w:r>
    </w:p>
    <w:p>
      <w:pPr>
        <w:spacing w:after="0" w:line="130"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 addition, the issuance and sale of certain shares of Series A Preferred Stock, and any future issuances of shares of Class A Common Stock from time to time upon conversion of such Series A Preferred Stock, to certain of the Company’s directors and officers who participated in the Transaction (the “Insider Issuances”) requires an Equity Compensation Approval.</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Voting and Vote Required</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Section 2.7 of the Bylaws provides if action without a meeting is provided by resolution of the Board, such action may be taken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w:t>
      </w:r>
    </w:p>
    <w:p>
      <w:pPr>
        <w:spacing w:after="0" w:line="108" w:lineRule="exact"/>
        <w:rPr>
          <w:sz w:val="20"/>
          <w:szCs w:val="20"/>
          <w:color w:val="auto"/>
        </w:rPr>
      </w:pPr>
    </w:p>
    <w:p>
      <w:pPr>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As of the Record Date, there were shares of Class A Common Stock outstanding and entitled to vote and shares of Class B Common Stock outstanding and entitled to vote. Each share of Class B Common Stock is entitled to 10 votes, and each share of Class A Common Stock is entitled to one vote.</w:t>
      </w:r>
    </w:p>
    <w:p>
      <w:pPr>
        <w:spacing w:after="0" w:line="115" w:lineRule="exact"/>
        <w:rPr>
          <w:sz w:val="20"/>
          <w:szCs w:val="20"/>
          <w:color w:val="auto"/>
        </w:rPr>
      </w:pPr>
    </w:p>
    <w:p>
      <w:pPr>
        <w:jc w:val="both"/>
        <w:ind w:left="560" w:right="579" w:firstLine="420"/>
        <w:spacing w:after="0" w:line="253" w:lineRule="auto"/>
        <w:rPr>
          <w:sz w:val="20"/>
          <w:szCs w:val="20"/>
          <w:color w:val="auto"/>
        </w:rPr>
      </w:pPr>
      <w:r>
        <w:rPr>
          <w:rFonts w:ascii="Times New Roman" w:cs="Times New Roman" w:eastAsia="Times New Roman" w:hAnsi="Times New Roman"/>
          <w:sz w:val="18"/>
          <w:szCs w:val="18"/>
          <w:color w:val="auto"/>
        </w:rPr>
        <w:t>On the dates of the Nasdaq Consents, the consenting holders beneficially owned shares of Class B Common Stock, representing % of the votes entitled to be cast by the outstanding Common Stock,</w:t>
      </w:r>
    </w:p>
    <w:p>
      <w:pPr>
        <w:spacing w:after="0" w:line="2" w:lineRule="exact"/>
        <w:rPr>
          <w:sz w:val="20"/>
          <w:szCs w:val="20"/>
          <w:color w:val="auto"/>
        </w:rPr>
      </w:pPr>
    </w:p>
    <w:p>
      <w:pPr>
        <w:jc w:val="both"/>
        <w:ind w:left="560" w:right="579"/>
        <w:spacing w:after="0" w:line="244" w:lineRule="auto"/>
        <w:rPr>
          <w:sz w:val="20"/>
          <w:szCs w:val="20"/>
          <w:color w:val="auto"/>
        </w:rPr>
      </w:pPr>
      <w:r>
        <w:rPr>
          <w:rFonts w:ascii="Times New Roman" w:cs="Times New Roman" w:eastAsia="Times New Roman" w:hAnsi="Times New Roman"/>
          <w:sz w:val="18"/>
          <w:szCs w:val="18"/>
          <w:color w:val="auto"/>
        </w:rPr>
        <w:t>voting together as a single class. Accordingly, the written consents executed by the consenting holders are sufficient to approve future conversions of shares of Series A Preferred Stock into shares of Class A Common stock, constituting a potential Minimum Issuance and Change of Control, and the Insider Issuances, and no further stockholder action is required to approve these matters.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 w:name="page7"/>
    <w:bookmarkEnd w:id="6"/>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Under the Certificate of Designations, the shares of Series A Preferred Stock may not be converted into shares of Class A Common Stock until, and the Insider Issuances are subject to, the lapse of the 20-calendar day period after this Information Statement is first mailed to our stockholders.</w:t>
      </w:r>
    </w:p>
    <w:p>
      <w:pPr>
        <w:spacing w:after="0" w:line="102"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As the action taken by the holders of a majority of the outstanding voting power of the Common Stock was by written consent, there will be no security holders’ meeting and representatives of the Company’s principal accountants for the current year and for the most recently completed fiscal year will not have the opportunity to make a statement if they desire to do so and will not be available to respond to appropriate questions from our stockholders.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Effects on Existing Holders of Class A Common Stock</w:t>
      </w:r>
    </w:p>
    <w:p>
      <w:pPr>
        <w:spacing w:after="0" w:line="149"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Upon the lapse of the 20-calendar day period after this Information Statement is first mailed to our stockholders, outstanding shares of Series A Preferred Stock may be converted into shares of Class A Common Stock at the Conversion Ratio from time to time in accordance with the Certificate of Designations. Refer to the section titled “Stock Issuance — Overview” for more information regarding potential conversions. Future conversions could result in significant dilution in ownership interests and voting rights to our stockholders.</w:t>
      </w:r>
    </w:p>
    <w:p>
      <w:pPr>
        <w:spacing w:after="0" w:line="9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For illustrative purposes only, the table below shows the number of shares of Class A Common Stock that would be issuable upon conversion of the Series A Preferred Stock at the Conversion Ratio following PIK Dividend accretion on the dividend payment dates specified, assuming no dividends are paid in cash and no prior conversions.</w:t>
      </w:r>
    </w:p>
    <w:p>
      <w:pPr>
        <w:spacing w:after="0" w:line="147"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Class A</w:t>
            </w:r>
          </w:p>
        </w:tc>
      </w:t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Issuable upon</w:t>
            </w:r>
          </w:p>
        </w:tc>
      </w:t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Assumed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Conversion of</w:t>
            </w:r>
          </w:p>
        </w:tc>
      </w:t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Series A</w:t>
            </w:r>
          </w:p>
        </w:tc>
      </w:tr>
      <w:tr>
        <w:trPr>
          <w:trHeight w:val="208"/>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Assumed Conversion Date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Preference ($)</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Preferred Stock</w:t>
            </w:r>
          </w:p>
        </w:tc>
      </w:tr>
      <w:tr>
        <w:trPr>
          <w:trHeight w:val="44"/>
        </w:trPr>
        <w:tc>
          <w:tcPr>
            <w:tcW w:w="5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2023</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26,609,018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26,609,018</w:t>
            </w: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28,471,650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28,471,650</w:t>
            </w: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6"/>
        </w:trPr>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2024</w:t>
            </w:r>
          </w:p>
        </w:tc>
        <w:tc>
          <w:tcPr>
            <w:tcW w:w="12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30,464,666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30,464,666</w:t>
            </w: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2025</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32,597,193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32,597,193</w:t>
            </w: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6"/>
        </w:trPr>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2025</w:t>
            </w:r>
          </w:p>
        </w:tc>
        <w:tc>
          <w:tcPr>
            <w:tcW w:w="12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34,878,997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34,878,997</w:t>
            </w: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37,320,527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37,320,527</w:t>
            </w: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2026</w:t>
            </w: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39,932,964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39,932,964</w:t>
            </w:r>
          </w:p>
        </w:tc>
      </w:tr>
      <w:tr>
        <w:trPr>
          <w:trHeight w:val="40"/>
        </w:trPr>
        <w:tc>
          <w:tcPr>
            <w:tcW w:w="5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Interests of Certain Persons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Eric Ball, a member of our Board, and Nitesh Sharan, our Chief Financial Officer, purchased an aggregate of 6,668 shares of Series A Preferred Stock in the Transaction. Refer to the section titled “Security Ownership of Certain Beneficial Owners and Management” for more information regarding the ownership of Common Stock by each of Dr. Ball and Mr. Sharan.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Notice Pursuant to Section 228(e)</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Pursuant to Section 228(e) of the Delaware General Corporation Law (“DGCL”), the Company is required to provide prompt notice of the taking of a corporate action by written consent of stockholders to the Company’s stockholders who have not consented in writing to such action. This Information Statement serves as the notice required by Section 228(e) of the DGCL.</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Dissenters’ Rights of Appraisal</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Delaware law does not provide for dissenters’ rights or similar rights of appraisal in connection with the corporate action described in this Information Statement.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following table sets forth information known to the Company regarding beneficial ownership of the</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Company’s Class A Common Stock and Class B Common Stock as of January 27, 2023 by:</w:t>
      </w:r>
    </w:p>
    <w:p>
      <w:pPr>
        <w:spacing w:after="0" w:line="116" w:lineRule="exact"/>
        <w:rPr>
          <w:sz w:val="20"/>
          <w:szCs w:val="20"/>
          <w:color w:val="auto"/>
        </w:rPr>
      </w:pPr>
    </w:p>
    <w:p>
      <w:pPr>
        <w:ind w:left="1400" w:right="579" w:hanging="414"/>
        <w:spacing w:after="0" w:line="267" w:lineRule="auto"/>
        <w:tabs>
          <w:tab w:leader="none" w:pos="13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Class A Common Stock and Class B Common Stock;</w:t>
      </w:r>
    </w:p>
    <w:p>
      <w:pPr>
        <w:spacing w:after="0" w:line="103"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47"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34"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19"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percentage of beneficial ownership is based on 200,076,039 shares of Company common stock issued and outstanding as of January 27, 2023, which calculation includes (i) 160,340,631 shares of the Class A Common Stock and (ii) 39,735,408 shares of the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23"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In accordance with SEC rules, shares of our common stock which may be acquired upon exercise of stock options or warrants which are currently exercisable or which become exercisable within 60 days after January 27, 2023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8" w:lineRule="exact"/>
        <w:rPr>
          <w:sz w:val="20"/>
          <w:szCs w:val="20"/>
          <w:color w:val="auto"/>
        </w:rPr>
      </w:pPr>
    </w:p>
    <w:p>
      <w:pPr>
        <w:jc w:val="both"/>
        <w:ind w:left="560" w:right="579" w:firstLine="420"/>
        <w:spacing w:after="0" w:line="293" w:lineRule="auto"/>
        <w:rPr>
          <w:sz w:val="20"/>
          <w:szCs w:val="20"/>
          <w:color w:val="auto"/>
        </w:rPr>
      </w:pPr>
      <w:r>
        <w:rPr>
          <w:rFonts w:ascii="Times New Roman" w:cs="Times New Roman" w:eastAsia="Times New Roman" w:hAnsi="Times New Roman"/>
          <w:sz w:val="16"/>
          <w:szCs w:val="16"/>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Beneficial Ownership Table</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4"/>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1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of Class A</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Class</w:t>
            </w:r>
          </w:p>
        </w:tc>
        <w:tc>
          <w:tcPr>
            <w:tcW w:w="112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Shares of Class B</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Class</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2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900" w:type="dxa"/>
            <w:vAlign w:val="bottom"/>
            <w:gridSpan w:val="2"/>
            <w:vMerge w:val="continue"/>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920" w:type="dxa"/>
            <w:vAlign w:val="bottom"/>
            <w:gridSpan w:val="2"/>
            <w:vMerge w:val="continue"/>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24"/>
        </w:trPr>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Keyvan Mohajer</w:t>
            </w:r>
            <w:r>
              <w:rPr>
                <w:rFonts w:ascii="Times New Roman" w:cs="Times New Roman" w:eastAsia="Times New Roman" w:hAnsi="Times New Roman"/>
                <w:sz w:val="21"/>
                <w:szCs w:val="21"/>
                <w:color w:val="auto"/>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1,070,935</w:t>
            </w:r>
          </w:p>
        </w:tc>
        <w:tc>
          <w:tcPr>
            <w:tcW w:w="10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16,639,064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Hom</w:t>
            </w:r>
            <w:r>
              <w:rPr>
                <w:rFonts w:ascii="Times New Roman" w:cs="Times New Roman" w:eastAsia="Times New Roman" w:hAnsi="Times New Roman"/>
                <w:sz w:val="21"/>
                <w:szCs w:val="21"/>
                <w:color w:val="auto"/>
                <w:vertAlign w:val="superscript"/>
              </w:rPr>
              <w:t>(2)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84,028</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4,512,588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Larry Marcus</w:t>
            </w:r>
            <w:r>
              <w:rPr>
                <w:rFonts w:ascii="Times New Roman" w:cs="Times New Roman" w:eastAsia="Times New Roman" w:hAnsi="Times New Roman"/>
                <w:sz w:val="21"/>
                <w:szCs w:val="21"/>
                <w:color w:val="auto"/>
                <w:vertAlign w:val="superscript"/>
              </w:rPr>
              <w:t>(3)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945,846</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Diana Sroka</w:t>
            </w:r>
            <w:r>
              <w:rPr>
                <w:rFonts w:ascii="Times New Roman" w:cs="Times New Roman" w:eastAsia="Times New Roman" w:hAnsi="Times New Roman"/>
                <w:sz w:val="21"/>
                <w:szCs w:val="21"/>
                <w:color w:val="auto"/>
                <w:vertAlign w:val="superscript"/>
              </w:rPr>
              <w:t>(4)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26,095</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Eric R. Ball</w:t>
            </w:r>
            <w:r>
              <w:rPr>
                <w:rFonts w:ascii="Times New Roman" w:cs="Times New Roman" w:eastAsia="Times New Roman" w:hAnsi="Times New Roman"/>
                <w:sz w:val="21"/>
                <w:szCs w:val="21"/>
                <w:color w:val="auto"/>
                <w:vertAlign w:val="superscript"/>
              </w:rPr>
              <w:t>(5)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606,345</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Seyed Majid Emami</w:t>
            </w:r>
            <w:r>
              <w:rPr>
                <w:rFonts w:ascii="Times New Roman" w:cs="Times New Roman" w:eastAsia="Times New Roman" w:hAnsi="Times New Roman"/>
                <w:sz w:val="21"/>
                <w:szCs w:val="21"/>
                <w:color w:val="auto"/>
                <w:vertAlign w:val="superscript"/>
              </w:rPr>
              <w:t>(6)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750,776</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18,583,756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Zubin Irani</w:t>
            </w:r>
            <w:r>
              <w:rPr>
                <w:rFonts w:ascii="Times New Roman" w:cs="Times New Roman" w:eastAsia="Times New Roman" w:hAnsi="Times New Roman"/>
                <w:sz w:val="21"/>
                <w:szCs w:val="21"/>
                <w:color w:val="auto"/>
                <w:vertAlign w:val="superscript"/>
              </w:rPr>
              <w:t>(7)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233,423</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Stonehocker</w:t>
            </w:r>
            <w:r>
              <w:rPr>
                <w:rFonts w:ascii="Times New Roman" w:cs="Times New Roman" w:eastAsia="Times New Roman" w:hAnsi="Times New Roman"/>
                <w:sz w:val="21"/>
                <w:szCs w:val="21"/>
                <w:color w:val="auto"/>
                <w:vertAlign w:val="superscript"/>
              </w:rPr>
              <w:t>(8)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1,640,591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Nitesh Sharan</w:t>
            </w:r>
            <w:r>
              <w:rPr>
                <w:rFonts w:ascii="Times New Roman" w:cs="Times New Roman" w:eastAsia="Times New Roman" w:hAnsi="Times New Roman"/>
                <w:sz w:val="21"/>
                <w:szCs w:val="21"/>
                <w:color w:val="auto"/>
                <w:vertAlign w:val="superscript"/>
              </w:rPr>
              <w:t>(9)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272,001</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Zagorsek</w:t>
            </w:r>
            <w:r>
              <w:rPr>
                <w:rFonts w:ascii="Times New Roman" w:cs="Times New Roman" w:eastAsia="Times New Roman" w:hAnsi="Times New Roman"/>
                <w:sz w:val="21"/>
                <w:szCs w:val="21"/>
                <w:color w:val="auto"/>
                <w:vertAlign w:val="superscript"/>
              </w:rPr>
              <w:t>(10)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1,054,864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0"/>
        </w:trPr>
        <w:tc>
          <w:tcPr>
            <w:tcW w:w="272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i w:val="1"/>
                <w:iCs w:val="1"/>
                <w:color w:val="auto"/>
              </w:rPr>
              <w:t>All directors and executive officers as a</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6,684,904</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39,735,408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85"/>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group (10 individuals)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 Holders</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Global Catalyst Partners III, L.P.</w:t>
            </w:r>
            <w:r>
              <w:rPr>
                <w:rFonts w:ascii="Times New Roman" w:cs="Times New Roman" w:eastAsia="Times New Roman" w:hAnsi="Times New Roman"/>
                <w:sz w:val="21"/>
                <w:szCs w:val="21"/>
                <w:color w:val="auto"/>
                <w:vertAlign w:val="superscript"/>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35,188,205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60" w:hanging="395"/>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jc w:val="both"/>
        <w:ind w:left="980" w:right="579" w:hanging="415"/>
        <w:spacing w:after="0" w:line="265" w:lineRule="auto"/>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January 27, 2023.</w:t>
      </w:r>
    </w:p>
    <w:p>
      <w:pPr>
        <w:sectPr>
          <w:pgSz w:w="11900" w:h="16838" w:orient="portrait"/>
          <w:cols w:equalWidth="0" w:num="1">
            <w:col w:w="9019"/>
          </w:cols>
          <w:pgMar w:left="1440" w:top="329"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27940</wp:posOffset>
            </wp:positionV>
            <wp:extent cx="5001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8" w:name="page9"/>
    <w:bookmarkEnd w:id="8"/>
    <w:p>
      <w:pPr>
        <w:ind w:left="980" w:right="579" w:hanging="415"/>
        <w:spacing w:after="0" w:line="263"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19,722 shares of Class A Common Stock issuable upon vesting of outstanding restricted stock units that vest within 60 days of January 27, 2023.</w:t>
      </w: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919,751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4" w:lineRule="exact"/>
        <w:rPr>
          <w:rFonts w:ascii="Times New Roman" w:cs="Times New Roman" w:eastAsia="Times New Roman" w:hAnsi="Times New Roman"/>
          <w:sz w:val="16"/>
          <w:szCs w:val="16"/>
          <w:color w:val="auto"/>
        </w:rPr>
      </w:pPr>
    </w:p>
    <w:p>
      <w:pPr>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w:t>
      </w:r>
    </w:p>
    <w:p>
      <w:pPr>
        <w:spacing w:after="0" w:line="1"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580,250 shares of Class A Common Stock held by the Ball Axline Living Trust (dated July 22, 2014), of which Eric Ball is a joint trustee. Mr. Ball disclaims beneficial ownership of the shares held by the trust except to the extent of any pecuniary interest he may have therein.</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19,722 shares of Class A Common Stock issuable upon vesting of outstanding restricted stock units that vest within 60 days of January 27, 2023.</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64,310 shares of Class A Common Stock that are issuable upon exercise of stock options which are currently exercisable and 25,000 shares of Class A Common Stock issuable upon vesting of outstanding restricted stock units that vest within 60 days of January 27, 2023.</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750,964 shares of Class A Common Stock in exchange for securities pursuant to the Merger Agreement, 82,861 shares of Class A Common Stock from settlement of RSUs, 788,294 shares of Class A Common Stock that are issuable upon exercise of stock options that are currently exercisable or exercisable within 60 days of January 27, 2023 and 18,472 shares of Class A Common Stock issuable upon vesting of outstanding restricted stock units that vest within 60 days of January 27, 2023.</w:t>
      </w:r>
    </w:p>
    <w:p>
      <w:pPr>
        <w:spacing w:after="0" w:line="3"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115,751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948,614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62" w:lineRule="auto"/>
        <w:tabs>
          <w:tab w:leader="none" w:pos="97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ENTITLED TO INFORMATION STATEMENT</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This Information Statement is being mailed to you on or about , 2023. We will pay all costs associated with the distribution of this Information Statement, including the costs of printing and mailing. We will reimburse brokerage firms and other custodians, nominees and fiduciaries for reasonable expenses incurred by them in sending this Information Statement to the beneficial owners of our Common Stock.</w:t>
      </w:r>
    </w:p>
    <w:p>
      <w:pPr>
        <w:spacing w:after="0" w:line="10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We have established , 2023 as the Record Date for the determination of stockholders entitled to receive this Information Statement.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MATERIALS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Information Statement materials with respect to two or more stockholders sharing the same address by delivering a single set of Information Statement materials addressed to those stockholders. This process, which is commonly referred to as “householding,” potentially means extra convenience for stockholders and cost savings for companies.</w:t>
      </w:r>
    </w:p>
    <w:p>
      <w:pPr>
        <w:spacing w:after="0" w:line="12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A number of brokers with account holders who are SoundHound AI, inc., stockholders will be “householding” the Information Statement materials. A single set of Information Statement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Information Statement materials, please notify your broker or the Company. We will promptly deliver, upon oral or written request, a separate copy of this Information Statement to any stockholder residing at an address to which only one copy was mailed. Requests for additional copies should be directed to the Company by phone at (408) 441-3200 or by mail to Soundhound AI, Inc., Attn: Dr. Keyvan Mohajer, at 5400 Betsy Ross Drive, Santa Clara, CA 95054. Stockholders who currently receive multiple copies of the Information Statement materials at their addresses and would like to request “householding” of their communications should contact their brokers or us at the address or telephone number above to request that only a single copy of an information statement be mailed in the future.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also may obtain free copies of the documents we file with the SEC, including this Information Statement, by going to the investor relations page of our website at investors.soundhound.com. Our website address is provided as an inactive textual reference only. The information provided on, or accessible through, our website is not part of this Information Statement, and therefore is not incorporated herein by reference.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9"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We have not authorized anyone to provide you with information that is different from what is contained in this Information Statement, the annexes to this Information Statement, any amendments or supplements to this Information Statement, and the documents that we incorporate by reference into this Information Statement. We take no responsibility for, and can provide no assurance as to the reliability of, any other information that others</w:t>
      </w:r>
    </w:p>
    <w:p>
      <w:pPr>
        <w:spacing w:after="0" w:line="3" w:lineRule="exact"/>
        <w:rPr>
          <w:sz w:val="20"/>
          <w:szCs w:val="20"/>
          <w:color w:val="auto"/>
        </w:rPr>
      </w:pPr>
    </w:p>
    <w:p>
      <w:pPr>
        <w:jc w:val="both"/>
        <w:ind w:left="560" w:right="579"/>
        <w:spacing w:after="0" w:line="244" w:lineRule="auto"/>
        <w:rPr>
          <w:sz w:val="20"/>
          <w:szCs w:val="20"/>
          <w:color w:val="auto"/>
        </w:rPr>
      </w:pPr>
      <w:r>
        <w:rPr>
          <w:rFonts w:ascii="Times New Roman" w:cs="Times New Roman" w:eastAsia="Times New Roman" w:hAnsi="Times New Roman"/>
          <w:sz w:val="18"/>
          <w:szCs w:val="18"/>
          <w:color w:val="auto"/>
        </w:rPr>
        <w:t>may give you. This Information Statement is dated , 2023. You should not assume that the information contained in this Information Statement is accurate as of any date other than that date (or as of an earlier date if so indicated in this Information Statement), and the mailing of this Information Statement to stockholders does not create any implication to the contrary.</w:t>
      </w:r>
    </w:p>
    <w:p>
      <w:pPr>
        <w:spacing w:after="0" w:line="17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9" w:lineRule="exact"/>
        <w:rPr>
          <w:sz w:val="20"/>
          <w:szCs w:val="20"/>
          <w:color w:val="auto"/>
        </w:rPr>
      </w:pPr>
    </w:p>
    <w:p>
      <w:pPr>
        <w:ind w:left="560"/>
        <w:spacing w:after="0"/>
        <w:tabs>
          <w:tab w:leader="none" w:pos="1440" w:val="left"/>
          <w:tab w:leader="none" w:pos="4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2023</w:t>
      </w:r>
      <w:r>
        <w:rPr>
          <w:sz w:val="20"/>
          <w:szCs w:val="20"/>
          <w:color w:val="auto"/>
        </w:rPr>
        <w:tab/>
      </w: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38735</wp:posOffset>
            </wp:positionV>
            <wp:extent cx="200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09140" cy="8255"/>
                    </a:xfrm>
                    <a:prstGeom prst="rect">
                      <a:avLst/>
                    </a:prstGeom>
                    <a:noFill/>
                  </pic:spPr>
                </pic:pic>
              </a:graphicData>
            </a:graphic>
          </wp:anchor>
        </w:drawing>
      </w:r>
    </w:p>
    <w:p>
      <w:pPr>
        <w:spacing w:after="0" w:line="4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69" w:lineRule="exact"/>
        <w:rPr>
          <w:sz w:val="20"/>
          <w:szCs w:val="20"/>
          <w:color w:val="auto"/>
        </w:rPr>
      </w:pPr>
    </w:p>
    <w:p>
      <w:pPr>
        <w:ind w:left="472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 w:name="page11"/>
    <w:bookmarkEnd w:id="10"/>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ANNEX A</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80" w:type="dxa"/>
            <w:vAlign w:val="bottom"/>
            <w:gridSpan w:val="9"/>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6"/>
              </w:rPr>
              <w:t>INDEX TO 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80" w:type="dxa"/>
            <w:vAlign w:val="bottom"/>
            <w:gridSpan w:val="9"/>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6"/>
              </w:rPr>
              <w:t>ARCHIMEDES TECH SPAC PARTNERS CO.</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92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6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080" w:type="dxa"/>
            <w:vAlign w:val="bottom"/>
            <w:gridSpan w:val="12"/>
          </w:tcPr>
          <w:p>
            <w:pPr>
              <w:spacing w:after="0" w:line="197"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0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gridSpan w:val="11"/>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0000EE"/>
              </w:rPr>
              <w:t>Balance Sheet as of December 31, 2021 and 2020</w:t>
            </w:r>
          </w:p>
        </w:tc>
        <w:tc>
          <w:tcPr>
            <w:tcW w:w="80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9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060" w:type="dxa"/>
            <w:vAlign w:val="bottom"/>
            <w:tcBorders>
              <w:bottom w:val="single" w:sz="8" w:color="0000EE"/>
            </w:tcBorders>
            <w:gridSpan w:val="9"/>
          </w:tcPr>
          <w:p>
            <w:pPr>
              <w:spacing w:after="0" w:line="170" w:lineRule="exact"/>
              <w:rPr>
                <w:sz w:val="20"/>
                <w:szCs w:val="20"/>
                <w:color w:val="auto"/>
              </w:rPr>
            </w:pPr>
            <w:r>
              <w:rPr>
                <w:rFonts w:ascii="Times New Roman" w:cs="Times New Roman" w:eastAsia="Times New Roman" w:hAnsi="Times New Roman"/>
                <w:sz w:val="18"/>
                <w:szCs w:val="18"/>
                <w:color w:val="0000EE"/>
                <w:w w:val="96"/>
              </w:rPr>
              <w:t>Statements of Operations for the periods from September 15, 2020 (inception) through</w:t>
            </w:r>
          </w:p>
        </w:tc>
        <w:tc>
          <w:tcPr>
            <w:tcW w:w="100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60" w:type="dxa"/>
            <w:vAlign w:val="bottom"/>
            <w:gridSpan w:val="11"/>
          </w:tcPr>
          <w:p>
            <w:pPr>
              <w:ind w:left="160"/>
              <w:spacing w:after="0" w:line="190" w:lineRule="exact"/>
              <w:rPr>
                <w:sz w:val="20"/>
                <w:szCs w:val="20"/>
                <w:color w:val="auto"/>
              </w:rPr>
            </w:pPr>
            <w:r>
              <w:rPr>
                <w:rFonts w:ascii="Times New Roman" w:cs="Times New Roman" w:eastAsia="Times New Roman" w:hAnsi="Times New Roman"/>
                <w:sz w:val="18"/>
                <w:szCs w:val="18"/>
                <w:color w:val="0000EE"/>
              </w:rPr>
              <w:t>December 31, 2020 and for the year ended December 31, 2021</w:t>
            </w:r>
          </w:p>
        </w:tc>
        <w:tc>
          <w:tcPr>
            <w:tcW w:w="8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A-4</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40" w:type="dxa"/>
            <w:vAlign w:val="bottom"/>
            <w:tcBorders>
              <w:bottom w:val="single" w:sz="8" w:color="0000EE"/>
            </w:tcBorders>
            <w:gridSpan w:val="10"/>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w w:val="96"/>
              </w:rPr>
              <w:t>Statement of Changes in Stockholders’ Equity for the periods from September 15, 2020 (inception)</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900" w:type="dxa"/>
            <w:vAlign w:val="bottom"/>
            <w:gridSpan w:val="10"/>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0000EE"/>
              </w:rPr>
              <w:t>through December 31, 2020 and the year ended December 31, 2021</w:t>
            </w:r>
          </w:p>
        </w:tc>
        <w:tc>
          <w:tcPr>
            <w:tcW w:w="8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A-5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040" w:type="dxa"/>
            <w:vAlign w:val="bottom"/>
            <w:tcBorders>
              <w:bottom w:val="single" w:sz="8" w:color="0000EE"/>
            </w:tcBorders>
            <w:gridSpan w:val="8"/>
          </w:tcPr>
          <w:p>
            <w:pPr>
              <w:spacing w:after="0" w:line="170" w:lineRule="exact"/>
              <w:rPr>
                <w:sz w:val="20"/>
                <w:szCs w:val="20"/>
                <w:color w:val="auto"/>
              </w:rPr>
            </w:pPr>
            <w:r>
              <w:rPr>
                <w:rFonts w:ascii="Times New Roman" w:cs="Times New Roman" w:eastAsia="Times New Roman" w:hAnsi="Times New Roman"/>
                <w:sz w:val="18"/>
                <w:szCs w:val="18"/>
                <w:color w:val="0000EE"/>
                <w:w w:val="96"/>
              </w:rPr>
              <w:t>Statement of Cash Flows for the periods from September 15, 2020 (inception) through</w:t>
            </w:r>
          </w:p>
        </w:tc>
        <w:tc>
          <w:tcPr>
            <w:tcW w:w="102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60" w:type="dxa"/>
            <w:vAlign w:val="bottom"/>
            <w:gridSpan w:val="11"/>
          </w:tcPr>
          <w:p>
            <w:pPr>
              <w:ind w:left="160"/>
              <w:spacing w:after="0" w:line="190" w:lineRule="exact"/>
              <w:rPr>
                <w:sz w:val="20"/>
                <w:szCs w:val="20"/>
                <w:color w:val="auto"/>
              </w:rPr>
            </w:pPr>
            <w:r>
              <w:rPr>
                <w:rFonts w:ascii="Times New Roman" w:cs="Times New Roman" w:eastAsia="Times New Roman" w:hAnsi="Times New Roman"/>
                <w:sz w:val="18"/>
                <w:szCs w:val="18"/>
                <w:color w:val="0000EE"/>
              </w:rPr>
              <w:t>December 31, 2020 and the year ended December 31, 2021</w:t>
            </w:r>
          </w:p>
        </w:tc>
        <w:tc>
          <w:tcPr>
            <w:tcW w:w="8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A-6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gridSpan w:val="11"/>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80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A-7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9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-118110</wp:posOffset>
            </wp:positionV>
            <wp:extent cx="500189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Condensed Balance Sheets as of March 31, 2022 (unaudited) and December 31, 2021</w:t>
      </w:r>
    </w:p>
    <w:p>
      <w:pPr>
        <w:spacing w:after="0" w:line="69" w:lineRule="exact"/>
        <w:rPr>
          <w:sz w:val="20"/>
          <w:szCs w:val="20"/>
          <w:color w:val="auto"/>
        </w:rPr>
      </w:pPr>
    </w:p>
    <w:p>
      <w:pPr>
        <w:ind w:left="740" w:right="80" w:hanging="174"/>
        <w:spacing w:after="0" w:line="266" w:lineRule="auto"/>
        <w:rPr>
          <w:sz w:val="20"/>
          <w:szCs w:val="20"/>
          <w:color w:val="auto"/>
        </w:rPr>
      </w:pPr>
      <w:r>
        <w:rPr>
          <w:rFonts w:ascii="Times New Roman" w:cs="Times New Roman" w:eastAsia="Times New Roman" w:hAnsi="Times New Roman"/>
          <w:sz w:val="18"/>
          <w:szCs w:val="18"/>
          <w:u w:val="single" w:color="auto"/>
          <w:color w:val="0000EE"/>
        </w:rPr>
        <w:t>Unaudited Condensed Statements of Operations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-278765</wp:posOffset>
            </wp:positionV>
            <wp:extent cx="500189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1895" cy="291465"/>
                    </a:xfrm>
                    <a:prstGeom prst="rect">
                      <a:avLst/>
                    </a:prstGeom>
                    <a:noFill/>
                  </pic:spPr>
                </pic:pic>
              </a:graphicData>
            </a:graphic>
          </wp:anchor>
        </w:drawing>
      </w:r>
    </w:p>
    <w:p>
      <w:pPr>
        <w:ind w:left="740" w:hanging="174"/>
        <w:spacing w:after="0" w:line="266" w:lineRule="auto"/>
        <w:rPr>
          <w:sz w:val="20"/>
          <w:szCs w:val="20"/>
          <w:color w:val="auto"/>
        </w:rPr>
      </w:pPr>
      <w:r>
        <w:rPr>
          <w:rFonts w:ascii="Times New Roman" w:cs="Times New Roman" w:eastAsia="Times New Roman" w:hAnsi="Times New Roman"/>
          <w:sz w:val="18"/>
          <w:szCs w:val="18"/>
          <w:u w:val="single" w:color="auto"/>
          <w:color w:val="0000EE"/>
        </w:rPr>
        <w:t>Unaudited Condensed Statements of Changes in Stockholders’ Equity for the three months ended March 31, 2022 and 2021</w:t>
      </w:r>
    </w:p>
    <w:p>
      <w:pPr>
        <w:spacing w:after="0" w:line="1" w:lineRule="exact"/>
        <w:rPr>
          <w:sz w:val="20"/>
          <w:szCs w:val="20"/>
          <w:color w:val="auto"/>
        </w:rPr>
      </w:pPr>
    </w:p>
    <w:p>
      <w:pPr>
        <w:ind w:left="740" w:right="100" w:hanging="174"/>
        <w:spacing w:after="0" w:line="266" w:lineRule="auto"/>
        <w:rPr>
          <w:sz w:val="20"/>
          <w:szCs w:val="20"/>
          <w:color w:val="auto"/>
        </w:rPr>
      </w:pPr>
      <w:r>
        <w:rPr>
          <w:rFonts w:ascii="Times New Roman" w:cs="Times New Roman" w:eastAsia="Times New Roman" w:hAnsi="Times New Roman"/>
          <w:sz w:val="18"/>
          <w:szCs w:val="18"/>
          <w:u w:val="single" w:color="auto"/>
          <w:color w:val="0000EE"/>
        </w:rPr>
        <w:t>Unaudited Condensed Statement of Cash Flows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-278765</wp:posOffset>
            </wp:positionV>
            <wp:extent cx="500189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01895" cy="29146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u w:val="single" w:color="auto"/>
          <w:color w:val="0000EE"/>
        </w:rPr>
        <w:t>Notes to Unaudited Condensed Financial Statements</w:t>
      </w:r>
    </w:p>
    <w:p>
      <w:pPr>
        <w:spacing w:after="0" w:line="27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-118110</wp:posOffset>
            </wp:positionV>
            <wp:extent cx="500189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A-26</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A-27</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A-28</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A-29</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A-30</w:t>
      </w:r>
    </w:p>
    <w:p>
      <w:pPr>
        <w:spacing w:after="0" w:line="927" w:lineRule="exact"/>
        <w:rPr>
          <w:sz w:val="20"/>
          <w:szCs w:val="20"/>
          <w:color w:val="auto"/>
        </w:rPr>
      </w:pPr>
    </w:p>
    <w:p>
      <w:pPr>
        <w:sectPr>
          <w:pgSz w:w="11900" w:h="16838" w:orient="portrait"/>
          <w:cols w:equalWidth="0" w:num="2">
            <w:col w:w="7380" w:space="480"/>
            <w:col w:w="1159"/>
          </w:cols>
          <w:pgMar w:left="1440" w:top="329" w:right="1440" w:bottom="1440" w:gutter="0" w:footer="0" w:header="0"/>
          <w:type w:val="continuous"/>
        </w:sectPr>
      </w:pPr>
    </w:p>
    <w:tbl>
      <w:tblPr>
        <w:tblLayout w:type="fixed"/>
        <w:tblInd w:w="560" w:type="dxa"/>
        <w:tblCellMar>
          <w:top w:w="0" w:type="dxa"/>
          <w:left w:w="0" w:type="dxa"/>
          <w:bottom w:w="0" w:type="dxa"/>
          <w:right w:w="0" w:type="dxa"/>
        </w:tblCellMar>
      </w:tblPr>
      <w:tr>
        <w:trPr>
          <w:trHeight w:val="207"/>
        </w:trPr>
        <w:tc>
          <w:tcPr>
            <w:tcW w:w="71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12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rPr>
              <w:t>Balance Sheets as of December 31, 2021 and 2020</w:t>
            </w:r>
          </w:p>
        </w:tc>
        <w:tc>
          <w:tcPr>
            <w:tcW w:w="760" w:type="dxa"/>
            <w:vAlign w:val="bottom"/>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1280" w:type="dxa"/>
            <w:vAlign w:val="bottom"/>
            <w:tcBorders>
              <w:top w:val="single" w:sz="8" w:color="0000EE"/>
            </w:tcBorders>
            <w:shd w:val="clear" w:color="auto" w:fill="CCEEFF"/>
          </w:tcPr>
          <w:p>
            <w:pPr>
              <w:spacing w:after="0"/>
              <w:rPr>
                <w:sz w:val="7"/>
                <w:szCs w:val="7"/>
                <w:color w:val="auto"/>
              </w:rPr>
            </w:pPr>
          </w:p>
        </w:tc>
        <w:tc>
          <w:tcPr>
            <w:tcW w:w="12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tcPr>
          <w:p>
            <w:pPr>
              <w:spacing w:after="0" w:line="170"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2021 and 2020</w:t>
            </w:r>
          </w:p>
        </w:tc>
        <w:tc>
          <w:tcPr>
            <w:tcW w:w="76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A-49</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12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rPr>
              <w:t>Statements of Stockholders’ Equity for the years ended December 31, 2021 and 2020</w:t>
            </w:r>
          </w:p>
        </w:tc>
        <w:tc>
          <w:tcPr>
            <w:tcW w:w="760" w:type="dxa"/>
            <w:vAlign w:val="bottom"/>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1280" w:type="dxa"/>
            <w:vAlign w:val="bottom"/>
            <w:tcBorders>
              <w:top w:val="single" w:sz="8" w:color="0000EE"/>
            </w:tcBorders>
            <w:shd w:val="clear" w:color="auto" w:fill="CCEEFF"/>
          </w:tcPr>
          <w:p>
            <w:pPr>
              <w:spacing w:after="0"/>
              <w:rPr>
                <w:sz w:val="7"/>
                <w:szCs w:val="7"/>
                <w:color w:val="auto"/>
              </w:rPr>
            </w:pPr>
          </w:p>
        </w:tc>
        <w:tc>
          <w:tcPr>
            <w:tcW w:w="12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1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tcPr>
          <w:p>
            <w:pPr>
              <w:spacing w:after="0" w:line="170"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2020</w:t>
            </w:r>
          </w:p>
        </w:tc>
        <w:tc>
          <w:tcPr>
            <w:tcW w:w="76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12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60" w:type="dxa"/>
            <w:vAlign w:val="bottom"/>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A-53</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1280" w:type="dxa"/>
            <w:vAlign w:val="bottom"/>
            <w:tcBorders>
              <w:top w:val="single" w:sz="8" w:color="0000EE"/>
            </w:tcBorders>
            <w:shd w:val="clear" w:color="auto" w:fill="CCEEFF"/>
          </w:tcPr>
          <w:p>
            <w:pPr>
              <w:spacing w:after="0"/>
              <w:rPr>
                <w:sz w:val="7"/>
                <w:szCs w:val="7"/>
                <w:color w:val="auto"/>
              </w:rPr>
            </w:pPr>
          </w:p>
        </w:tc>
        <w:tc>
          <w:tcPr>
            <w:tcW w:w="12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10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Borders>
              <w:bottom w:val="single" w:sz="8" w:color="0000EE"/>
            </w:tcBorders>
            <w:gridSpan w:val="14"/>
          </w:tcPr>
          <w:p>
            <w:pPr>
              <w:spacing w:after="0" w:line="170" w:lineRule="exact"/>
              <w:rPr>
                <w:sz w:val="20"/>
                <w:szCs w:val="20"/>
                <w:color w:val="auto"/>
              </w:rPr>
            </w:pPr>
            <w:r>
              <w:rPr>
                <w:rFonts w:ascii="Times New Roman" w:cs="Times New Roman" w:eastAsia="Times New Roman" w:hAnsi="Times New Roman"/>
                <w:sz w:val="18"/>
                <w:szCs w:val="18"/>
                <w:color w:val="0000EE"/>
                <w:w w:val="96"/>
              </w:rPr>
              <w:t>Condensed Consolidated Balance Sheets as of September 30, 2022 (unaudited) and December 31,</w:t>
            </w:r>
          </w:p>
        </w:tc>
        <w:tc>
          <w:tcPr>
            <w:tcW w:w="26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 w:type="dxa"/>
            <w:vAlign w:val="bottom"/>
            <w:gridSpan w:val="3"/>
          </w:tcPr>
          <w:p>
            <w:pPr>
              <w:ind w:left="180"/>
              <w:spacing w:after="0" w:line="190" w:lineRule="exact"/>
              <w:rPr>
                <w:sz w:val="20"/>
                <w:szCs w:val="20"/>
                <w:color w:val="auto"/>
              </w:rPr>
            </w:pPr>
            <w:r>
              <w:rPr>
                <w:rFonts w:ascii="Times New Roman" w:cs="Times New Roman" w:eastAsia="Times New Roman" w:hAnsi="Times New Roman"/>
                <w:sz w:val="18"/>
                <w:szCs w:val="18"/>
                <w:color w:val="0000EE"/>
                <w:w w:val="94"/>
              </w:rPr>
              <w:t>2021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color w:val="auto"/>
              </w:rPr>
              <w:t>A-87</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00" w:type="dxa"/>
            <w:vAlign w:val="bottom"/>
            <w:tcBorders>
              <w:bottom w:val="single" w:sz="8" w:color="0000EE"/>
            </w:tcBorders>
            <w:gridSpan w:val="15"/>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w w:val="96"/>
              </w:rPr>
              <w:t>Condensed Consolidated Statements of Operations and Comprehensive Loss for the three and nine</w:t>
            </w:r>
          </w:p>
        </w:tc>
        <w:tc>
          <w:tcPr>
            <w:tcW w:w="200" w:type="dxa"/>
            <w:vAlign w:val="bottom"/>
            <w:tcBorders>
              <w:bottom w:val="single" w:sz="8" w:color="CCEEFF"/>
            </w:tcBorders>
            <w:gridSpan w:val="2"/>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0000EE"/>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0000EE"/>
                <w:w w:val="96"/>
              </w:rPr>
              <w:t>months ended September 30, 2022 and 2021</w:t>
            </w:r>
          </w:p>
        </w:tc>
        <w:tc>
          <w:tcPr>
            <w:tcW w:w="3820" w:type="dxa"/>
            <w:vAlign w:val="bottom"/>
            <w:tcBorders>
              <w:bottom w:val="single" w:sz="8" w:color="CCEEFF"/>
            </w:tcBorders>
            <w:gridSpan w:val="12"/>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180"/>
              <w:spacing w:after="0" w:line="190" w:lineRule="exact"/>
              <w:rPr>
                <w:sz w:val="20"/>
                <w:szCs w:val="20"/>
                <w:color w:val="auto"/>
              </w:rPr>
            </w:pPr>
            <w:r>
              <w:rPr>
                <w:rFonts w:ascii="Times New Roman" w:cs="Times New Roman" w:eastAsia="Times New Roman" w:hAnsi="Times New Roman"/>
                <w:sz w:val="18"/>
                <w:szCs w:val="18"/>
                <w:color w:val="auto"/>
              </w:rPr>
              <w:t>A-88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gridSpan w:val="17"/>
          </w:tcPr>
          <w:p>
            <w:pPr>
              <w:spacing w:after="0" w:line="170" w:lineRule="exact"/>
              <w:rPr>
                <w:sz w:val="20"/>
                <w:szCs w:val="20"/>
                <w:color w:val="auto"/>
              </w:rPr>
            </w:pPr>
            <w:r>
              <w:rPr>
                <w:rFonts w:ascii="Times New Roman" w:cs="Times New Roman" w:eastAsia="Times New Roman" w:hAnsi="Times New Roman"/>
                <w:sz w:val="18"/>
                <w:szCs w:val="18"/>
                <w:color w:val="0000EE"/>
              </w:rPr>
              <w:t>Condensed Consolidated Statements of Redeemable Convertible Preferred Stock and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40" w:type="dxa"/>
            <w:vAlign w:val="bottom"/>
            <w:tcBorders>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6"/>
              </w:rPr>
              <w:t>Stockholders’ Equity (Deficit) for the three and nine months ended September 30, 2022 and</w:t>
            </w:r>
          </w:p>
        </w:tc>
        <w:tc>
          <w:tcPr>
            <w:tcW w:w="50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gridSpan w:val="3"/>
          </w:tcPr>
          <w:p>
            <w:pPr>
              <w:ind w:left="180"/>
              <w:spacing w:after="0" w:line="190" w:lineRule="exact"/>
              <w:rPr>
                <w:sz w:val="20"/>
                <w:szCs w:val="20"/>
                <w:color w:val="auto"/>
              </w:rPr>
            </w:pPr>
            <w:r>
              <w:rPr>
                <w:rFonts w:ascii="Times New Roman" w:cs="Times New Roman" w:eastAsia="Times New Roman" w:hAnsi="Times New Roman"/>
                <w:sz w:val="18"/>
                <w:szCs w:val="18"/>
                <w:color w:val="0000EE"/>
                <w:w w:val="94"/>
              </w:rPr>
              <w:t>2021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color w:val="auto"/>
              </w:rPr>
              <w:t>A-89</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20" w:type="dxa"/>
            <w:vAlign w:val="bottom"/>
            <w:tcBorders>
              <w:bottom w:val="single" w:sz="8" w:color="0000EE"/>
            </w:tcBorders>
            <w:gridSpan w:val="16"/>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w w:val="96"/>
              </w:rPr>
              <w:t>Condensed Consolidated Statements of Cash Flows for the nine months ended September 30, 2022</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940" w:type="dxa"/>
            <w:vAlign w:val="bottom"/>
            <w:gridSpan w:val="16"/>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0000EE"/>
              </w:rPr>
              <w:t>and 2021</w:t>
            </w:r>
          </w:p>
        </w:tc>
        <w:tc>
          <w:tcPr>
            <w:tcW w:w="760" w:type="dxa"/>
            <w:vAlign w:val="bottom"/>
            <w:shd w:val="clear" w:color="auto" w:fill="CCEEFF"/>
          </w:tcPr>
          <w:p>
            <w:pPr>
              <w:ind w:left="180"/>
              <w:spacing w:after="0" w:line="190" w:lineRule="exact"/>
              <w:rPr>
                <w:sz w:val="20"/>
                <w:szCs w:val="20"/>
                <w:color w:val="auto"/>
              </w:rPr>
            </w:pPr>
            <w:r>
              <w:rPr>
                <w:rFonts w:ascii="Times New Roman" w:cs="Times New Roman" w:eastAsia="Times New Roman" w:hAnsi="Times New Roman"/>
                <w:sz w:val="18"/>
                <w:szCs w:val="18"/>
                <w:color w:val="auto"/>
              </w:rPr>
              <w:t>A-92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0000EE"/>
            </w:tcBorders>
            <w:vMerge w:val="continue"/>
          </w:tcPr>
          <w:p>
            <w:pPr>
              <w:spacing w:after="0"/>
              <w:rPr>
                <w:sz w:val="14"/>
                <w:szCs w:val="14"/>
                <w:color w:val="auto"/>
              </w:rPr>
            </w:pPr>
          </w:p>
        </w:tc>
        <w:tc>
          <w:tcPr>
            <w:tcW w:w="3860" w:type="dxa"/>
            <w:vAlign w:val="bottom"/>
            <w:tcBorders>
              <w:bottom w:val="single" w:sz="8" w:color="0000EE"/>
            </w:tcBorders>
            <w:gridSpan w:val="7"/>
          </w:tcPr>
          <w:p>
            <w:pPr>
              <w:spacing w:after="0" w:line="151" w:lineRule="exact"/>
              <w:rPr>
                <w:sz w:val="20"/>
                <w:szCs w:val="20"/>
                <w:color w:val="auto"/>
              </w:rPr>
            </w:pPr>
            <w:r>
              <w:rPr>
                <w:rFonts w:ascii="Times New Roman" w:cs="Times New Roman" w:eastAsia="Times New Roman" w:hAnsi="Times New Roman"/>
                <w:sz w:val="16"/>
                <w:szCs w:val="16"/>
                <w:color w:val="0000EE"/>
              </w:rPr>
              <w:t>Notes to Condensed Consolidated Financial Statements</w:t>
            </w:r>
          </w:p>
        </w:tc>
        <w:tc>
          <w:tcPr>
            <w:tcW w:w="3240" w:type="dxa"/>
            <w:vAlign w:val="bottom"/>
            <w:gridSpan w:val="10"/>
          </w:tcPr>
          <w:p>
            <w:pPr>
              <w:spacing w:after="0"/>
              <w:rPr>
                <w:sz w:val="14"/>
                <w:szCs w:val="14"/>
                <w:color w:val="auto"/>
              </w:rPr>
            </w:pPr>
          </w:p>
        </w:tc>
        <w:tc>
          <w:tcPr>
            <w:tcW w:w="760" w:type="dxa"/>
            <w:vAlign w:val="bottom"/>
          </w:tcPr>
          <w:p>
            <w:pPr>
              <w:ind w:left="180"/>
              <w:spacing w:after="0" w:line="163" w:lineRule="exact"/>
              <w:rPr>
                <w:sz w:val="20"/>
                <w:szCs w:val="20"/>
                <w:color w:val="auto"/>
              </w:rPr>
            </w:pPr>
            <w:r>
              <w:rPr>
                <w:rFonts w:ascii="Times New Roman" w:cs="Times New Roman" w:eastAsia="Times New Roman" w:hAnsi="Times New Roman"/>
                <w:sz w:val="18"/>
                <w:szCs w:val="18"/>
                <w:color w:val="auto"/>
              </w:rPr>
              <w:t>A-93</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11" w:name="page12"/>
    <w:bookmarkEnd w:id="11"/>
    <w:p>
      <w:pPr>
        <w:ind w:left="1620"/>
        <w:spacing w:after="0"/>
        <w:rPr>
          <w:sz w:val="20"/>
          <w:szCs w:val="20"/>
          <w:color w:val="auto"/>
        </w:rPr>
      </w:pPr>
      <w:r>
        <w:rPr>
          <w:rFonts w:ascii="Times New Roman" w:cs="Times New Roman" w:eastAsia="Times New Roman" w:hAnsi="Times New Roman"/>
          <w:sz w:val="18"/>
          <w:szCs w:val="18"/>
          <w:b w:val="1"/>
          <w:bCs w:val="1"/>
          <w:color w:val="auto"/>
        </w:rPr>
        <w:t>REPORT OF INDEPDENT REGISTERED PUBLIC ACCOUNTING FIRM</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36"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49"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UHY LLP</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9, 2022</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235,295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98,066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9"/>
              </w:rPr>
              <w:t>133,010,583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99"/>
              </w:rPr>
              <w:t>133,343,944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247,868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247,514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497,198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0 shares at redemption value as of December 31, 2021 and 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9"/>
              </w:rPr>
              <w:t>133,010,583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1,000,000 shares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authorized; none issued and outstanding</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shares authorized, 4,161,000 shares and 0 shares issued and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(excluding 13,300,000 shares and 0 shares subject to possible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as of December 31, 2021 and 2020, respectively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818,347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(982,600)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133,343,944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(Inception)</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year ended</w:t>
            </w: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through</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5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56"/>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2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(1,015,260)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gridSpan w:val="2"/>
          </w:tcPr>
          <w:p>
            <w:pPr>
              <w:spacing w:after="0"/>
              <w:rPr>
                <w:sz w:val="19"/>
                <w:szCs w:val="19"/>
                <w:color w:val="auto"/>
              </w:rPr>
            </w:pPr>
          </w:p>
        </w:tc>
      </w:tr>
      <w:tr>
        <w:trPr>
          <w:trHeight w:val="35"/>
        </w:trPr>
        <w:tc>
          <w:tcPr>
            <w:tcW w:w="52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20" w:type="dxa"/>
            <w:vAlign w:val="bottom"/>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3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interest income</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4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(981,884)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r>
      <w:tr>
        <w:trPr>
          <w:trHeight w:val="27"/>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72"/>
        </w:trPr>
        <w:tc>
          <w:tcPr>
            <w:tcW w:w="20" w:type="dxa"/>
            <w:vAlign w:val="bottom"/>
          </w:tcPr>
          <w:p>
            <w:pPr>
              <w:spacing w:after="0"/>
              <w:rPr>
                <w:sz w:val="14"/>
                <w:szCs w:val="14"/>
                <w:color w:val="auto"/>
              </w:rPr>
            </w:pPr>
          </w:p>
        </w:tc>
        <w:tc>
          <w:tcPr>
            <w:tcW w:w="5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68"/>
        </w:trPr>
        <w:tc>
          <w:tcPr>
            <w:tcW w:w="2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redemption</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10,589,315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20" w:type="dxa"/>
            <w:vAlign w:val="bottom"/>
          </w:tcPr>
          <w:p>
            <w:pPr>
              <w:spacing w:after="0"/>
              <w:rPr>
                <w:sz w:val="14"/>
                <w:szCs w:val="14"/>
                <w:color w:val="auto"/>
              </w:rPr>
            </w:pPr>
          </w:p>
        </w:tc>
        <w:tc>
          <w:tcPr>
            <w:tcW w:w="52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Basic and diluted net income per share attributable to common stock</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1"/>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redemption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3,959,088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DEFICIT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5"/>
            <w:vMerge w:val="restart"/>
          </w:tcPr>
          <w:p>
            <w:pPr>
              <w:ind w:left="80"/>
              <w:spacing w:after="0" w:line="14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140"/>
              <w:spacing w:after="0" w:line="141"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Balance as of September 15,</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2020 (inception)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9"/>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Sale of 12,000,000 Units through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IPO</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119,998,800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Sale of 1,300,000 Units through</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over-allotment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12,999,870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Sale of 416,000 Private Units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4,159,958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2,024,421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issued to initial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24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Offering costs charged to the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(2,449,810)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Initial classification of warrant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(270,307)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Reclassification of offering costs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Public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4,779,936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(981,884)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(981,884)</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Initial value of common stock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(124,412,583)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(124,413,913)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earned on trust account)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6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(982,600)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(981,884)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247,868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(133,000,000)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2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2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134,099,653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235,295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year</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235,295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124,413,913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538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Accretion of common stock to redemption value (interest earned on trust</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270,307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136"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47"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10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8).</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115"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2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49"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3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08"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2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1" w:lineRule="auto"/>
        <w:rPr>
          <w:sz w:val="20"/>
          <w:szCs w:val="20"/>
          <w:color w:val="auto"/>
        </w:rPr>
      </w:pPr>
      <w:r>
        <w:rPr>
          <w:rFonts w:ascii="Times New Roman" w:cs="Times New Roman" w:eastAsia="Times New Roman" w:hAnsi="Times New Roman"/>
          <w:sz w:val="18"/>
          <w:szCs w:val="18"/>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19"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30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6"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121"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7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2 — Restatement of Prior Period Financial Statements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Redeemable Equity Instruments</w:t>
      </w:r>
    </w:p>
    <w:p>
      <w:pPr>
        <w:spacing w:after="0" w:line="149"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3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Classification of Private Warrants &amp; Fair Value of Representative Shares</w:t>
      </w:r>
    </w:p>
    <w:p>
      <w:pPr>
        <w:spacing w:after="0" w:line="149"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6"/>
          <w:szCs w:val="16"/>
          <w:i w:val="1"/>
          <w:iCs w:val="1"/>
          <w:color w:val="auto"/>
        </w:rPr>
        <w:t>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Hedging — Contracts in Entity’s Own Equity</w:t>
      </w:r>
      <w:r>
        <w:rPr>
          <w:rFonts w:ascii="Times New Roman" w:cs="Times New Roman" w:eastAsia="Times New Roman" w:hAnsi="Times New Roman"/>
          <w:sz w:val="16"/>
          <w:szCs w:val="16"/>
          <w:color w:val="auto"/>
        </w:rPr>
        <w:t>, and concluded that the Private Warrants do not meet the criteria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Impact of the Restatement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4"/>
        </w:trPr>
        <w:tc>
          <w:tcPr>
            <w:tcW w:w="42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Balance Sheet at March 15,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253,413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253,413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591,387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254,413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844,800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116,095,120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3,904,880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7"/>
              </w:rPr>
              <w:t>120,000,000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5,004,068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(4,158,254)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845,814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5,000,003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841,710</w:t>
            </w:r>
          </w:p>
        </w:tc>
        <w:tc>
          <w:tcPr>
            <w:tcW w:w="0" w:type="dxa"/>
            <w:vAlign w:val="bottom"/>
          </w:tcPr>
          <w:p>
            <w:pPr>
              <w:spacing w:after="0"/>
              <w:rPr>
                <w:sz w:val="1"/>
                <w:szCs w:val="1"/>
                <w:color w:val="auto"/>
              </w:rPr>
            </w:pPr>
          </w:p>
        </w:tc>
      </w:tr>
      <w:tr>
        <w:trPr>
          <w:trHeight w:val="276"/>
        </w:trPr>
        <w:tc>
          <w:tcPr>
            <w:tcW w:w="42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Balance Sheet at March 31, 2021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128,744,590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4,255,935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7"/>
              </w:rPr>
              <w:t>133,000,525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5,084,297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(4,255,892)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828,405</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subject to redemption</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2,059,408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2,306,667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3,856,614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3,342,133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Equity for the three months ended March 31, 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2,024,421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w w:val="99"/>
              </w:rPr>
              <w:t>Issuance of representative shares – Stockholders’ Equity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2,024,463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Reclassification of offering costs related to public shares</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(13,366,023)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(13,366,023)</w:t>
            </w: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4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Initial value of common stock subject to possible</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redemption</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5"/>
              </w:rPr>
              <w:t>115,841,700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8,572,213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7"/>
              </w:rPr>
              <w:t>124,413,913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Change in value of common stock subject to possible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redemption</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12,902,890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(12,902,365)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Reclassification of offering costs related to public shares</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13,366,023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w w:val="97"/>
              </w:rPr>
              <w:t>Accretion of common stock to redemption value (interest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earned on trust account)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 six months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2,020,963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2,024,421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2,024,463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(2,020,963)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(13,366,023)</w:t>
            </w:r>
          </w:p>
        </w:tc>
        <w:tc>
          <w:tcPr>
            <w:tcW w:w="0" w:type="dxa"/>
            <w:vAlign w:val="bottom"/>
          </w:tcPr>
          <w:p>
            <w:pPr>
              <w:spacing w:after="0"/>
              <w:rPr>
                <w:sz w:val="1"/>
                <w:szCs w:val="1"/>
                <w:color w:val="auto"/>
              </w:rPr>
            </w:pPr>
          </w:p>
        </w:tc>
      </w:tr>
      <w:tr>
        <w:trPr>
          <w:trHeight w:val="40"/>
        </w:trPr>
        <w:tc>
          <w:tcPr>
            <w:tcW w:w="4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ended June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4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0"/>
        </w:trPr>
        <w:tc>
          <w:tcPr>
            <w:tcW w:w="4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3,458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2,024,421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2,020,963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2,024,463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(2,020,963)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(13,366,023)</w:t>
            </w: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11,472,253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6"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1400" w:right="579" w:hanging="414"/>
        <w:spacing w:after="0" w:line="267" w:lineRule="auto"/>
        <w:tabs>
          <w:tab w:leader="none" w:pos="1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03"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4"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15"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49" w:lineRule="exact"/>
        <w:rPr>
          <w:sz w:val="20"/>
          <w:szCs w:val="20"/>
          <w:color w:val="auto"/>
        </w:rPr>
      </w:pPr>
    </w:p>
    <w:p>
      <w:pPr>
        <w:jc w:val="both"/>
        <w:ind w:left="560" w:right="579" w:firstLine="420"/>
        <w:spacing w:after="0" w:line="280" w:lineRule="auto"/>
        <w:rPr>
          <w:sz w:val="20"/>
          <w:szCs w:val="20"/>
          <w:color w:val="auto"/>
        </w:rPr>
      </w:pPr>
      <w:r>
        <w:rPr>
          <w:rFonts w:ascii="Times New Roman" w:cs="Times New Roman" w:eastAsia="Times New Roman" w:hAnsi="Times New Roman"/>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p>
      <w:pPr>
        <w:spacing w:after="0" w:line="18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4"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36195</wp:posOffset>
            </wp:positionV>
            <wp:extent cx="500189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p>
      <w:pPr>
        <w:spacing w:after="0" w:line="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628650</wp:posOffset>
            </wp:positionV>
            <wp:extent cx="5001895" cy="18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01895" cy="18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Allocation of net loss including accretion of temporary equity</w:t>
      </w:r>
    </w:p>
    <w:p>
      <w:pPr>
        <w:spacing w:after="0" w:line="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230505</wp:posOffset>
            </wp:positionV>
            <wp:extent cx="500189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3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both"/>
        <w:ind w:left="1220"/>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(981,884)</w:t>
      </w:r>
    </w:p>
    <w:p>
      <w:pPr>
        <w:spacing w:after="0" w:line="69"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(13,376,606)</w:t>
      </w:r>
    </w:p>
    <w:p>
      <w:pPr>
        <w:spacing w:after="0" w:line="69" w:lineRule="exact"/>
        <w:rPr>
          <w:sz w:val="20"/>
          <w:szCs w:val="20"/>
          <w:color w:val="auto"/>
        </w:rPr>
      </w:pPr>
    </w:p>
    <w:p>
      <w:pPr>
        <w:jc w:val="right"/>
        <w:ind w:right="659"/>
        <w:spacing w:after="0"/>
        <w:tabs>
          <w:tab w:leader="none" w:pos="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38735</wp:posOffset>
            </wp:positionV>
            <wp:extent cx="683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1534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73" w:lineRule="exact"/>
        <w:rPr>
          <w:sz w:val="20"/>
          <w:szCs w:val="20"/>
          <w:color w:val="auto"/>
        </w:rPr>
      </w:pPr>
    </w:p>
    <w:p>
      <w:pPr>
        <w:ind w:left="160"/>
        <w:spacing w:after="0"/>
        <w:tabs>
          <w:tab w:leader="none" w:pos="1240" w:val="left"/>
        </w:tabs>
        <w:rPr>
          <w:sz w:val="20"/>
          <w:szCs w:val="20"/>
          <w:color w:val="auto"/>
        </w:rPr>
      </w:pPr>
      <w:r>
        <w:rPr>
          <w:rFonts w:ascii="Times New Roman" w:cs="Times New Roman" w:eastAsia="Times New Roman" w:hAnsi="Times New Roman"/>
          <w:sz w:val="15"/>
          <w:szCs w:val="15"/>
          <w:b w:val="1"/>
          <w:bCs w:val="1"/>
          <w:color w:val="auto"/>
        </w:rPr>
        <w:t>Redeemable</w:t>
      </w:r>
      <w:r>
        <w:rPr>
          <w:sz w:val="20"/>
          <w:szCs w:val="20"/>
          <w:color w:val="auto"/>
        </w:rPr>
        <w:tab/>
      </w:r>
      <w:r>
        <w:rPr>
          <w:rFonts w:ascii="Times New Roman" w:cs="Times New Roman" w:eastAsia="Times New Roman" w:hAnsi="Times New Roman"/>
          <w:sz w:val="15"/>
          <w:szCs w:val="15"/>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200" w:val="left"/>
          <w:tab w:leader="none" w:pos="1500" w:val="left"/>
        </w:tabs>
        <w:rPr>
          <w:sz w:val="20"/>
          <w:szCs w:val="20"/>
          <w:color w:val="auto"/>
        </w:rPr>
      </w:pPr>
      <w:r>
        <w:rPr>
          <w:rFonts w:ascii="Times New Roman" w:cs="Times New Roman" w:eastAsia="Times New Roman" w:hAnsi="Times New Roman"/>
          <w:sz w:val="18"/>
          <w:szCs w:val="18"/>
          <w:color w:val="auto"/>
        </w:rPr>
        <w:t>$ (10,451,084)</w:t>
        <w:tab/>
        <w:t>$</w:t>
      </w:r>
      <w:r>
        <w:rPr>
          <w:sz w:val="20"/>
          <w:szCs w:val="20"/>
          <w:color w:val="auto"/>
        </w:rPr>
        <w:tab/>
      </w:r>
      <w:r>
        <w:rPr>
          <w:rFonts w:ascii="Times New Roman" w:cs="Times New Roman" w:eastAsia="Times New Roman" w:hAnsi="Times New Roman"/>
          <w:sz w:val="16"/>
          <w:szCs w:val="16"/>
          <w:color w:val="auto"/>
        </w:rPr>
        <w:t>(3,907,406)</w:t>
      </w:r>
    </w:p>
    <w:p>
      <w:pPr>
        <w:spacing w:after="0" w:line="82" w:lineRule="exact"/>
        <w:rPr>
          <w:sz w:val="20"/>
          <w:szCs w:val="20"/>
          <w:color w:val="auto"/>
        </w:rPr>
      </w:pPr>
    </w:p>
    <w:p>
      <w:pPr>
        <w:ind w:left="200"/>
        <w:spacing w:after="0"/>
        <w:tabs>
          <w:tab w:leader="none" w:pos="2080" w:val="left"/>
        </w:tabs>
        <w:rPr>
          <w:sz w:val="20"/>
          <w:szCs w:val="20"/>
          <w:color w:val="auto"/>
        </w:rPr>
      </w:pPr>
      <w:r>
        <w:rPr>
          <w:rFonts w:ascii="Times New Roman" w:cs="Times New Roman" w:eastAsia="Times New Roman" w:hAnsi="Times New Roman"/>
          <w:sz w:val="18"/>
          <w:szCs w:val="18"/>
          <w:color w:val="auto"/>
        </w:rPr>
        <w:t>13,376,606</w:t>
      </w:r>
      <w:r>
        <w:rPr>
          <w:sz w:val="20"/>
          <w:szCs w:val="20"/>
          <w:color w:val="auto"/>
        </w:rPr>
        <w:tab/>
      </w:r>
      <w:r>
        <w:rPr>
          <w:rFonts w:ascii="Times New Roman" w:cs="Times New Roman" w:eastAsia="Times New Roman" w:hAnsi="Times New Roman"/>
          <w:sz w:val="18"/>
          <w:szCs w:val="18"/>
          <w:color w:val="auto"/>
        </w:rPr>
        <w:t>—</w:t>
      </w:r>
    </w:p>
    <w:p>
      <w:pPr>
        <w:spacing w:after="0" w:line="56" w:lineRule="exact"/>
        <w:rPr>
          <w:sz w:val="20"/>
          <w:szCs w:val="20"/>
          <w:color w:val="auto"/>
        </w:rPr>
      </w:pPr>
    </w:p>
    <w:p>
      <w:pPr>
        <w:jc w:val="center"/>
        <w:ind w:right="659"/>
        <w:spacing w:after="0"/>
        <w:tabs>
          <w:tab w:leader="none" w:pos="180" w:val="left"/>
          <w:tab w:leader="none" w:pos="200" w:val="left"/>
          <w:tab w:leader="none" w:pos="200" w:val="left"/>
        </w:tabs>
        <w:rPr>
          <w:sz w:val="20"/>
          <w:szCs w:val="20"/>
          <w:color w:val="auto"/>
        </w:rPr>
      </w:pPr>
      <w:r>
        <w:rPr>
          <w:rFonts w:ascii="Times New Roman" w:cs="Times New Roman" w:eastAsia="Times New Roman" w:hAnsi="Times New Roman"/>
          <w:sz w:val="18"/>
          <w:szCs w:val="18"/>
          <w:color w:val="auto"/>
        </w:rPr>
        <w:t>$</w:t>
        <w:tab/>
        <w:t>2,925,522</w:t>
        <w:tab/>
        <w:t>$</w:t>
      </w:r>
      <w:r>
        <w:rPr>
          <w:sz w:val="20"/>
          <w:szCs w:val="20"/>
          <w:color w:val="auto"/>
        </w:rPr>
        <w:tab/>
      </w:r>
      <w:r>
        <w:rPr>
          <w:rFonts w:ascii="Times New Roman" w:cs="Times New Roman" w:eastAsia="Times New Roman" w:hAnsi="Times New Roman"/>
          <w:sz w:val="16"/>
          <w:szCs w:val="16"/>
          <w:color w:val="auto"/>
        </w:rPr>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4420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646" w:lineRule="exact"/>
        <w:rPr>
          <w:sz w:val="20"/>
          <w:szCs w:val="20"/>
          <w:color w:val="auto"/>
        </w:rPr>
      </w:pPr>
    </w:p>
    <w:p>
      <w:pPr>
        <w:sectPr>
          <w:pgSz w:w="11900" w:h="16838" w:orient="portrait"/>
          <w:cols w:equalWidth="0" w:num="2">
            <w:col w:w="5400" w:space="620"/>
            <w:col w:w="2999"/>
          </w:cols>
          <w:pgMar w:left="1440" w:top="329" w:right="1440" w:bottom="1440" w:gutter="0" w:footer="0" w:header="0"/>
          <w:type w:val="continuous"/>
        </w:sectPr>
      </w:pPr>
    </w:p>
    <w:tbl>
      <w:tblPr>
        <w:tblLayout w:type="fixed"/>
        <w:tblInd w:w="560" w:type="dxa"/>
        <w:tblCellMar>
          <w:top w:w="0" w:type="dxa"/>
          <w:left w:w="0" w:type="dxa"/>
          <w:bottom w:w="0" w:type="dxa"/>
          <w:right w:w="0" w:type="dxa"/>
        </w:tblCellMar>
      </w:tblP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10,589,315</w:t>
            </w:r>
          </w:p>
        </w:tc>
        <w:tc>
          <w:tcPr>
            <w:tcW w:w="3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3,959,088</w:t>
            </w:r>
          </w:p>
        </w:tc>
      </w:tr>
      <w:tr>
        <w:trPr>
          <w:trHeight w:val="40"/>
        </w:trPr>
        <w:tc>
          <w:tcPr>
            <w:tcW w:w="4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40"/>
        </w:trPr>
        <w:tc>
          <w:tcPr>
            <w:tcW w:w="43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No shares of the Company were issued or outstanding in 2020 and, as a result, Earnings Per Share does not exist for 2020.</w:t>
      </w:r>
    </w:p>
    <w:p>
      <w:pPr>
        <w:spacing w:after="0" w:line="104"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15"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49"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0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47"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4 — Initial Public Offering</w:t>
      </w:r>
    </w:p>
    <w:p>
      <w:pPr>
        <w:spacing w:after="0" w:line="136"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94"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15"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5 — Private Placement</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15"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15"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36"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25"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02"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6 — Related Party Transactions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Prices In Active</w:t>
            </w: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60" w:type="dxa"/>
            <w:vAlign w:val="bottom"/>
          </w:tcPr>
          <w:p>
            <w:pPr>
              <w:spacing w:after="0"/>
              <w:rPr>
                <w:sz w:val="17"/>
                <w:szCs w:val="17"/>
                <w:color w:val="auto"/>
              </w:rPr>
            </w:pPr>
          </w:p>
        </w:tc>
        <w:tc>
          <w:tcPr>
            <w:tcW w:w="90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8"/>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4"/>
        </w:trPr>
        <w:tc>
          <w:tcPr>
            <w:tcW w:w="3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2,024,463</w:t>
            </w:r>
          </w:p>
        </w:tc>
        <w:tc>
          <w:tcPr>
            <w:tcW w:w="960" w:type="dxa"/>
            <w:vAlign w:val="bottom"/>
            <w:gridSpan w:val="2"/>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2,024,463</w:t>
            </w:r>
          </w:p>
        </w:tc>
        <w:tc>
          <w:tcPr>
            <w:tcW w:w="96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January 13, 2021:</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40" w:type="dxa"/>
            <w:vAlign w:val="bottom"/>
          </w:tcPr>
          <w:p>
            <w:pPr>
              <w:spacing w:after="0"/>
              <w:rPr>
                <w:sz w:val="18"/>
                <w:szCs w:val="18"/>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1.11</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9.37</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6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0" w:type="dxa"/>
            <w:vAlign w:val="bottom"/>
          </w:tcPr>
          <w:p>
            <w:pPr>
              <w:spacing w:after="0"/>
              <w:rPr>
                <w:sz w:val="17"/>
                <w:szCs w:val="17"/>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40" w:type="dxa"/>
            <w:vAlign w:val="bottom"/>
          </w:tcPr>
          <w:p>
            <w:pPr>
              <w:spacing w:after="0"/>
              <w:rPr>
                <w:sz w:val="18"/>
                <w:szCs w:val="18"/>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4"/>
        </w:trPr>
        <w:tc>
          <w:tcPr>
            <w:tcW w:w="30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98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98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247,514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0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gridSpan w:val="2"/>
          </w:tcPr>
          <w:p>
            <w:pPr>
              <w:spacing w:after="0"/>
              <w:rPr>
                <w:sz w:val="19"/>
                <w:szCs w:val="19"/>
                <w:color w:val="auto"/>
              </w:rPr>
            </w:pPr>
          </w:p>
        </w:tc>
        <w:tc>
          <w:tcPr>
            <w:tcW w:w="940" w:type="dxa"/>
            <w:vAlign w:val="bottom"/>
            <w:tcBorders>
              <w:top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15, 2021:</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60" w:type="dxa"/>
            <w:vAlign w:val="bottom"/>
          </w:tcPr>
          <w:p>
            <w:pPr>
              <w:spacing w:after="0"/>
              <w:rPr>
                <w:sz w:val="18"/>
                <w:szCs w:val="18"/>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5.99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9.36</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20" w:type="dxa"/>
            <w:vAlign w:val="bottom"/>
          </w:tcPr>
          <w:p>
            <w:pPr>
              <w:spacing w:after="0"/>
              <w:rPr>
                <w:sz w:val="18"/>
                <w:szCs w:val="18"/>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5.30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9.58</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year ended December 31, 2021:</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8"/>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4"/>
        </w:trPr>
        <w:tc>
          <w:tcPr>
            <w:tcW w:w="6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warrant liability upon issuance at IPO</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20" w:type="dxa"/>
            <w:vAlign w:val="bottom"/>
          </w:tcPr>
          <w:p>
            <w:pPr>
              <w:spacing w:after="0"/>
              <w:rPr>
                <w:sz w:val="20"/>
                <w:szCs w:val="20"/>
                <w:color w:val="auto"/>
              </w:rPr>
            </w:pPr>
          </w:p>
        </w:tc>
      </w:tr>
      <w:tr>
        <w:trPr>
          <w:trHeight w:val="40"/>
        </w:trPr>
        <w:tc>
          <w:tcPr>
            <w:tcW w:w="6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(22,793)</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20" w:type="dxa"/>
            <w:vAlign w:val="bottom"/>
          </w:tcPr>
          <w:p>
            <w:pPr>
              <w:spacing w:after="0"/>
              <w:rPr>
                <w:sz w:val="19"/>
                <w:szCs w:val="19"/>
                <w:color w:val="auto"/>
              </w:rPr>
            </w:pPr>
          </w:p>
        </w:tc>
      </w:tr>
      <w:tr>
        <w:trPr>
          <w:trHeight w:val="27"/>
        </w:trPr>
        <w:tc>
          <w:tcPr>
            <w:tcW w:w="6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36"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200" w:lineRule="exact"/>
        <w:rPr>
          <w:sz w:val="20"/>
          <w:szCs w:val="20"/>
          <w:color w:val="auto"/>
        </w:rPr>
      </w:pPr>
    </w:p>
    <w:p>
      <w:pPr>
        <w:spacing w:after="0" w:line="3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9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136"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30"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49" w:lineRule="auto"/>
        <w:rPr>
          <w:sz w:val="20"/>
          <w:szCs w:val="20"/>
          <w:color w:val="auto"/>
        </w:rPr>
      </w:pPr>
      <w:r>
        <w:rPr>
          <w:rFonts w:ascii="Times New Roman" w:cs="Times New Roman" w:eastAsia="Times New Roman" w:hAnsi="Times New Roman"/>
          <w:sz w:val="18"/>
          <w:szCs w:val="18"/>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145" w:lineRule="exact"/>
        <w:rPr>
          <w:sz w:val="20"/>
          <w:szCs w:val="20"/>
          <w:color w:val="auto"/>
        </w:rPr>
      </w:pPr>
    </w:p>
    <w:p>
      <w:pPr>
        <w:jc w:val="both"/>
        <w:ind w:left="560" w:right="579" w:firstLine="42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Preferred Stock — </w:t>
      </w:r>
      <w:r>
        <w:rPr>
          <w:rFonts w:ascii="Times New Roman" w:cs="Times New Roman" w:eastAsia="Times New Roman" w:hAnsi="Times New Roman"/>
          <w:sz w:val="16"/>
          <w:szCs w:val="16"/>
          <w:color w:val="auto"/>
        </w:rPr>
        <w:t>The Company is authorized to issue 1,000,000 shares of preferred stock at par value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$0.0001 per share. As of December 31, 2021, there were no shares of preferred stock issued or outstanding.</w:t>
      </w:r>
    </w:p>
    <w:p>
      <w:pPr>
        <w:spacing w:after="0" w:line="49" w:lineRule="exact"/>
        <w:rPr>
          <w:sz w:val="20"/>
          <w:szCs w:val="20"/>
          <w:color w:val="auto"/>
        </w:rPr>
      </w:pPr>
    </w:p>
    <w:p>
      <w:pPr>
        <w:jc w:val="both"/>
        <w:ind w:left="560" w:right="579" w:firstLine="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At December 31, 2021, there were 4,161,000 shares of common stock issued and outstanding, excluding 13,300,000 shares of common stock subject to possible redemption.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3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1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6" w:lineRule="exact"/>
        <w:rPr>
          <w:sz w:val="20"/>
          <w:szCs w:val="20"/>
          <w:color w:val="auto"/>
        </w:rPr>
      </w:pPr>
    </w:p>
    <w:p>
      <w:pPr>
        <w:ind w:left="1400" w:hanging="41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47"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7" w:lineRule="exact"/>
        <w:rPr>
          <w:rFonts w:ascii="Times New Roman" w:cs="Times New Roman" w:eastAsia="Times New Roman" w:hAnsi="Times New Roman"/>
          <w:sz w:val="18"/>
          <w:szCs w:val="18"/>
          <w:color w:val="auto"/>
        </w:rPr>
      </w:pPr>
    </w:p>
    <w:p>
      <w:pPr>
        <w:jc w:val="both"/>
        <w:ind w:left="1400" w:right="579" w:hanging="414"/>
        <w:spacing w:after="0" w:line="249" w:lineRule="auto"/>
        <w:tabs>
          <w:tab w:leader="none" w:pos="1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0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9 — Stockholders’ Equity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10 — Income Tax</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47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r>
      <w:tr>
        <w:trPr>
          <w:trHeight w:val="40"/>
        </w:trPr>
        <w:tc>
          <w:tcPr>
            <w:tcW w:w="4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costs related to Business Combination</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6"/>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4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4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6"/>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86"/>
        </w:trPr>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2"/>
        </w:trPr>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24"/>
                <w:szCs w:val="24"/>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47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
        </w:trPr>
        <w:tc>
          <w:tcPr>
            <w:tcW w:w="4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7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9"/>
                <w:szCs w:val="19"/>
                <w:color w:val="auto"/>
              </w:rPr>
            </w:pPr>
          </w:p>
        </w:tc>
      </w:tr>
      <w:tr>
        <w:trPr>
          <w:trHeight w:val="27"/>
        </w:trPr>
        <w:tc>
          <w:tcPr>
            <w:tcW w:w="4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5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As of December 31, 2021, the Company has $366,866 of U.S. federal net operating loss carryovers, which do not expire, and no state net operating loss carryovers available to offset future taxable income.</w:t>
      </w:r>
    </w:p>
    <w:p>
      <w:pPr>
        <w:spacing w:after="0" w:line="104"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10 — Income Tax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0"/>
        </w:trPr>
        <w:tc>
          <w:tcPr>
            <w:tcW w:w="6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4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7"/>
        </w:trPr>
        <w:tc>
          <w:tcPr>
            <w:tcW w:w="6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9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January 10, 2022, the Company filed a registration statement on Form S-4 (the “Form S-4”) with respect to the merger between the Company and SoundHound Inc.</w:t>
      </w:r>
    </w:p>
    <w:p>
      <w:pPr>
        <w:spacing w:after="0" w:line="10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February 14, 2022, the Company filed Amendment No. 1 to the Form S-4 to address comments the Company received from the SEC on February 9, 2022.</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7"/>
                <w:szCs w:val="17"/>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18,129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235,295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78,566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98,066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7"/>
              </w:rPr>
              <w:t>133,022,440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133,010,583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133,119,135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133,343,944</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503,071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247,868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503,071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249,684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657,839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497,198</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redemption value as of March 31, 2022 and December 31, 2021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7"/>
              </w:rPr>
              <w:t>133,022,440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133,010,583</w:t>
            </w: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shares authorized, 4,161,000 shares issued and outstanding (excluding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13,300,000 shares subject to possible redemption) as of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806,490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818,347</w:t>
            </w:r>
          </w:p>
        </w:tc>
        <w:tc>
          <w:tcPr>
            <w:tcW w:w="0" w:type="dxa"/>
            <w:vAlign w:val="bottom"/>
          </w:tcPr>
          <w:p>
            <w:pPr>
              <w:spacing w:after="0"/>
              <w:rPr>
                <w:sz w:val="1"/>
                <w:szCs w:val="1"/>
                <w:color w:val="auto"/>
              </w:rPr>
            </w:pPr>
          </w:p>
        </w:tc>
      </w:tr>
      <w:tr>
        <w:trPr>
          <w:trHeight w:val="24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(1,368,050)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(561,144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97"/>
              </w:rPr>
              <w:t>133,119,135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133,343,944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r>
      <w:tr>
        <w:trPr>
          <w:trHeight w:val="19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9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08"/>
        </w:trPr>
        <w:tc>
          <w:tcPr>
            <w:tcW w:w="3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r>
      <w:tr>
        <w:trPr>
          <w:trHeight w:val="44"/>
        </w:trPr>
        <w:tc>
          <w:tcPr>
            <w:tcW w:w="380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6"/>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81,441</w:t>
            </w:r>
          </w:p>
        </w:tc>
      </w:tr>
      <w:tr>
        <w:trPr>
          <w:trHeight w:val="221"/>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(81,441)</w:t>
            </w:r>
          </w:p>
        </w:tc>
        <w:tc>
          <w:tcPr>
            <w:tcW w:w="140" w:type="dxa"/>
            <w:vAlign w:val="bottom"/>
          </w:tcPr>
          <w:p>
            <w:pPr>
              <w:spacing w:after="0"/>
              <w:rPr>
                <w:sz w:val="19"/>
                <w:szCs w:val="19"/>
                <w:color w:val="auto"/>
              </w:rPr>
            </w:pPr>
          </w:p>
        </w:tc>
      </w:tr>
      <w:tr>
        <w:trPr>
          <w:trHeight w:val="35"/>
        </w:trPr>
        <w:tc>
          <w:tcPr>
            <w:tcW w:w="38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6"/>
        </w:trPr>
        <w:tc>
          <w:tcPr>
            <w:tcW w:w="38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bl>
    <w:p>
      <w:pPr>
        <w:spacing w:after="0" w:line="8" w:lineRule="exact"/>
        <w:rPr>
          <w:sz w:val="20"/>
          <w:szCs w:val="20"/>
          <w:color w:val="auto"/>
        </w:rPr>
      </w:pPr>
    </w:p>
    <w:p>
      <w:pPr>
        <w:sectPr>
          <w:pgSz w:w="11900" w:h="16838" w:orient="portrait"/>
          <w:cols w:equalWidth="0" w:num="1">
            <w:col w:w="9019"/>
          </w:cols>
          <w:pgMar w:left="1440" w:top="329" w:right="1440" w:bottom="1440" w:gutter="0" w:footer="0" w:header="0"/>
        </w:sectPr>
      </w:pPr>
    </w:p>
    <w:p>
      <w:pPr>
        <w:jc w:val="right"/>
        <w:ind w:right="3460"/>
        <w:spacing w:after="0"/>
        <w:rPr>
          <w:sz w:val="20"/>
          <w:szCs w:val="20"/>
          <w:color w:val="auto"/>
        </w:rPr>
      </w:pPr>
      <w:r>
        <w:rPr>
          <w:rFonts w:ascii="Times New Roman" w:cs="Times New Roman" w:eastAsia="Times New Roman" w:hAnsi="Times New Roman"/>
          <w:sz w:val="16"/>
          <w:szCs w:val="16"/>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53340</wp:posOffset>
            </wp:positionV>
            <wp:extent cx="5001895" cy="175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72"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Trust interest income</w:t>
      </w:r>
    </w:p>
    <w:p>
      <w:pPr>
        <w:spacing w:after="0" w:line="69" w:lineRule="exact"/>
        <w:rPr>
          <w:sz w:val="20"/>
          <w:szCs w:val="20"/>
          <w:color w:val="auto"/>
        </w:rPr>
      </w:pPr>
    </w:p>
    <w:p>
      <w:pPr>
        <w:ind w:left="560" w:right="940" w:firstLine="175"/>
        <w:spacing w:after="0" w:line="343" w:lineRule="auto"/>
        <w:rPr>
          <w:sz w:val="20"/>
          <w:szCs w:val="20"/>
          <w:color w:val="auto"/>
        </w:rPr>
      </w:pPr>
      <w:r>
        <w:rPr>
          <w:rFonts w:ascii="Times New Roman" w:cs="Times New Roman" w:eastAsia="Times New Roman" w:hAnsi="Times New Roman"/>
          <w:sz w:val="18"/>
          <w:szCs w:val="18"/>
          <w:color w:val="auto"/>
        </w:rPr>
        <w:t>Unrealized gain (loss) on change in fair value of warrants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-205105</wp:posOffset>
            </wp:positionV>
            <wp:extent cx="500189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18"/>
          <w:szCs w:val="18"/>
          <w:color w:val="auto"/>
        </w:rPr>
        <w:t>11,857</w:t>
      </w:r>
      <w:r>
        <w:rPr>
          <w:sz w:val="20"/>
          <w:szCs w:val="20"/>
          <w:color w:val="auto"/>
        </w:rPr>
        <w:tab/>
      </w:r>
      <w:r>
        <w:rPr>
          <w:rFonts w:ascii="Times New Roman" w:cs="Times New Roman" w:eastAsia="Times New Roman" w:hAnsi="Times New Roman"/>
          <w:sz w:val="18"/>
          <w:szCs w:val="18"/>
          <w:color w:val="auto"/>
        </w:rPr>
        <w:t>525</w:t>
      </w:r>
    </w:p>
    <w:p>
      <w:pPr>
        <w:spacing w:after="0" w:line="69" w:lineRule="exact"/>
        <w:rPr>
          <w:sz w:val="20"/>
          <w:szCs w:val="20"/>
          <w:color w:val="auto"/>
        </w:rPr>
      </w:pPr>
    </w:p>
    <w:p>
      <w:pPr>
        <w:ind w:left="100"/>
        <w:spacing w:after="0"/>
        <w:tabs>
          <w:tab w:leader="none" w:pos="1420" w:val="left"/>
        </w:tabs>
        <w:rPr>
          <w:sz w:val="20"/>
          <w:szCs w:val="20"/>
          <w:color w:val="auto"/>
        </w:rPr>
      </w:pPr>
      <w:r>
        <w:rPr>
          <w:rFonts w:ascii="Times New Roman" w:cs="Times New Roman" w:eastAsia="Times New Roman" w:hAnsi="Times New Roman"/>
          <w:sz w:val="16"/>
          <w:szCs w:val="16"/>
          <w:color w:val="auto"/>
        </w:rPr>
        <w:t>92,746</w:t>
      </w:r>
      <w:r>
        <w:rPr>
          <w:sz w:val="20"/>
          <w:szCs w:val="20"/>
          <w:color w:val="auto"/>
        </w:rPr>
        <w:tab/>
      </w:r>
      <w:r>
        <w:rPr>
          <w:rFonts w:ascii="Times New Roman" w:cs="Times New Roman" w:eastAsia="Times New Roman" w:hAnsi="Times New Roman"/>
          <w:sz w:val="16"/>
          <w:szCs w:val="16"/>
          <w:color w:val="auto"/>
        </w:rPr>
        <w:t>(3,117)</w:t>
      </w:r>
    </w:p>
    <w:p>
      <w:pPr>
        <w:spacing w:after="0" w:line="9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6"/>
          <w:szCs w:val="16"/>
          <w:color w:val="auto"/>
        </w:rPr>
        <w:t>104,603</w:t>
      </w:r>
      <w:r>
        <w:rPr>
          <w:sz w:val="20"/>
          <w:szCs w:val="20"/>
          <w:color w:val="auto"/>
        </w:rPr>
        <w:tab/>
      </w:r>
      <w:r>
        <w:rPr>
          <w:rFonts w:ascii="Times New Roman" w:cs="Times New Roman" w:eastAsia="Times New Roman" w:hAnsi="Times New Roman"/>
          <w:sz w:val="16"/>
          <w:szCs w:val="16"/>
          <w:color w:val="auto"/>
        </w:rPr>
        <w:t>(2,592)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53340</wp:posOffset>
            </wp:positionV>
            <wp:extent cx="14420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5700" w:space="720"/>
            <w:col w:w="2599"/>
          </w:cols>
          <w:pgMar w:left="1440" w:top="329" w:right="1440" w:bottom="1440" w:gutter="0" w:footer="0" w:header="0"/>
          <w:type w:val="continuous"/>
        </w:sectPr>
      </w:pPr>
    </w:p>
    <w:p>
      <w:pPr>
        <w:spacing w:after="0" w:line="41"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(385,450)</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300" w:type="dxa"/>
            <w:vAlign w:val="bottom"/>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subject to redemption</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13,300,000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2,306,667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180"/>
              <w:spacing w:after="0" w:line="192" w:lineRule="exact"/>
              <w:rPr>
                <w:sz w:val="20"/>
                <w:szCs w:val="20"/>
                <w:color w:val="auto"/>
              </w:rPr>
            </w:pPr>
            <w:r>
              <w:rPr>
                <w:rFonts w:ascii="Times New Roman" w:cs="Times New Roman" w:eastAsia="Times New Roman" w:hAnsi="Times New Roman"/>
                <w:sz w:val="18"/>
                <w:szCs w:val="18"/>
                <w:color w:val="auto"/>
              </w:rPr>
              <w:t>Basic and diluted net (loss) income per share attributable to common</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62"/>
        </w:trPr>
        <w:tc>
          <w:tcPr>
            <w:tcW w:w="53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4,161,000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3,342,133</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DEFICIT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8"/>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ind w:left="140"/>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5"/>
            <w:vMerge w:val="restart"/>
          </w:tcPr>
          <w:p>
            <w:pPr>
              <w:jc w:val="right"/>
              <w:ind w:right="60"/>
              <w:spacing w:after="0" w:line="14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center"/>
              <w:ind w:right="42"/>
              <w:spacing w:after="0" w:line="141"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1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416</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(982,600)</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0" w:type="dxa"/>
            <w:vAlign w:val="bottom"/>
          </w:tcPr>
          <w:p>
            <w:pPr>
              <w:spacing w:after="0"/>
              <w:rPr>
                <w:sz w:val="1"/>
                <w:szCs w:val="1"/>
                <w:color w:val="auto"/>
              </w:rPr>
            </w:pPr>
          </w:p>
        </w:tc>
      </w:tr>
      <w:tr>
        <w:trPr>
          <w:trHeight w:val="221"/>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(385,450)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 (interest earned 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(11,857)</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236"/>
        </w:trPr>
        <w:tc>
          <w:tcPr>
            <w:tcW w:w="25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0" w:type="dxa"/>
            <w:vAlign w:val="bottom"/>
          </w:tcPr>
          <w:p>
            <w:pPr>
              <w:spacing w:after="0"/>
              <w:rPr>
                <w:sz w:val="20"/>
                <w:szCs w:val="20"/>
                <w:color w:val="auto"/>
              </w:rPr>
            </w:pPr>
          </w:p>
        </w:tc>
        <w:tc>
          <w:tcPr>
            <w:tcW w:w="4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416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806,490</w:t>
            </w:r>
          </w:p>
        </w:tc>
        <w:tc>
          <w:tcPr>
            <w:tcW w:w="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3"/>
              </w:rPr>
              <w:t>$ (1,368,050</w:t>
            </w:r>
          </w:p>
        </w:tc>
        <w:tc>
          <w:tcPr>
            <w:tcW w:w="120" w:type="dxa"/>
            <w:vAlign w:val="bottom"/>
            <w:gridSpan w:val="2"/>
            <w:vMerge w:val="continue"/>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(561,144</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8"/>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5"/>
            <w:vMerge w:val="restart"/>
          </w:tcPr>
          <w:p>
            <w:pPr>
              <w:jc w:val="right"/>
              <w:ind w:right="100"/>
              <w:spacing w:after="0" w:line="141"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restart"/>
          </w:tcPr>
          <w:p>
            <w:pPr>
              <w:jc w:val="center"/>
              <w:ind w:right="42"/>
              <w:spacing w:after="0" w:line="141"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Sale of 12,000,000 Units through</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IPO</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119,998,800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Sale of 1,300,000 Units through</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over-allotment</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12,999,870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Sale of 416,000 Private Units in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416,000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4,159,958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56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2,024,421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issued to initial</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3,450,000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256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2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(2,660,000)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Offering costs charged to the</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(2,449,810)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Initial classification of warrant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2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Reclassification of offering costs</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Public Shares</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(84,033)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Initial value of common stock</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(124,412,583)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5"/>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(124,413,913)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2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(13,366,023)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 (interest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earned on trust account)</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8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560" w:type="dxa"/>
            <w:vAlign w:val="bottom"/>
            <w:gridSpan w:val="2"/>
            <w:vMerge w:val="continue"/>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416</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828,405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(84,749</w:t>
            </w:r>
          </w:p>
        </w:tc>
        <w:tc>
          <w:tcPr>
            <w:tcW w:w="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744,072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7"/>
                <w:szCs w:val="17"/>
                <w:color w:val="auto"/>
              </w:rPr>
            </w:pPr>
          </w:p>
        </w:tc>
        <w:tc>
          <w:tcPr>
            <w:tcW w:w="1120" w:type="dxa"/>
            <w:vAlign w:val="bottom"/>
            <w:gridSpan w:val="2"/>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7"/>
                <w:szCs w:val="17"/>
                <w:color w:val="auto"/>
              </w:rPr>
            </w:pPr>
          </w:p>
        </w:tc>
        <w:tc>
          <w:tcPr>
            <w:tcW w:w="112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0" w:type="dxa"/>
            <w:vAlign w:val="bottom"/>
          </w:tcPr>
          <w:p>
            <w:pPr>
              <w:spacing w:after="0"/>
              <w:rPr>
                <w:sz w:val="1"/>
                <w:szCs w:val="1"/>
                <w:color w:val="auto"/>
              </w:rPr>
            </w:pPr>
          </w:p>
        </w:tc>
      </w:tr>
      <w:tr>
        <w:trPr>
          <w:trHeight w:val="19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12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7"/>
                <w:szCs w:val="17"/>
                <w:color w:val="auto"/>
              </w:rPr>
            </w:pPr>
          </w:p>
        </w:tc>
        <w:tc>
          <w:tcPr>
            <w:tcW w:w="1120" w:type="dxa"/>
            <w:vAlign w:val="bottom"/>
            <w:gridSpan w:val="2"/>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change in fair value of warrants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(165,713)</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54,815</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6,381</w:t>
            </w: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(133,000,000)</w:t>
            </w: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133,000,000</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4,160,000</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(375,347)</w:t>
            </w: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134,149,653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963,695</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963,695</w:t>
            </w:r>
          </w:p>
        </w:tc>
        <w:tc>
          <w:tcPr>
            <w:tcW w:w="1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124,413,913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8"/>
        </w:trPr>
        <w:tc>
          <w:tcPr>
            <w:tcW w:w="536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180"/>
              <w:spacing w:after="0" w:line="189" w:lineRule="exact"/>
              <w:rPr>
                <w:sz w:val="20"/>
                <w:szCs w:val="20"/>
                <w:color w:val="auto"/>
              </w:rPr>
            </w:pPr>
            <w:r>
              <w:rPr>
                <w:rFonts w:ascii="Times New Roman" w:cs="Times New Roman" w:eastAsia="Times New Roman" w:hAnsi="Times New Roman"/>
                <w:sz w:val="18"/>
                <w:szCs w:val="18"/>
                <w:color w:val="auto"/>
                <w:w w:val="98"/>
              </w:rPr>
              <w:t>Accretion of common stock to redemption value (interest earned on trust</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account)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Forfeiture of founder shares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47"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12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10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7).</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115"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2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1" w:lineRule="auto"/>
        <w:rPr>
          <w:sz w:val="20"/>
          <w:szCs w:val="20"/>
          <w:color w:val="auto"/>
        </w:rPr>
      </w:pPr>
      <w:r>
        <w:rPr>
          <w:rFonts w:ascii="Times New Roman" w:cs="Times New Roman" w:eastAsia="Times New Roman" w:hAnsi="Times New Roman"/>
          <w:sz w:val="18"/>
          <w:szCs w:val="18"/>
          <w:color w:val="auto"/>
        </w:rPr>
        <w:t>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104"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8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49"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31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5" w:lineRule="auto"/>
        <w:rPr>
          <w:sz w:val="20"/>
          <w:szCs w:val="20"/>
          <w:color w:val="auto"/>
        </w:rPr>
      </w:pPr>
      <w:r>
        <w:rPr>
          <w:rFonts w:ascii="Times New Roman" w:cs="Times New Roman" w:eastAsia="Times New Roman" w:hAnsi="Times New Roman"/>
          <w:sz w:val="18"/>
          <w:szCs w:val="18"/>
          <w:color w:val="auto"/>
        </w:rPr>
        <w:t>payment of expenses incurred by the Company and SoundHound in connection with the Business Combination and the remaining proceeds will be used for general corporate purposes of the Company following the Business Combination (See Note 9).</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8"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2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12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0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1" w:lineRule="auto"/>
        <w:rPr>
          <w:sz w:val="20"/>
          <w:szCs w:val="20"/>
          <w:color w:val="auto"/>
        </w:rPr>
      </w:pPr>
      <w:r>
        <w:rPr>
          <w:rFonts w:ascii="Times New Roman" w:cs="Times New Roman" w:eastAsia="Times New Roman" w:hAnsi="Times New Roman"/>
          <w:sz w:val="18"/>
          <w:szCs w:val="18"/>
          <w:color w:val="auto"/>
        </w:rPr>
        <w:t>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1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136"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1400" w:right="579" w:hanging="414"/>
        <w:spacing w:after="0" w:line="267" w:lineRule="auto"/>
        <w:tabs>
          <w:tab w:leader="none" w:pos="1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03"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4"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15"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49" w:lineRule="exact"/>
        <w:rPr>
          <w:sz w:val="20"/>
          <w:szCs w:val="20"/>
          <w:color w:val="auto"/>
        </w:rPr>
      </w:pPr>
    </w:p>
    <w:p>
      <w:pPr>
        <w:jc w:val="both"/>
        <w:ind w:left="560" w:right="579" w:firstLine="420"/>
        <w:spacing w:after="0" w:line="280" w:lineRule="auto"/>
        <w:rPr>
          <w:sz w:val="20"/>
          <w:szCs w:val="20"/>
          <w:color w:val="auto"/>
        </w:rPr>
      </w:pPr>
      <w:r>
        <w:rPr>
          <w:rFonts w:ascii="Times New Roman" w:cs="Times New Roman" w:eastAsia="Times New Roman" w:hAnsi="Times New Roman"/>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9"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20" w:type="dxa"/>
            <w:vAlign w:val="bottom"/>
          </w:tcPr>
          <w:p>
            <w:pPr>
              <w:spacing w:after="0"/>
              <w:rPr>
                <w:sz w:val="17"/>
                <w:szCs w:val="17"/>
                <w:color w:val="auto"/>
              </w:rPr>
            </w:pPr>
          </w:p>
        </w:tc>
        <w:tc>
          <w:tcPr>
            <w:tcW w:w="110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7"/>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c>
          <w:tcPr>
            <w:tcW w:w="120" w:type="dxa"/>
            <w:vAlign w:val="bottom"/>
          </w:tcPr>
          <w:p>
            <w:pPr>
              <w:spacing w:after="0"/>
              <w:rPr>
                <w:sz w:val="17"/>
                <w:szCs w:val="17"/>
                <w:color w:val="auto"/>
              </w:rPr>
            </w:pPr>
          </w:p>
        </w:tc>
        <w:tc>
          <w:tcPr>
            <w:tcW w:w="110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three months</w:t>
            </w:r>
          </w:p>
        </w:tc>
      </w:tr>
      <w:tr>
        <w:trPr>
          <w:trHeight w:val="197"/>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20" w:type="dxa"/>
            <w:vAlign w:val="bottom"/>
          </w:tcPr>
          <w:p>
            <w:pPr>
              <w:spacing w:after="0"/>
              <w:rPr>
                <w:sz w:val="17"/>
                <w:szCs w:val="17"/>
                <w:color w:val="auto"/>
              </w:rPr>
            </w:pPr>
          </w:p>
        </w:tc>
        <w:tc>
          <w:tcPr>
            <w:tcW w:w="1100" w:type="dxa"/>
            <w:vAlign w:val="bottom"/>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197"/>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20" w:type="dxa"/>
            <w:vAlign w:val="bottom"/>
          </w:tcPr>
          <w:p>
            <w:pPr>
              <w:spacing w:after="0"/>
              <w:rPr>
                <w:sz w:val="17"/>
                <w:szCs w:val="17"/>
                <w:color w:val="auto"/>
              </w:rPr>
            </w:pPr>
          </w:p>
        </w:tc>
        <w:tc>
          <w:tcPr>
            <w:tcW w:w="110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08"/>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r>
      <w:tr>
        <w:trPr>
          <w:trHeight w:val="44"/>
        </w:trPr>
        <w:tc>
          <w:tcPr>
            <w:tcW w:w="51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6"/>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w:t>
            </w:r>
          </w:p>
        </w:tc>
      </w:tr>
      <w:tr>
        <w:trPr>
          <w:trHeight w:val="24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(13,366,548)</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including accretion of temporary equity to redemption value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6"/>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left="736"/>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6"/>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6"/>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6"/>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7"/>
              </w:rPr>
              <w:t>March 31, 2021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98"/>
              <w:spacing w:after="0" w:line="175" w:lineRule="exact"/>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40" w:type="dxa"/>
            <w:vAlign w:val="bottom"/>
          </w:tcPr>
          <w:p>
            <w:pPr>
              <w:spacing w:after="0"/>
              <w:rPr>
                <w:sz w:val="18"/>
                <w:szCs w:val="18"/>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0" w:type="dxa"/>
            <w:vAlign w:val="bottom"/>
          </w:tcPr>
          <w:p>
            <w:pPr>
              <w:spacing w:after="0"/>
              <w:rPr>
                <w:sz w:val="1"/>
                <w:szCs w:val="1"/>
                <w:color w:val="auto"/>
              </w:rPr>
            </w:pPr>
          </w:p>
        </w:tc>
      </w:tr>
      <w:tr>
        <w:trPr>
          <w:trHeight w:val="44"/>
        </w:trPr>
        <w:tc>
          <w:tcPr>
            <w:tcW w:w="29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8"/>
              </w:rPr>
              <w:t>Allocation of net loss including accretion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temporary equity</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(5,492,495)</w:t>
            </w:r>
          </w:p>
        </w:tc>
        <w:tc>
          <w:tcPr>
            <w:tcW w:w="38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(7,958,086)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Accretion of temporary equity to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11,857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13,366,548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7,874,053</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(7,958,086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13,300,000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3,342,133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15"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49"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0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47"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36"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94"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15"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15"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15"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36"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25"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02"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1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49"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5" w:lineRule="auto"/>
        <w:rPr>
          <w:sz w:val="20"/>
          <w:szCs w:val="20"/>
          <w:color w:val="auto"/>
        </w:rPr>
      </w:pPr>
      <w:r>
        <w:rPr>
          <w:rFonts w:ascii="Times New Roman" w:cs="Times New Roman" w:eastAsia="Times New Roman" w:hAnsi="Times New Roman"/>
          <w:sz w:val="18"/>
          <w:szCs w:val="18"/>
          <w:color w:val="auto"/>
        </w:rPr>
        <w:t>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8"/>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4"/>
        </w:trPr>
        <w:tc>
          <w:tcPr>
            <w:tcW w:w="3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2,024,463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2,024,463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January 13, 2021:</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60" w:type="dxa"/>
            <w:vAlign w:val="bottom"/>
          </w:tcPr>
          <w:p>
            <w:pPr>
              <w:spacing w:after="0"/>
              <w:rPr>
                <w:sz w:val="18"/>
                <w:szCs w:val="18"/>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1.11</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9.37</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6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6 — Fair Value Measurements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4"/>
        </w:trPr>
        <w:tc>
          <w:tcPr>
            <w:tcW w:w="30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133,022,440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133,022,440</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133,022,440</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133,022,440</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154,768</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154,768</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4"/>
        </w:trPr>
        <w:tc>
          <w:tcPr>
            <w:tcW w:w="30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1000" w:type="dxa"/>
            <w:vAlign w:val="bottom"/>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247,514</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247,514</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15, 2021:</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5.99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9.36</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6 — 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20" w:type="dxa"/>
            <w:vAlign w:val="bottom"/>
          </w:tcPr>
          <w:p>
            <w:pPr>
              <w:spacing w:after="0"/>
              <w:rPr>
                <w:sz w:val="18"/>
                <w:szCs w:val="18"/>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5.30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9.58</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31, 2022:</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5.09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9.77</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5"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three months ended March 31, 2022:</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8"/>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4"/>
        </w:trPr>
        <w:tc>
          <w:tcPr>
            <w:tcW w:w="66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247,514</w:t>
            </w:r>
          </w:p>
        </w:tc>
      </w:tr>
      <w:tr>
        <w:trPr>
          <w:trHeight w:val="24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(92,746)</w:t>
            </w:r>
          </w:p>
        </w:tc>
      </w:tr>
      <w:tr>
        <w:trPr>
          <w:trHeight w:val="27"/>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March 31, 2022</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154,768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three months ended March 31, 2021:</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8"/>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4"/>
        </w:trPr>
        <w:tc>
          <w:tcPr>
            <w:tcW w:w="66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Initial valuation of warrant liability</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270,307</w:t>
            </w:r>
          </w:p>
        </w:tc>
      </w:tr>
      <w:tr>
        <w:trPr>
          <w:trHeight w:val="40"/>
        </w:trPr>
        <w:tc>
          <w:tcPr>
            <w:tcW w:w="6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March 31, 2021</w:t>
            </w: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273,424</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7 — Commitments and Contingencies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45" w:lineRule="auto"/>
        <w:rPr>
          <w:sz w:val="20"/>
          <w:szCs w:val="20"/>
          <w:color w:val="auto"/>
        </w:rPr>
      </w:pPr>
      <w:r>
        <w:rPr>
          <w:rFonts w:ascii="Times New Roman" w:cs="Times New Roman" w:eastAsia="Times New Roman" w:hAnsi="Times New Roman"/>
          <w:sz w:val="18"/>
          <w:szCs w:val="18"/>
          <w:color w:val="auto"/>
        </w:rPr>
        <w:t>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9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7 — Commitments and Contingencies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149"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132" w:lineRule="exact"/>
        <w:rPr>
          <w:sz w:val="20"/>
          <w:szCs w:val="20"/>
          <w:color w:val="auto"/>
        </w:rPr>
      </w:pPr>
    </w:p>
    <w:p>
      <w:pPr>
        <w:jc w:val="both"/>
        <w:ind w:left="560" w:right="579" w:firstLine="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at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$0.0001 per share. As of March 31, 2022 and December 31, 2021, there were no shares of preferred stock issued or outstanding.</w:t>
      </w:r>
    </w:p>
    <w:p>
      <w:pPr>
        <w:spacing w:after="0" w:line="107" w:lineRule="exact"/>
        <w:rPr>
          <w:sz w:val="20"/>
          <w:szCs w:val="20"/>
          <w:color w:val="auto"/>
        </w:rPr>
      </w:pPr>
    </w:p>
    <w:p>
      <w:pPr>
        <w:jc w:val="both"/>
        <w:ind w:left="560" w:right="579" w:firstLine="4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At March 31, 2022 and December 31, 2021, there were 4,161,000 shares of common stock issued and outstanding, excluding 13,300,000 shares of common stock subject to possible redemption.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8 — Stockholders’ Equity </w:t>
      </w:r>
      <w:r>
        <w:rPr>
          <w:rFonts w:ascii="Times New Roman" w:cs="Times New Roman" w:eastAsia="Times New Roman" w:hAnsi="Times New Roman"/>
          <w:sz w:val="18"/>
          <w:szCs w:val="18"/>
          <w:color w:val="auto"/>
        </w:rPr>
        <w:t>(cont.)</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5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6"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19" w:lineRule="exact"/>
        <w:rPr>
          <w:sz w:val="20"/>
          <w:szCs w:val="20"/>
          <w:color w:val="auto"/>
        </w:rPr>
      </w:pPr>
    </w:p>
    <w:p>
      <w:pPr>
        <w:ind w:left="1400" w:hanging="41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4"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7" w:lineRule="exact"/>
        <w:rPr>
          <w:rFonts w:ascii="Times New Roman" w:cs="Times New Roman" w:eastAsia="Times New Roman" w:hAnsi="Times New Roman"/>
          <w:sz w:val="18"/>
          <w:szCs w:val="18"/>
          <w:color w:val="auto"/>
        </w:rPr>
      </w:pPr>
    </w:p>
    <w:p>
      <w:pPr>
        <w:jc w:val="both"/>
        <w:ind w:left="1400" w:right="579" w:hanging="414"/>
        <w:spacing w:after="0" w:line="249" w:lineRule="auto"/>
        <w:tabs>
          <w:tab w:leader="none" w:pos="1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20"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9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financial statements were issued.</w:t>
      </w:r>
    </w:p>
    <w:p>
      <w:pPr>
        <w:spacing w:after="0" w:line="9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19"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08" w:lineRule="exact"/>
        <w:rPr>
          <w:sz w:val="20"/>
          <w:szCs w:val="20"/>
          <w:color w:val="auto"/>
        </w:rPr>
      </w:pPr>
    </w:p>
    <w:p>
      <w:pPr>
        <w:jc w:val="both"/>
        <w:ind w:left="560" w:right="579" w:firstLine="420"/>
        <w:spacing w:after="0" w:line="293" w:lineRule="auto"/>
        <w:rPr>
          <w:sz w:val="20"/>
          <w:szCs w:val="20"/>
          <w:color w:val="auto"/>
        </w:rPr>
      </w:pPr>
      <w:r>
        <w:rPr>
          <w:rFonts w:ascii="Times New Roman" w:cs="Times New Roman" w:eastAsia="Times New Roman" w:hAnsi="Times New Roman"/>
          <w:sz w:val="16"/>
          <w:szCs w:val="16"/>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86"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80"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67"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21"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5" w:name="page56"/>
    <w:bookmarkEnd w:id="55"/>
    <w:p>
      <w:pPr>
        <w:ind w:left="1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5099685</wp:posOffset>
            </wp:positionH>
            <wp:positionV relativeFrom="page">
              <wp:posOffset>222250</wp:posOffset>
            </wp:positionV>
            <wp:extent cx="1175385" cy="341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75385" cy="341630"/>
                    </a:xfrm>
                    <a:prstGeom prst="rect">
                      <a:avLst/>
                    </a:prstGeom>
                    <a:noFill/>
                  </pic:spPr>
                </pic:pic>
              </a:graphicData>
            </a:graphic>
          </wp:anchor>
        </w:drawing>
        <w:t>REPORT OF INDEPENDENT REGISTERED PUBLIC ACCOUNTING FIRM</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SoundHound, Inc.</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49" w:lineRule="exact"/>
        <w:rPr>
          <w:sz w:val="20"/>
          <w:szCs w:val="20"/>
          <w:color w:val="auto"/>
        </w:rPr>
      </w:pPr>
    </w:p>
    <w:p>
      <w:pPr>
        <w:jc w:val="both"/>
        <w:ind w:left="560" w:right="579" w:firstLine="420"/>
        <w:spacing w:after="0" w:line="28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1"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Armanino</w:t>
      </w:r>
      <w:r>
        <w:rPr>
          <w:rFonts w:ascii="Times New Roman" w:cs="Times New Roman" w:eastAsia="Times New Roman" w:hAnsi="Times New Roman"/>
          <w:sz w:val="20"/>
          <w:szCs w:val="20"/>
          <w:color w:val="auto"/>
          <w:vertAlign w:val="superscript"/>
        </w:rPr>
        <w:t>LLP</w:t>
      </w:r>
    </w:p>
    <w:p>
      <w:pPr>
        <w:ind w:left="56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9, 2022</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served as the Company’s 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1077"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6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600" w:type="dxa"/>
            <w:vAlign w:val="bottom"/>
            <w:tcBorders>
              <w:bottom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21,626</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Accounts receivable, net of allowances of $109 as of December 31, 2021</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2020, respectively</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6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4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63,637</w:t>
            </w:r>
          </w:p>
        </w:tc>
        <w:tc>
          <w:tcPr>
            <w:tcW w:w="0" w:type="dxa"/>
            <w:vAlign w:val="bottom"/>
          </w:tcPr>
          <w:p>
            <w:pPr>
              <w:spacing w:after="0"/>
              <w:rPr>
                <w:sz w:val="1"/>
                <w:szCs w:val="1"/>
                <w:color w:val="auto"/>
              </w:rPr>
            </w:pPr>
          </w:p>
        </w:tc>
      </w:tr>
      <w:tr>
        <w:trPr>
          <w:trHeight w:val="262"/>
        </w:trPr>
        <w:tc>
          <w:tcPr>
            <w:tcW w:w="56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LIABILITIES, REDEEMABLE CONVERTIBLE PREFERRED STOCK,</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AND STOCKHOLDERS’ DEFICIT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lease obligation,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29,868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 net of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112,937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2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26,316,129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authorized; 19,248,537 and 19,132,387 shares issued and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liquidation preference of $284,826 and $284,047 as of</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273,687</w:t>
            </w:r>
          </w:p>
        </w:tc>
        <w:tc>
          <w:tcPr>
            <w:tcW w:w="0" w:type="dxa"/>
            <w:vAlign w:val="bottom"/>
          </w:tcPr>
          <w:p>
            <w:pPr>
              <w:spacing w:after="0"/>
              <w:rPr>
                <w:sz w:val="1"/>
                <w:szCs w:val="1"/>
                <w:color w:val="auto"/>
              </w:rPr>
            </w:pPr>
          </w:p>
        </w:tc>
      </w:tr>
      <w:tr>
        <w:trPr>
          <w:trHeight w:val="276"/>
        </w:trPr>
        <w:tc>
          <w:tcPr>
            <w:tcW w:w="524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Common stock, $0.0001 par value; 45,000,000 shares authorized;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12,280,051 and 11,818,761 shares issued and outstanding as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43,491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30,836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stockholders’ deficit</w:t>
            </w:r>
          </w:p>
        </w:tc>
        <w:tc>
          <w:tcPr>
            <w:tcW w:w="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49,203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63,637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p>
      <w:pPr>
        <w:spacing w:after="0" w:line="15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36195</wp:posOffset>
            </wp:positionV>
            <wp:extent cx="1534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2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86,524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3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Deemed dividend related to the exchange of redeemable convertible</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preferred stock series D-3A for redeemable convertible preferred stock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D-3</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7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2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(74,402</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2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12,104,523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REDEEMABLE CONVERTIBLE PREFERRED STOCK AND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540" w:type="dxa"/>
            <w:vAlign w:val="bottom"/>
            <w:tcBorders>
              <w:right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Redeemable Convertible</w:t>
            </w:r>
          </w:p>
        </w:tc>
        <w:tc>
          <w:tcPr>
            <w:tcW w:w="10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40" w:type="dxa"/>
            <w:vAlign w:val="bottom"/>
            <w:tcBorders>
              <w:right w:val="single" w:sz="8" w:color="auto"/>
            </w:tcBorders>
            <w:gridSpan w:val="6"/>
          </w:tcPr>
          <w:p>
            <w:pPr>
              <w:jc w:val="right"/>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20" w:type="dxa"/>
            <w:vAlign w:val="bottom"/>
            <w:gridSpan w:val="9"/>
            <w:vMerge w:val="restart"/>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5"/>
                <w:szCs w:val="5"/>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920" w:type="dxa"/>
            <w:vAlign w:val="bottom"/>
            <w:gridSpan w:val="9"/>
            <w:vMerge w:val="continue"/>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0"/>
                <w:szCs w:val="10"/>
                <w:color w:val="auto"/>
              </w:rPr>
              <w:t>Balance as of January 1,</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17,784,975</w:t>
            </w: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223,641</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11,750,082</w:t>
            </w:r>
          </w:p>
        </w:tc>
        <w:tc>
          <w:tcPr>
            <w:tcW w:w="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25,936</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 (206,851)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redeemable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D3</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preferred stock Preferred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exchange at $33.00</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454,545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redeemable</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D3</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preferred stock Preferred</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exchange at $40.00</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Conversion of convertible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notes for redeemable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D-3</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766,293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30,664</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Preferred stock exchange</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3,182</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(D-3 to D-3A)</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redeemable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B</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preferred stock upon net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exercise of Series B</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101,574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right w:val="single" w:sz="8" w:color="auto"/>
            </w:tcBorders>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common stock</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 of stock</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68,679</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Other comprehensive gain,</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74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Balance as of December 31,</w:t>
            </w: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19,132,387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273,687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11,818,761</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vMerge w:val="restart"/>
          </w:tcPr>
          <w:p>
            <w:pPr>
              <w:spacing w:after="0" w:line="122" w:lineRule="exact"/>
              <w:rPr>
                <w:sz w:val="20"/>
                <w:szCs w:val="20"/>
                <w:color w:val="auto"/>
              </w:rPr>
            </w:pPr>
            <w:r>
              <w:rPr>
                <w:rFonts w:ascii="Times New Roman" w:cs="Times New Roman" w:eastAsia="Times New Roman" w:hAnsi="Times New Roman"/>
                <w:sz w:val="14"/>
                <w:szCs w:val="14"/>
                <w:color w:val="auto"/>
              </w:rPr>
              <w:t>Issuance of common stock</w:t>
            </w: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common stock</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 of stock</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461,290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Other comprehensive gain,</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redeemable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C</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preferred stock upon net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exercise of Series C</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116,150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5,816</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line="102" w:lineRule="exact"/>
              <w:rPr>
                <w:sz w:val="20"/>
                <w:szCs w:val="20"/>
                <w:color w:val="auto"/>
              </w:rPr>
            </w:pPr>
            <w:r>
              <w:rPr>
                <w:rFonts w:ascii="Times New Roman" w:cs="Times New Roman" w:eastAsia="Times New Roman" w:hAnsi="Times New Roman"/>
                <w:sz w:val="10"/>
                <w:szCs w:val="10"/>
                <w:color w:val="auto"/>
              </w:rPr>
              <w:t>Balance as of December 31,</w:t>
            </w: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19,248,537</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279,503</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12,280,051</w:t>
            </w:r>
          </w:p>
        </w:tc>
        <w:tc>
          <w:tcPr>
            <w:tcW w:w="4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43,491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 (343,237)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4"/>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5"/>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4"/>
        </w:trPr>
        <w:tc>
          <w:tcPr>
            <w:tcW w:w="5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9"/>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Pr>
          <w:p>
            <w:pPr>
              <w:spacing w:after="0"/>
              <w:rPr>
                <w:sz w:val="20"/>
                <w:szCs w:val="20"/>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(74,407)</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6,037</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5,897</w:t>
            </w: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1,846</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1,068</w:t>
            </w: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upon extinguishment of debt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3,775</w:t>
            </w: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74"/>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36"/>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6"/>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 non-current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1,174</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1,291</w:t>
            </w:r>
          </w:p>
        </w:tc>
      </w:tr>
      <w:tr>
        <w:trPr>
          <w:trHeight w:val="236"/>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640</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10,341</w:t>
            </w:r>
          </w:p>
        </w:tc>
      </w:tr>
      <w:tr>
        <w:trPr>
          <w:trHeight w:val="249"/>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5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175260</wp:posOffset>
            </wp:positionV>
            <wp:extent cx="5001895" cy="175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75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Maturities of short-term investments</w:t>
      </w:r>
    </w:p>
    <w:p>
      <w:pPr>
        <w:spacing w:after="0" w:line="69" w:lineRule="exact"/>
        <w:rPr>
          <w:sz w:val="20"/>
          <w:szCs w:val="20"/>
          <w:color w:val="auto"/>
        </w:rPr>
      </w:pPr>
    </w:p>
    <w:p>
      <w:pPr>
        <w:jc w:val="right"/>
        <w:ind w:right="1178"/>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83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01895" cy="183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1162" w:hanging="1162"/>
        <w:spacing w:after="0"/>
        <w:tabs>
          <w:tab w:leader="none" w:pos="116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(2,162)</w:t>
      </w:r>
    </w:p>
    <w:p>
      <w:pPr>
        <w:spacing w:after="0" w:line="104" w:lineRule="exact"/>
        <w:rPr>
          <w:rFonts w:ascii="Times New Roman" w:cs="Times New Roman" w:eastAsia="Times New Roman" w:hAnsi="Times New Roman"/>
          <w:sz w:val="16"/>
          <w:szCs w:val="16"/>
          <w:color w:val="auto"/>
        </w:rPr>
      </w:pPr>
    </w:p>
    <w:p>
      <w:pPr>
        <w:ind w:left="14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30480</wp:posOffset>
            </wp:positionV>
            <wp:extent cx="14420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36" w:lineRule="exact"/>
        <w:rPr>
          <w:sz w:val="20"/>
          <w:szCs w:val="20"/>
          <w:color w:val="auto"/>
        </w:rPr>
      </w:pPr>
    </w:p>
    <w:p>
      <w:pPr>
        <w:ind w:left="2"/>
        <w:spacing w:after="0"/>
        <w:tabs>
          <w:tab w:leader="none" w:pos="1122" w:val="left"/>
        </w:tabs>
        <w:rPr>
          <w:sz w:val="20"/>
          <w:szCs w:val="20"/>
          <w:color w:val="auto"/>
        </w:rPr>
      </w:pPr>
      <w:r>
        <w:rPr>
          <w:rFonts w:ascii="Times New Roman" w:cs="Times New Roman" w:eastAsia="Times New Roman" w:hAnsi="Times New Roman"/>
          <w:sz w:val="18"/>
          <w:szCs w:val="18"/>
          <w:color w:val="auto"/>
        </w:rPr>
        <w:t>(636)</w:t>
      </w:r>
      <w:r>
        <w:rPr>
          <w:sz w:val="20"/>
          <w:szCs w:val="20"/>
          <w:color w:val="auto"/>
        </w:rPr>
        <w:tab/>
      </w:r>
      <w:r>
        <w:rPr>
          <w:rFonts w:ascii="Times New Roman" w:cs="Times New Roman" w:eastAsia="Times New Roman" w:hAnsi="Times New Roman"/>
          <w:sz w:val="16"/>
          <w:szCs w:val="16"/>
          <w:color w:val="auto"/>
        </w:rPr>
        <w:t>11,448</w:t>
      </w:r>
    </w:p>
    <w:p>
      <w:pPr>
        <w:spacing w:after="0" w:line="200" w:lineRule="exact"/>
        <w:rPr>
          <w:sz w:val="20"/>
          <w:szCs w:val="20"/>
          <w:color w:val="auto"/>
        </w:rPr>
      </w:pPr>
    </w:p>
    <w:p>
      <w:pPr>
        <w:sectPr>
          <w:pgSz w:w="11900" w:h="16838" w:orient="portrait"/>
          <w:cols w:equalWidth="0" w:num="2">
            <w:col w:w="5958" w:space="720"/>
            <w:col w:w="2341"/>
          </w:cols>
          <w:pgMar w:left="1440" w:top="329" w:right="1440" w:bottom="1440" w:gutter="0" w:footer="0" w:header="0"/>
          <w:type w:val="continuous"/>
        </w:sectPr>
      </w:pP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14,905</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net of issuance cost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29,833</w:t>
            </w:r>
          </w:p>
        </w:tc>
        <w:tc>
          <w:tcPr>
            <w:tcW w:w="3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20"/>
                <w:szCs w:val="20"/>
                <w:color w:val="auto"/>
              </w:rPr>
            </w:pP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finance and capital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(2,575)</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r>
      <w:tr>
        <w:trPr>
          <w:trHeight w:val="192"/>
        </w:trPr>
        <w:tc>
          <w:tcPr>
            <w:tcW w:w="5380" w:type="dxa"/>
            <w:vAlign w:val="bottom"/>
          </w:tcPr>
          <w:p>
            <w:pPr>
              <w:ind w:left="180"/>
              <w:spacing w:after="0" w:line="192" w:lineRule="exact"/>
              <w:rPr>
                <w:sz w:val="20"/>
                <w:szCs w:val="20"/>
                <w:color w:val="auto"/>
              </w:rPr>
            </w:pPr>
            <w:r>
              <w:rPr>
                <w:rFonts w:ascii="Times New Roman" w:cs="Times New Roman" w:eastAsia="Times New Roman" w:hAnsi="Times New Roman"/>
                <w:sz w:val="18"/>
                <w:szCs w:val="18"/>
                <w:color w:val="auto"/>
              </w:rPr>
              <w:t>Proceeds from the exercise of warrants for redeemable convertible</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1"/>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0"/>
                <w:szCs w:val="20"/>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6"/>
        </w:trPr>
        <w:tc>
          <w:tcPr>
            <w:tcW w:w="5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44,653</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172"/>
        </w:trPr>
        <w:tc>
          <w:tcPr>
            <w:tcW w:w="5380" w:type="dxa"/>
            <w:vAlign w:val="bottom"/>
          </w:tcPr>
          <w:p>
            <w:pPr>
              <w:ind w:left="700"/>
              <w:spacing w:after="0" w:line="172"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28"/>
        </w:trPr>
        <w:tc>
          <w:tcPr>
            <w:tcW w:w="5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(22,160)</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40" w:type="dxa"/>
            <w:vAlign w:val="bottom"/>
          </w:tcPr>
          <w:p>
            <w:pPr>
              <w:spacing w:after="0"/>
              <w:rPr>
                <w:sz w:val="19"/>
                <w:szCs w:val="19"/>
                <w:color w:val="auto"/>
              </w:rPr>
            </w:pP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Cash, cash equivalents, and restricted cash equivalents, beginning of period</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44,982</w:t>
            </w: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2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14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5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4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21,626</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43,692</w:t>
            </w: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21"/>
                <w:szCs w:val="21"/>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540"/>
              <w:spacing w:after="0" w:line="172"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 the consolidated statements of cash flows</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22,822</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40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Operating lease liabilities and right-of-use assets through adoption of</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Topic 842</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11,428</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40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360"/>
              <w:spacing w:after="0" w:line="193" w:lineRule="exact"/>
              <w:rPr>
                <w:sz w:val="20"/>
                <w:szCs w:val="20"/>
                <w:color w:val="auto"/>
              </w:rPr>
            </w:pPr>
            <w:r>
              <w:rPr>
                <w:rFonts w:ascii="Times New Roman" w:cs="Times New Roman" w:eastAsia="Times New Roman" w:hAnsi="Times New Roman"/>
                <w:sz w:val="18"/>
                <w:szCs w:val="18"/>
                <w:color w:val="auto"/>
              </w:rPr>
              <w:t>Property and equipment acquired under capital leases or debt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40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6"/>
                <w:szCs w:val="16"/>
                <w:color w:val="auto"/>
              </w:rPr>
              <w:t>Debt discount through issuance of convertible note with derivative</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liability</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8"/>
        </w:trPr>
        <w:tc>
          <w:tcPr>
            <w:tcW w:w="540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360"/>
              <w:spacing w:after="0" w:line="193" w:lineRule="exact"/>
              <w:rPr>
                <w:sz w:val="20"/>
                <w:szCs w:val="20"/>
                <w:color w:val="auto"/>
              </w:rPr>
            </w:pPr>
            <w:r>
              <w:rPr>
                <w:rFonts w:ascii="Times New Roman" w:cs="Times New Roman" w:eastAsia="Times New Roman" w:hAnsi="Times New Roman"/>
                <w:sz w:val="18"/>
                <w:szCs w:val="18"/>
                <w:color w:val="auto"/>
              </w:rPr>
              <w:t>Non-cash debt discount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line="189" w:lineRule="exact"/>
              <w:rPr>
                <w:sz w:val="20"/>
                <w:szCs w:val="20"/>
                <w:color w:val="auto"/>
              </w:rPr>
            </w:pPr>
            <w:r>
              <w:rPr>
                <w:rFonts w:ascii="Times New Roman" w:cs="Times New Roman" w:eastAsia="Times New Roman" w:hAnsi="Times New Roman"/>
                <w:sz w:val="18"/>
                <w:szCs w:val="18"/>
                <w:color w:val="auto"/>
              </w:rPr>
              <w:t>Issues of series C redeemable convertible preferred stock for exercise</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warrants</w:t>
            </w:r>
          </w:p>
        </w:tc>
        <w:tc>
          <w:tcPr>
            <w:tcW w:w="2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5,816</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5400" w:type="dxa"/>
            <w:vAlign w:val="bottom"/>
            <w:tcBorders>
              <w:top w:val="single" w:sz="8" w:color="CCEEFF"/>
            </w:tcBorders>
            <w:shd w:val="clear" w:color="auto" w:fill="CCEEFF"/>
          </w:tcPr>
          <w:p>
            <w:pPr>
              <w:ind w:left="360"/>
              <w:spacing w:after="0" w:line="152" w:lineRule="exact"/>
              <w:rPr>
                <w:sz w:val="20"/>
                <w:szCs w:val="20"/>
                <w:color w:val="auto"/>
              </w:rPr>
            </w:pPr>
            <w:r>
              <w:rPr>
                <w:rFonts w:ascii="Times New Roman" w:cs="Times New Roman" w:eastAsia="Times New Roman" w:hAnsi="Times New Roman"/>
                <w:sz w:val="16"/>
                <w:szCs w:val="16"/>
                <w:color w:val="auto"/>
              </w:rPr>
              <w:t>Issues of series B redeemable convertible preferred stock for exercise</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warrants</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line="192" w:lineRule="exact"/>
              <w:rPr>
                <w:sz w:val="20"/>
                <w:szCs w:val="20"/>
                <w:color w:val="auto"/>
              </w:rPr>
            </w:pPr>
            <w:r>
              <w:rPr>
                <w:rFonts w:ascii="Times New Roman" w:cs="Times New Roman" w:eastAsia="Times New Roman" w:hAnsi="Times New Roman"/>
                <w:sz w:val="18"/>
                <w:szCs w:val="18"/>
                <w:color w:val="auto"/>
              </w:rPr>
              <w:t>Deemed dividend from exchange of series D-3A redeemable</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preferred stock for series D-3</w:t>
            </w:r>
          </w:p>
        </w:tc>
        <w:tc>
          <w:tcPr>
            <w:tcW w:w="2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152"/>
        </w:trPr>
        <w:tc>
          <w:tcPr>
            <w:tcW w:w="5400" w:type="dxa"/>
            <w:vAlign w:val="bottom"/>
            <w:tcBorders>
              <w:top w:val="single" w:sz="8" w:color="CCEEFF"/>
            </w:tcBorders>
            <w:shd w:val="clear" w:color="auto" w:fill="CCEEFF"/>
          </w:tcPr>
          <w:p>
            <w:pPr>
              <w:ind w:left="360"/>
              <w:spacing w:after="0" w:line="152" w:lineRule="exact"/>
              <w:rPr>
                <w:sz w:val="20"/>
                <w:szCs w:val="20"/>
                <w:color w:val="auto"/>
              </w:rPr>
            </w:pPr>
            <w:r>
              <w:rPr>
                <w:rFonts w:ascii="Times New Roman" w:cs="Times New Roman" w:eastAsia="Times New Roman" w:hAnsi="Times New Roman"/>
                <w:sz w:val="16"/>
                <w:szCs w:val="16"/>
                <w:color w:val="auto"/>
              </w:rPr>
              <w:t>Conversion of convertible notes to series D-3A redeemable convertible</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30,664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SoundHound, Inc. and its subsidiaries (“SoundHound” or the “Company”) was incorporated in Delaware on September 2, 2005 and is headquartered in Santa Clara, California.</w:t>
      </w:r>
    </w:p>
    <w:p>
      <w:pPr>
        <w:spacing w:after="0" w:line="91"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121"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82"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3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119"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372" w:lineRule="exact"/>
        <w:rPr>
          <w:sz w:val="20"/>
          <w:szCs w:val="20"/>
          <w:color w:val="auto"/>
        </w:rPr>
      </w:pPr>
    </w:p>
    <w:p>
      <w:pPr>
        <w:ind w:left="960" w:hanging="395"/>
        <w:spacing w:after="0"/>
        <w:tabs>
          <w:tab w:leader="none" w:pos="9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accounts and transactions have been eliminated in consolidation.</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13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3"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3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136"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 Equivalents</w:t>
      </w:r>
    </w:p>
    <w:p>
      <w:pPr>
        <w:spacing w:after="0" w:line="123"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Net</w:t>
      </w:r>
    </w:p>
    <w:p>
      <w:pPr>
        <w:spacing w:after="0" w:line="123"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10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123" w:lineRule="exact"/>
        <w:rPr>
          <w:sz w:val="20"/>
          <w:szCs w:val="20"/>
          <w:color w:val="auto"/>
        </w:rPr>
      </w:pPr>
    </w:p>
    <w:p>
      <w:pPr>
        <w:jc w:val="both"/>
        <w:ind w:left="980" w:right="579"/>
        <w:spacing w:after="0" w:line="331"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is provided using the straight-line method over the estimated useful lives of the respective assets.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p>
      <w:pPr>
        <w:spacing w:after="0" w:line="200" w:lineRule="exact"/>
        <w:rPr>
          <w:sz w:val="20"/>
          <w:szCs w:val="20"/>
          <w:color w:val="auto"/>
        </w:rPr>
      </w:pPr>
    </w:p>
    <w:p>
      <w:pPr>
        <w:spacing w:after="0" w:line="281"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4 years</w:t>
            </w:r>
          </w:p>
        </w:tc>
      </w:tr>
      <w:tr>
        <w:trPr>
          <w:trHeight w:val="23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40"/>
        </w:trPr>
        <w:tc>
          <w:tcPr>
            <w:tcW w:w="310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56"/>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useful life or the term of the lease</w:t>
            </w:r>
          </w:p>
        </w:tc>
      </w:tr>
    </w:tbl>
    <w:p>
      <w:pPr>
        <w:spacing w:after="0" w:line="1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as incurred.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Long-Lived Assets</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1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13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1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had three customers that accounted for 61% of revenue and two customers that accounted for 43% of revenue for the year ended December 31, 2020.</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115"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8" w:lineRule="exact"/>
        <w:rPr>
          <w:sz w:val="20"/>
          <w:szCs w:val="20"/>
          <w:color w:val="auto"/>
        </w:rPr>
      </w:pPr>
    </w:p>
    <w:p>
      <w:pPr>
        <w:ind w:left="1800" w:hanging="394"/>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147" w:lineRule="exact"/>
        <w:rPr>
          <w:rFonts w:ascii="Times New Roman" w:cs="Times New Roman" w:eastAsia="Times New Roman" w:hAnsi="Times New Roman"/>
          <w:sz w:val="18"/>
          <w:szCs w:val="18"/>
          <w:color w:val="auto"/>
        </w:rPr>
      </w:pPr>
    </w:p>
    <w:p>
      <w:pPr>
        <w:ind w:left="1800" w:hanging="394"/>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7" w:lineRule="exact"/>
        <w:rPr>
          <w:rFonts w:ascii="Times New Roman" w:cs="Times New Roman" w:eastAsia="Times New Roman" w:hAnsi="Times New Roman"/>
          <w:sz w:val="18"/>
          <w:szCs w:val="18"/>
          <w:color w:val="auto"/>
        </w:rPr>
      </w:pPr>
    </w:p>
    <w:p>
      <w:pPr>
        <w:ind w:left="1800" w:hanging="394"/>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134" w:lineRule="exact"/>
        <w:rPr>
          <w:rFonts w:ascii="Times New Roman" w:cs="Times New Roman" w:eastAsia="Times New Roman" w:hAnsi="Times New Roman"/>
          <w:sz w:val="18"/>
          <w:szCs w:val="18"/>
          <w:color w:val="auto"/>
        </w:rPr>
      </w:pPr>
    </w:p>
    <w:p>
      <w:pPr>
        <w:ind w:left="1780" w:hanging="374"/>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47" w:lineRule="exact"/>
        <w:rPr>
          <w:rFonts w:ascii="Times New Roman" w:cs="Times New Roman" w:eastAsia="Times New Roman" w:hAnsi="Times New Roman"/>
          <w:sz w:val="18"/>
          <w:szCs w:val="18"/>
          <w:color w:val="auto"/>
        </w:rPr>
      </w:pPr>
    </w:p>
    <w:p>
      <w:pPr>
        <w:ind w:left="1780" w:hanging="374"/>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147"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 xml:space="preserve">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Company is committed to issuing an instrument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49"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13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23" w:lineRule="exact"/>
        <w:rPr>
          <w:sz w:val="20"/>
          <w:szCs w:val="20"/>
          <w:color w:val="auto"/>
        </w:rPr>
      </w:pPr>
    </w:p>
    <w:p>
      <w:pPr>
        <w:jc w:val="both"/>
        <w:ind w:left="1400" w:right="5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of a peer group of companies for the period immediately preceding the option grant for a term that is approximately equal to the option’s expected term.</w:t>
      </w:r>
    </w:p>
    <w:p>
      <w:pPr>
        <w:spacing w:after="0" w:line="112" w:lineRule="exact"/>
        <w:rPr>
          <w:sz w:val="20"/>
          <w:szCs w:val="20"/>
          <w:color w:val="auto"/>
        </w:rPr>
      </w:pPr>
    </w:p>
    <w:p>
      <w:pPr>
        <w:jc w:val="both"/>
        <w:ind w:left="1400" w:right="579"/>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78" w:lineRule="exact"/>
        <w:rPr>
          <w:sz w:val="20"/>
          <w:szCs w:val="20"/>
          <w:color w:val="auto"/>
        </w:rPr>
      </w:pPr>
    </w:p>
    <w:p>
      <w:pPr>
        <w:jc w:val="both"/>
        <w:ind w:left="1400" w:right="5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U.S. Treasury zero-coupon issues with a term that is equal to the options’ expected term at the grant date.</w:t>
      </w:r>
    </w:p>
    <w:p>
      <w:pPr>
        <w:spacing w:after="0" w:line="112" w:lineRule="exact"/>
        <w:rPr>
          <w:sz w:val="20"/>
          <w:szCs w:val="20"/>
          <w:color w:val="auto"/>
        </w:rPr>
      </w:pPr>
    </w:p>
    <w:p>
      <w:pPr>
        <w:jc w:val="both"/>
        <w:ind w:left="1400" w:right="57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not declared or paid dividends to date and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declaring dividends. As such, the dividend yield has been estimated to be zero.</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4" w:lineRule="exact"/>
        <w:rPr>
          <w:sz w:val="20"/>
          <w:szCs w:val="20"/>
          <w:color w:val="auto"/>
        </w:rPr>
      </w:pPr>
    </w:p>
    <w:p>
      <w:pPr>
        <w:ind w:left="1820" w:right="579" w:hanging="414"/>
        <w:spacing w:after="0" w:line="270" w:lineRule="auto"/>
        <w:tabs>
          <w:tab w:leader="none" w:pos="1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at the measurement date.</w:t>
      </w:r>
    </w:p>
    <w:p>
      <w:pPr>
        <w:spacing w:after="0" w:line="98" w:lineRule="exact"/>
        <w:rPr>
          <w:rFonts w:ascii="Times New Roman" w:cs="Times New Roman" w:eastAsia="Times New Roman" w:hAnsi="Times New Roman"/>
          <w:sz w:val="18"/>
          <w:szCs w:val="18"/>
          <w:color w:val="auto"/>
        </w:rPr>
      </w:pPr>
    </w:p>
    <w:p>
      <w:pPr>
        <w:jc w:val="both"/>
        <w:ind w:left="1820" w:right="579" w:hanging="414"/>
        <w:spacing w:after="0" w:line="256" w:lineRule="auto"/>
        <w:tabs>
          <w:tab w:leader="none" w:pos="1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observable for the asset or liability through correlation with market data at the measurement date and for the duration of the instrument’s anticipated life.</w:t>
      </w:r>
    </w:p>
    <w:p>
      <w:pPr>
        <w:spacing w:after="0" w:line="112" w:lineRule="exact"/>
        <w:rPr>
          <w:rFonts w:ascii="Times New Roman" w:cs="Times New Roman" w:eastAsia="Times New Roman" w:hAnsi="Times New Roman"/>
          <w:sz w:val="18"/>
          <w:szCs w:val="18"/>
          <w:color w:val="auto"/>
        </w:rPr>
      </w:pPr>
    </w:p>
    <w:p>
      <w:pPr>
        <w:jc w:val="both"/>
        <w:ind w:left="1820" w:right="579" w:hanging="414"/>
        <w:spacing w:after="0" w:line="256" w:lineRule="auto"/>
        <w:tabs>
          <w:tab w:leader="none" w:pos="1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 at the measurement date. Consideration is given to the risk inherent in the valuation technique and the risk inherent in the inputs to the model.</w:t>
      </w:r>
    </w:p>
    <w:p>
      <w:pPr>
        <w:spacing w:after="0" w:line="10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149"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8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0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34"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29" w:lineRule="exact"/>
        <w:rPr>
          <w:sz w:val="20"/>
          <w:szCs w:val="20"/>
          <w:color w:val="auto"/>
        </w:rPr>
      </w:pPr>
    </w:p>
    <w:p>
      <w:pPr>
        <w:jc w:val="both"/>
        <w:ind w:left="980" w:right="579"/>
        <w:spacing w:after="0" w:line="253" w:lineRule="auto"/>
        <w:rPr>
          <w:sz w:val="20"/>
          <w:szCs w:val="20"/>
          <w:color w:val="auto"/>
        </w:rPr>
      </w:pPr>
      <w:r>
        <w:rPr>
          <w:rFonts w:ascii="Times New Roman" w:cs="Times New Roman" w:eastAsia="Times New Roman" w:hAnsi="Times New Roman"/>
          <w:sz w:val="18"/>
          <w:szCs w:val="18"/>
          <w:color w:val="auto"/>
        </w:rPr>
        <w:t>In addition, the Company elected the transition package of three practical expedients which allow companies not to reassess (i) whether agreements contain leases, (ii) the classification of leases, and</w:t>
      </w:r>
    </w:p>
    <w:p>
      <w:pPr>
        <w:spacing w:after="0" w:line="2" w:lineRule="exact"/>
        <w:rPr>
          <w:sz w:val="20"/>
          <w:szCs w:val="20"/>
          <w:color w:val="auto"/>
        </w:rPr>
      </w:pPr>
    </w:p>
    <w:p>
      <w:pPr>
        <w:jc w:val="both"/>
        <w:ind w:left="980" w:right="579" w:firstLine="6"/>
        <w:spacing w:after="0" w:line="244" w:lineRule="auto"/>
        <w:tabs>
          <w:tab w:leader="none" w:pos="129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25"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As a result of the adoption of the new lease accounting guidance, the Company recognized on January 1, 2021:</w:t>
      </w:r>
    </w:p>
    <w:p>
      <w:pPr>
        <w:spacing w:after="0" w:line="104" w:lineRule="exact"/>
        <w:rPr>
          <w:sz w:val="20"/>
          <w:szCs w:val="20"/>
          <w:color w:val="auto"/>
        </w:rPr>
      </w:pPr>
    </w:p>
    <w:p>
      <w:pPr>
        <w:jc w:val="both"/>
        <w:ind w:left="1820" w:right="579" w:hanging="414"/>
        <w:spacing w:after="0" w:line="255" w:lineRule="auto"/>
        <w:tabs>
          <w:tab w:leader="none" w:pos="1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114"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101" w:lineRule="exact"/>
        <w:rPr>
          <w:rFonts w:ascii="Times New Roman" w:cs="Times New Roman" w:eastAsia="Times New Roman" w:hAnsi="Times New Roman"/>
          <w:sz w:val="18"/>
          <w:szCs w:val="18"/>
          <w:color w:val="auto"/>
        </w:rPr>
      </w:pPr>
    </w:p>
    <w:p>
      <w:pPr>
        <w:ind w:left="1820" w:right="579" w:hanging="414"/>
        <w:spacing w:after="0" w:line="267" w:lineRule="auto"/>
        <w:tabs>
          <w:tab w:leader="none" w:pos="1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recharacterized its capital leases as finance leases. However, there was no quantitative impact to capital leases upon transitioning to the new standard.</w:t>
      </w:r>
    </w:p>
    <w:p>
      <w:pPr>
        <w:spacing w:after="0" w:line="104"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11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115"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115"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378" w:lineRule="exact"/>
        <w:rPr>
          <w:sz w:val="20"/>
          <w:szCs w:val="20"/>
          <w:color w:val="auto"/>
        </w:rPr>
      </w:pPr>
    </w:p>
    <w:p>
      <w:pPr>
        <w:ind w:left="960" w:hanging="395"/>
        <w:spacing w:after="0"/>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1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1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136"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0"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1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2"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30"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81" w:lineRule="exact"/>
        <w:rPr>
          <w:sz w:val="20"/>
          <w:szCs w:val="20"/>
          <w:color w:val="auto"/>
        </w:rPr>
      </w:pPr>
    </w:p>
    <w:p>
      <w:pPr>
        <w:ind w:left="1820" w:hanging="414"/>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147" w:lineRule="exact"/>
        <w:rPr>
          <w:rFonts w:ascii="Times New Roman" w:cs="Times New Roman" w:eastAsia="Times New Roman" w:hAnsi="Times New Roman"/>
          <w:sz w:val="18"/>
          <w:szCs w:val="18"/>
          <w:color w:val="auto"/>
        </w:rPr>
      </w:pPr>
    </w:p>
    <w:p>
      <w:pPr>
        <w:ind w:left="1820" w:hanging="414"/>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5" w:lineRule="exact"/>
        <w:rPr>
          <w:rFonts w:ascii="Times New Roman" w:cs="Times New Roman" w:eastAsia="Times New Roman" w:hAnsi="Times New Roman"/>
          <w:sz w:val="18"/>
          <w:szCs w:val="18"/>
          <w:b w:val="1"/>
          <w:bCs w:val="1"/>
          <w:color w:val="auto"/>
        </w:rPr>
      </w:pPr>
    </w:p>
    <w:p>
      <w:pPr>
        <w:ind w:left="1820" w:hanging="414"/>
        <w:spacing w:after="0"/>
        <w:tabs>
          <w:tab w:leader="none" w:pos="1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w:t>
      </w:r>
    </w:p>
    <w:p>
      <w:pPr>
        <w:spacing w:after="0" w:line="147" w:lineRule="exact"/>
        <w:rPr>
          <w:rFonts w:ascii="Times New Roman" w:cs="Times New Roman" w:eastAsia="Times New Roman" w:hAnsi="Times New Roman"/>
          <w:sz w:val="18"/>
          <w:szCs w:val="18"/>
          <w:color w:val="auto"/>
        </w:rPr>
      </w:pPr>
    </w:p>
    <w:p>
      <w:pPr>
        <w:ind w:left="1820" w:right="579" w:hanging="414"/>
        <w:spacing w:after="0" w:line="267" w:lineRule="auto"/>
        <w:tabs>
          <w:tab w:leader="none" w:pos="181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104"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years ended December 31, 2021 and 2020, revenues under each performance obligation were:</w:t>
      </w:r>
    </w:p>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4"/>
        </w:trPr>
        <w:tc>
          <w:tcPr>
            <w:tcW w:w="5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4"/>
        </w:trPr>
        <w:tc>
          <w:tcPr>
            <w:tcW w:w="50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8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geographic location is as follows: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5"/>
        </w:trPr>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3,797</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2,616</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21,197</w:t>
            </w:r>
          </w:p>
        </w:tc>
        <w:tc>
          <w:tcPr>
            <w:tcW w:w="3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recognition pattern is as follows: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5"/>
        </w:trPr>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21,197</w:t>
            </w:r>
          </w:p>
        </w:tc>
        <w:tc>
          <w:tcPr>
            <w:tcW w:w="3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96"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4"/>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8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19"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80" w:lineRule="exact"/>
        <w:rPr>
          <w:sz w:val="20"/>
          <w:szCs w:val="20"/>
          <w:color w:val="auto"/>
        </w:rPr>
      </w:pPr>
    </w:p>
    <w:p>
      <w:pPr>
        <w:jc w:val="both"/>
        <w:ind w:left="980" w:right="579"/>
        <w:spacing w:after="0" w:line="277" w:lineRule="auto"/>
        <w:rPr>
          <w:sz w:val="20"/>
          <w:szCs w:val="20"/>
          <w:color w:val="auto"/>
        </w:rPr>
      </w:pPr>
      <w:r>
        <w:rPr>
          <w:rFonts w:ascii="Times New Roman" w:cs="Times New Roman" w:eastAsia="Times New Roman" w:hAnsi="Times New Roman"/>
          <w:sz w:val="16"/>
          <w:szCs w:val="16"/>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30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1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4.</w:t>
        <w:tab/>
        <w:t>PROPERTY AND EQUIPMENT, NET</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tcPr>
          <w:p>
            <w:pPr>
              <w:spacing w:after="0"/>
              <w:rPr>
                <w:sz w:val="20"/>
                <w:szCs w:val="20"/>
                <w:color w:val="auto"/>
              </w:rPr>
            </w:pPr>
          </w:p>
        </w:tc>
      </w:tr>
      <w:tr>
        <w:trPr>
          <w:trHeight w:val="40"/>
        </w:trPr>
        <w:tc>
          <w:tcPr>
            <w:tcW w:w="4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0"/>
                <w:szCs w:val="20"/>
                <w:color w:val="auto"/>
              </w:rPr>
            </w:pPr>
          </w:p>
        </w:tc>
      </w:tr>
      <w:tr>
        <w:trPr>
          <w:trHeight w:val="40"/>
        </w:trPr>
        <w:tc>
          <w:tcPr>
            <w:tcW w:w="4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2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at cost</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5"/>
        </w:trPr>
        <w:tc>
          <w:tcPr>
            <w:tcW w:w="4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(22,053)</w:t>
            </w: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85" w:lineRule="exact"/>
        <w:rPr>
          <w:sz w:val="20"/>
          <w:szCs w:val="20"/>
          <w:color w:val="auto"/>
        </w:rPr>
      </w:pPr>
    </w:p>
    <w:p>
      <w:pPr>
        <w:ind w:left="960" w:hanging="395"/>
        <w:spacing w:after="0"/>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49"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Accrued liabilities on the consolidated balance sheets are comprised of the following as of December 31, 2021 and 2020, respectively:</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40"/>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36"/>
        </w:trPr>
        <w:tc>
          <w:tcPr>
            <w:tcW w:w="50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78" w:lineRule="exact"/>
        <w:rPr>
          <w:sz w:val="20"/>
          <w:szCs w:val="20"/>
          <w:color w:val="auto"/>
        </w:rPr>
      </w:pPr>
    </w:p>
    <w:p>
      <w:pPr>
        <w:ind w:left="960" w:hanging="395"/>
        <w:spacing w:after="0"/>
        <w:tabs>
          <w:tab w:leader="none" w:pos="9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Letters of Credit</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3" w:lineRule="auto"/>
        <w:rPr>
          <w:sz w:val="20"/>
          <w:szCs w:val="20"/>
          <w:color w:val="auto"/>
        </w:rPr>
      </w:pPr>
      <w:r>
        <w:rPr>
          <w:rFonts w:ascii="Times New Roman" w:cs="Times New Roman" w:eastAsia="Times New Roman" w:hAnsi="Times New Roman"/>
          <w:sz w:val="18"/>
          <w:szCs w:val="18"/>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25"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3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of $1,105 and $829, respectively.</w:t>
      </w:r>
    </w:p>
    <w:p>
      <w:pPr>
        <w:spacing w:after="0" w:line="189" w:lineRule="exact"/>
        <w:rPr>
          <w:sz w:val="20"/>
          <w:szCs w:val="20"/>
          <w:color w:val="auto"/>
        </w:rPr>
      </w:pPr>
    </w:p>
    <w:p>
      <w:pPr>
        <w:ind w:left="960" w:hanging="395"/>
        <w:spacing w:after="0"/>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12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192" w:lineRule="exact"/>
        <w:rPr>
          <w:sz w:val="20"/>
          <w:szCs w:val="20"/>
          <w:color w:val="auto"/>
        </w:rPr>
      </w:pPr>
    </w:p>
    <w:p>
      <w:pPr>
        <w:ind w:left="960" w:hanging="395"/>
        <w:spacing w:after="0"/>
        <w:tabs>
          <w:tab w:leader="none" w:pos="9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AND NOTE PAYABLE</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2020 Convertible Notes</w:t>
      </w:r>
    </w:p>
    <w:p>
      <w:pPr>
        <w:spacing w:after="0" w:line="15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11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8"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30"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both the May Note and SNAP June 2020 Note in cash, pursuant to the following terms (“Redemption Features”):</w:t>
      </w:r>
    </w:p>
    <w:p>
      <w:pPr>
        <w:spacing w:after="0" w:line="104" w:lineRule="exact"/>
        <w:rPr>
          <w:sz w:val="20"/>
          <w:szCs w:val="20"/>
          <w:color w:val="auto"/>
        </w:rPr>
      </w:pPr>
    </w:p>
    <w:p>
      <w:pPr>
        <w:ind w:left="1400" w:right="579"/>
        <w:spacing w:after="0" w:line="267" w:lineRule="auto"/>
        <w:rPr>
          <w:sz w:val="20"/>
          <w:szCs w:val="20"/>
          <w:color w:val="auto"/>
        </w:rPr>
      </w:pPr>
      <w:r>
        <w:rPr>
          <w:rFonts w:ascii="Times New Roman" w:cs="Times New Roman" w:eastAsia="Times New Roman" w:hAnsi="Times New Roman"/>
          <w:sz w:val="18"/>
          <w:szCs w:val="18"/>
          <w:color w:val="auto"/>
        </w:rPr>
        <w:t>— 200% of the then outstanding principal amount of the respective note plus any unpaid accrued interest on the original principal of such note; and</w:t>
      </w:r>
    </w:p>
    <w:p>
      <w:pPr>
        <w:spacing w:after="0" w:line="90" w:lineRule="exact"/>
        <w:rPr>
          <w:sz w:val="20"/>
          <w:szCs w:val="20"/>
          <w:color w:val="auto"/>
        </w:rPr>
      </w:pPr>
    </w:p>
    <w:p>
      <w:pPr>
        <w:jc w:val="both"/>
        <w:ind w:left="1400" w:right="579"/>
        <w:spacing w:after="0" w:line="255" w:lineRule="auto"/>
        <w:rPr>
          <w:sz w:val="20"/>
          <w:szCs w:val="20"/>
          <w:color w:val="auto"/>
        </w:rPr>
      </w:pPr>
      <w:r>
        <w:rPr>
          <w:rFonts w:ascii="Times New Roman" w:cs="Times New Roman" w:eastAsia="Times New Roman" w:hAnsi="Times New Roman"/>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0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81"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97"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9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11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0"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57"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4"/>
        </w:trPr>
        <w:tc>
          <w:tcPr>
            <w:tcW w:w="50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40"/>
        </w:trPr>
        <w:tc>
          <w:tcPr>
            <w:tcW w:w="5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352"/>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44"/>
        </w:trPr>
        <w:tc>
          <w:tcPr>
            <w:tcW w:w="50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conversion feature – gain/(loss)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5"/>
        </w:trPr>
        <w:tc>
          <w:tcPr>
            <w:tcW w:w="50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151"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121"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08"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151"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121"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8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below table summarizes the Company’s debt balances as of December 31, 2021 and 2020:</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4"/>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31,050</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30,525</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SNAP</w:t>
            </w: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93" w:lineRule="auto"/>
        <w:rPr>
          <w:sz w:val="20"/>
          <w:szCs w:val="20"/>
          <w:color w:val="auto"/>
        </w:rPr>
      </w:pPr>
      <w:r>
        <w:rPr>
          <w:rFonts w:ascii="Times New Roman" w:cs="Times New Roman" w:eastAsia="Times New Roman" w:hAnsi="Times New Roman"/>
          <w:sz w:val="16"/>
          <w:szCs w:val="16"/>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w:t>
      </w:r>
    </w:p>
    <w:p>
      <w:pPr>
        <w:spacing w:after="0" w:line="133"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4"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36195</wp:posOffset>
            </wp:positionV>
            <wp:extent cx="23094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09495" cy="8255"/>
                    </a:xfrm>
                    <a:prstGeom prst="rect">
                      <a:avLst/>
                    </a:prstGeom>
                    <a:noFill/>
                  </pic:spPr>
                </pic:pic>
              </a:graphicData>
            </a:graphic>
          </wp:anchor>
        </w:drawing>
      </w:r>
    </w:p>
    <w:p>
      <w:pPr>
        <w:spacing w:after="0" w:line="73"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4"/>
        </w:trPr>
        <w:tc>
          <w:tcPr>
            <w:tcW w:w="3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3840" w:type="dxa"/>
            <w:vAlign w:val="bottom"/>
            <w:vMerge w:val="continue"/>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4"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36195</wp:posOffset>
            </wp:positionV>
            <wp:extent cx="23260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line="73"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2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4"/>
        </w:trPr>
        <w:tc>
          <w:tcPr>
            <w:tcW w:w="266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35,856</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40"/>
        </w:trPr>
        <w:tc>
          <w:tcPr>
            <w:tcW w:w="2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2660" w:type="dxa"/>
            <w:vAlign w:val="bottom"/>
            <w:vMerge w:val="continue"/>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35,856</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fair values of the warrants were determined based on significant inputs not observable in the market, which represent Level 3 measurements within the fair value hierarchy.</w:t>
      </w:r>
    </w:p>
    <w:p>
      <w:pPr>
        <w:spacing w:after="0" w:line="91"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2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Series B Warrants (September 2010 and March 2011)</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11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8"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The aggregate fair value of the Series C Warrants as of December 31, 2021 and 2020 was approximately $0 and $2,004, respectively.</w:t>
      </w:r>
    </w:p>
    <w:p>
      <w:pPr>
        <w:spacing w:after="0" w:line="104"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Warrants using the Black-Scholes option-pricing model using the following assumptions: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624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6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40"/>
        </w:trPr>
        <w:tc>
          <w:tcPr>
            <w:tcW w:w="6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2.16</w:t>
            </w:r>
          </w:p>
        </w:tc>
      </w:tr>
    </w:tbl>
    <w:p>
      <w:pPr>
        <w:spacing w:after="0" w:line="20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determined the fair value of the November 2013 Series C Warrants using the Black-Scholes option-pricing model and the following assumptions: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624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6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40"/>
        </w:trPr>
        <w:tc>
          <w:tcPr>
            <w:tcW w:w="6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2.87</w:t>
            </w:r>
          </w:p>
        </w:tc>
      </w:tr>
    </w:tbl>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 and SCI June 2021 Note)</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determined the fair value of the SVB March 2021 Note and SCI June 2021 Note common stock warrants at issuance using the Black-Scholes option-pricing model using the following assumptions, respectively:</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50" w:lineRule="exact"/>
        <w:rPr>
          <w:sz w:val="20"/>
          <w:szCs w:val="20"/>
          <w:color w:val="auto"/>
        </w:rPr>
      </w:pPr>
    </w:p>
    <w:tbl>
      <w:tblPr>
        <w:tblLayout w:type="fixed"/>
        <w:tblInd w:w="960" w:type="dxa"/>
        <w:tblCellMar>
          <w:top w:w="0" w:type="dxa"/>
          <w:left w:w="0" w:type="dxa"/>
          <w:bottom w:w="0" w:type="dxa"/>
          <w:right w:w="0" w:type="dxa"/>
        </w:tblCellMar>
      </w:tblPr>
      <w:tr>
        <w:trPr>
          <w:trHeight w:val="256"/>
        </w:trPr>
        <w:tc>
          <w:tcPr>
            <w:tcW w:w="6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0"/>
        </w:trPr>
        <w:tc>
          <w:tcPr>
            <w:tcW w:w="6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6"/>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r>
        <w:trPr>
          <w:trHeight w:val="455"/>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
        </w:trPr>
        <w:tc>
          <w:tcPr>
            <w:tcW w:w="6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36"/>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6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6"/>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13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2"/>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502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4"/>
        </w:trPr>
        <w:tc>
          <w:tcPr>
            <w:tcW w:w="5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8"/>
        </w:trPr>
        <w:tc>
          <w:tcPr>
            <w:tcW w:w="5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7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50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35"/>
        </w:trPr>
        <w:tc>
          <w:tcPr>
            <w:tcW w:w="5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1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0.26</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r>
    </w:tbl>
    <w:p>
      <w:pPr>
        <w:spacing w:after="0" w:line="200"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8"/>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4"/>
        </w:trPr>
        <w:tc>
          <w:tcPr>
            <w:tcW w:w="5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3,348</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(1,931)</w:t>
            </w:r>
          </w:p>
        </w:tc>
      </w:tr>
      <w:tr>
        <w:trPr>
          <w:trHeight w:val="40"/>
        </w:trPr>
        <w:tc>
          <w:tcPr>
            <w:tcW w:w="5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2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9"/>
                <w:szCs w:val="19"/>
                <w:color w:val="auto"/>
              </w:rPr>
            </w:pPr>
          </w:p>
        </w:tc>
      </w:tr>
      <w:tr>
        <w:trPr>
          <w:trHeight w:val="35"/>
        </w:trPr>
        <w:tc>
          <w:tcPr>
            <w:tcW w:w="5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3,812</w:t>
            </w:r>
          </w:p>
        </w:tc>
      </w:tr>
      <w:tr>
        <w:trPr>
          <w:trHeight w:val="24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(5,816)</w:t>
            </w: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3,488</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7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PREFERRED STOCK</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 summary of the Preferred Stock authorized, issued and outstanding as of December 31, 2021 is as follows</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20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8"/>
        </w:trPr>
        <w:tc>
          <w:tcPr>
            <w:tcW w:w="264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200" w:type="dxa"/>
            <w:vAlign w:val="bottom"/>
          </w:tcPr>
          <w:p>
            <w:pPr>
              <w:spacing w:after="0"/>
              <w:rPr>
                <w:sz w:val="18"/>
                <w:szCs w:val="18"/>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4"/>
        </w:trPr>
        <w:tc>
          <w:tcPr>
            <w:tcW w:w="2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6,065,646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6,065,646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11,943</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40"/>
        </w:trPr>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1,041,607</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6,869</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798,399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798,399</w:t>
            </w: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r>
      <w:tr>
        <w:trPr>
          <w:trHeight w:val="40"/>
        </w:trPr>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3,646,050</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95,027</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1,515,152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r>
      <w:tr>
        <w:trPr>
          <w:trHeight w:val="40"/>
        </w:trPr>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D-3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49,834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w:t>
            </w:r>
          </w:p>
        </w:tc>
      </w:tr>
      <w:tr>
        <w:trPr>
          <w:trHeight w:val="40"/>
        </w:trPr>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4,545,454</w:t>
            </w: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6"/>
        </w:trPr>
        <w:tc>
          <w:tcPr>
            <w:tcW w:w="2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26,316,129</w:t>
            </w: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284,826</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r>
      <w:tr>
        <w:trPr>
          <w:trHeight w:val="20"/>
        </w:trPr>
        <w:tc>
          <w:tcPr>
            <w:tcW w:w="2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21"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121"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In November 2020, the Company issued 25,000 shares of Series D-3 Preferred Stock for net cash proceeds of approximately $1,000.</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In November 2020, the Series B Warrants were exercised in full resulting in the issuance of 101,574 shares of Series B Preferred Stock at $1.97 per share for net cash proceeds of approximately $200.</w:t>
      </w:r>
    </w:p>
    <w:p>
      <w:pPr>
        <w:spacing w:after="0" w:line="104"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34"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24"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124"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Conversion</w:t>
      </w:r>
    </w:p>
    <w:p>
      <w:pPr>
        <w:spacing w:after="0" w:line="134"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19"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3" w:lineRule="exact"/>
        <w:rPr>
          <w:sz w:val="20"/>
          <w:szCs w:val="20"/>
          <w:color w:val="auto"/>
        </w:rPr>
      </w:pPr>
    </w:p>
    <w:p>
      <w:pPr>
        <w:ind w:left="980" w:right="579" w:firstLine="6"/>
        <w:spacing w:after="0" w:line="308" w:lineRule="auto"/>
        <w:tabs>
          <w:tab w:leader="none" w:pos="124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specified by written consent or agreement of the holders of a majority of the then outstanding shares of Preferred Stock, voting together as a single class on an as-converted to common stock basis.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Liquidation Preference</w:t>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D, D-1, D-3 and D-3A Preference</w:t>
      </w:r>
    </w:p>
    <w:p>
      <w:pPr>
        <w:spacing w:after="0" w:line="134"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3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D-2 Preference</w:t>
      </w:r>
    </w:p>
    <w:p>
      <w:pPr>
        <w:spacing w:after="0" w:line="147"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C-1 Preference</w:t>
      </w:r>
    </w:p>
    <w:p>
      <w:pPr>
        <w:spacing w:after="0" w:line="147"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2" w:lineRule="exact"/>
        <w:rPr>
          <w:sz w:val="20"/>
          <w:szCs w:val="20"/>
          <w:color w:val="auto"/>
        </w:rPr>
      </w:pPr>
    </w:p>
    <w:p>
      <w:pPr>
        <w:jc w:val="both"/>
        <w:ind w:left="980" w:right="579" w:firstLine="6"/>
        <w:spacing w:after="0" w:line="244" w:lineRule="auto"/>
        <w:tabs>
          <w:tab w:leader="none" w:pos="12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C Preference</w:t>
      </w:r>
    </w:p>
    <w:p>
      <w:pPr>
        <w:spacing w:after="0" w:line="147"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3" w:lineRule="exact"/>
        <w:rPr>
          <w:sz w:val="20"/>
          <w:szCs w:val="20"/>
          <w:color w:val="auto"/>
        </w:rPr>
      </w:pPr>
    </w:p>
    <w:p>
      <w:pPr>
        <w:jc w:val="both"/>
        <w:ind w:left="980" w:right="579" w:firstLine="6"/>
        <w:spacing w:after="0" w:line="244" w:lineRule="auto"/>
        <w:tabs>
          <w:tab w:leader="none" w:pos="12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B Preference</w:t>
      </w:r>
    </w:p>
    <w:p>
      <w:pPr>
        <w:spacing w:after="0" w:line="134"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3" w:lineRule="exact"/>
        <w:rPr>
          <w:sz w:val="20"/>
          <w:szCs w:val="20"/>
          <w:color w:val="auto"/>
        </w:rPr>
      </w:pPr>
    </w:p>
    <w:p>
      <w:pPr>
        <w:jc w:val="both"/>
        <w:ind w:left="980" w:right="579" w:firstLine="6"/>
        <w:spacing w:after="0" w:line="244" w:lineRule="auto"/>
        <w:tabs>
          <w:tab w:leader="none" w:pos="12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A Preference</w:t>
      </w:r>
    </w:p>
    <w:p>
      <w:pPr>
        <w:spacing w:after="0" w:line="147"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3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Remaining Assets for Distribution</w:t>
      </w:r>
    </w:p>
    <w:p>
      <w:pPr>
        <w:spacing w:after="0" w:line="147"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147"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147"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10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as a single class on an as-converted basis, are entitled to elect one director of the Company.</w:t>
      </w:r>
    </w:p>
    <w:p>
      <w:pPr>
        <w:spacing w:after="0" w:line="185"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COMMON STOCK</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As of December 31, 2021, the Company has authorized the issuance of 45,000,000 shares of common stock.</w:t>
      </w:r>
    </w:p>
    <w:p>
      <w:pPr>
        <w:spacing w:after="0" w:line="104"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has reserved shares of common stock for future issuance on an as-if converted basis related to the following outstanding Preferred Stock, warrants, stock options and future grants as of December 31, 2021:</w:t>
      </w:r>
    </w:p>
    <w:p>
      <w:pPr>
        <w:spacing w:after="0" w:line="200" w:lineRule="exact"/>
        <w:rPr>
          <w:sz w:val="20"/>
          <w:szCs w:val="20"/>
          <w:color w:val="auto"/>
        </w:rPr>
      </w:pP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6,065,646</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1,023,631</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C-1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798,399</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3,646,050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1,515,152</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1,515,151</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D-3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1,245,838</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191,355</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5,475,283</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incentive plan shares reserved for future issuance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499,328</w:t>
            </w:r>
          </w:p>
        </w:tc>
      </w:tr>
      <w:tr>
        <w:trPr>
          <w:trHeight w:val="236"/>
        </w:trPr>
        <w:tc>
          <w:tcPr>
            <w:tcW w:w="62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25,414,503</w:t>
            </w:r>
          </w:p>
        </w:tc>
      </w:tr>
      <w:tr>
        <w:trPr>
          <w:trHeight w:val="20"/>
        </w:trPr>
        <w:tc>
          <w:tcPr>
            <w:tcW w:w="6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STOCK INCENTIVE PLAN</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08"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Stock option activity under the Plans is as follows for the years ended December 31, 2021 and 2020:</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17"/>
                <w:szCs w:val="17"/>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7"/>
                <w:szCs w:val="17"/>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7"/>
        </w:trPr>
        <w:tc>
          <w:tcPr>
            <w:tcW w:w="2500" w:type="dxa"/>
            <w:vAlign w:val="bottom"/>
          </w:tcPr>
          <w:p>
            <w:pPr>
              <w:spacing w:after="0"/>
              <w:rPr>
                <w:sz w:val="17"/>
                <w:szCs w:val="17"/>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Available</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7"/>
                <w:szCs w:val="17"/>
                <w:color w:val="auto"/>
              </w:rPr>
            </w:pPr>
          </w:p>
        </w:tc>
        <w:tc>
          <w:tcPr>
            <w:tcW w:w="8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Grant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160" w:type="dxa"/>
            <w:vAlign w:val="bottom"/>
          </w:tcPr>
          <w:p>
            <w:pPr>
              <w:spacing w:after="0"/>
              <w:rPr>
                <w:sz w:val="18"/>
                <w:szCs w:val="18"/>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4"/>
        </w:trPr>
        <w:tc>
          <w:tcPr>
            <w:tcW w:w="25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2020</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378,010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4,276,480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(1,446,350)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1,446,350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475,875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(475,875)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0" w:type="dxa"/>
            <w:vAlign w:val="bottom"/>
          </w:tcPr>
          <w:p>
            <w:pPr>
              <w:spacing w:after="0"/>
              <w:rPr>
                <w:sz w:val="1"/>
                <w:szCs w:val="1"/>
                <w:color w:val="auto"/>
              </w:rPr>
            </w:pPr>
          </w:p>
        </w:tc>
      </w:tr>
      <w:tr>
        <w:trPr>
          <w:trHeight w:val="35"/>
        </w:trPr>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(1,134,542)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(461,290)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4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376,245</w:t>
            </w: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(376,245)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499,238</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spacing w:after="0" w:line="192" w:lineRule="exact"/>
              <w:rPr>
                <w:sz w:val="20"/>
                <w:szCs w:val="20"/>
                <w:color w:val="auto"/>
              </w:rPr>
            </w:pPr>
            <w:r>
              <w:rPr>
                <w:rFonts w:ascii="Times New Roman" w:cs="Times New Roman" w:eastAsia="Times New Roman" w:hAnsi="Times New Roman"/>
                <w:sz w:val="18"/>
                <w:szCs w:val="18"/>
                <w:color w:val="auto"/>
              </w:rPr>
              <w:t>Options exercisable as of</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5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125,517</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10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total fair value of options vested was approximately $5,358 and $5,400, during the years ended December 31, 2021 and 2020, respectively.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 xml:space="preserve">STOCK INCENTIVE PLAN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December 31, 2021:</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08"/>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24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4"/>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0" w:type="dxa"/>
            <w:vAlign w:val="bottom"/>
          </w:tcPr>
          <w:p>
            <w:pPr>
              <w:spacing w:after="0"/>
              <w:rPr>
                <w:sz w:val="1"/>
                <w:szCs w:val="1"/>
                <w:color w:val="auto"/>
              </w:rPr>
            </w:pP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0" w:type="dxa"/>
            <w:vAlign w:val="bottom"/>
          </w:tcPr>
          <w:p>
            <w:pPr>
              <w:spacing w:after="0"/>
              <w:rPr>
                <w:sz w:val="1"/>
                <w:szCs w:val="1"/>
                <w:color w:val="auto"/>
              </w:rPr>
            </w:pPr>
          </w:p>
        </w:tc>
      </w:tr>
      <w:tr>
        <w:trPr>
          <w:trHeight w:val="44"/>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$2.43 – $12.06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$12.07 – $15.34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1,223,673</w:t>
            </w: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1,154,889</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$15.35 – $19.31</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876,147</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7.67</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531,085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$19.32 – $24.17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1,156,561</w:t>
            </w: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404,605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$24.18 – $50.07</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995,802</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3,322,160</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02"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as of December 31, 2021 and 2020 are as follows:</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20.37</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5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20"/>
                <w:szCs w:val="20"/>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5.92</w:t>
            </w:r>
          </w:p>
        </w:tc>
      </w:tr>
      <w:tr>
        <w:trPr>
          <w:trHeight w:val="40"/>
        </w:trPr>
        <w:tc>
          <w:tcPr>
            <w:tcW w:w="5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40"/>
        </w:trPr>
        <w:tc>
          <w:tcPr>
            <w:tcW w:w="5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ind w:left="980" w:right="579"/>
        <w:spacing w:after="0" w:line="331" w:lineRule="auto"/>
        <w:rPr>
          <w:sz w:val="20"/>
          <w:szCs w:val="20"/>
          <w:color w:val="auto"/>
        </w:rPr>
      </w:pPr>
      <w:r>
        <w:rPr>
          <w:rFonts w:ascii="Times New Roman" w:cs="Times New Roman" w:eastAsia="Times New Roman" w:hAnsi="Times New Roman"/>
          <w:sz w:val="16"/>
          <w:szCs w:val="16"/>
          <w:color w:val="auto"/>
        </w:rPr>
        <w:t>Stock-based compensation is classified in the following operating expense accounts on the consolidated statements of operations and comprehensive loss for the years ended December 31, 2021 and 2020:</w:t>
      </w:r>
    </w:p>
    <w:p>
      <w:pPr>
        <w:spacing w:after="0" w:line="8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4"/>
        </w:trPr>
        <w:tc>
          <w:tcPr>
            <w:tcW w:w="50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 xml:space="preserve">STOCK INCENTIVE PLAN </w:t>
      </w:r>
      <w:r>
        <w:rPr>
          <w:rFonts w:ascii="Times New Roman" w:cs="Times New Roman" w:eastAsia="Times New Roman" w:hAnsi="Times New Roman"/>
          <w:sz w:val="16"/>
          <w:szCs w:val="16"/>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Options</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08"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21"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maximum change in control bonus for executive award holders is $5,837 and remains unamortized as of December 31, 2021.</w:t>
      </w:r>
    </w:p>
    <w:p>
      <w:pPr>
        <w:spacing w:after="0" w:line="16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are as follows:</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80" w:type="dxa"/>
            <w:vAlign w:val="bottom"/>
          </w:tcPr>
          <w:p>
            <w:pPr>
              <w:spacing w:after="0"/>
              <w:rPr>
                <w:sz w:val="17"/>
                <w:szCs w:val="17"/>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8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Additional information related to the Company’s lease balances during the year ended and as of</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December 31, 2021 includes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40"/>
        </w:trPr>
        <w:tc>
          <w:tcPr>
            <w:tcW w:w="6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6"/>
        </w:trPr>
        <w:tc>
          <w:tcPr>
            <w:tcW w:w="6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 cost:</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6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color w:val="auto"/>
        </w:rPr>
        <w:t>(cont.)</w:t>
      </w:r>
    </w:p>
    <w:p>
      <w:pPr>
        <w:spacing w:after="0" w:line="178"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8"/>
        </w:trPr>
        <w:tc>
          <w:tcPr>
            <w:tcW w:w="50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4"/>
        </w:trPr>
        <w:tc>
          <w:tcPr>
            <w:tcW w:w="50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1.22</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4"/>
              </w:rPr>
              <w:t>5.94%</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bl>
    <w:p>
      <w:pPr>
        <w:spacing w:after="0" w:line="20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Company’s rent expense totaled approximately $4,178 and $3,514 during the years ended December 31, 2021 and 2020, respectively.</w:t>
      </w:r>
    </w:p>
    <w:p>
      <w:pPr>
        <w:spacing w:after="0" w:line="16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OTHER EXPENSE, NET</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Other expense, net on the consolidated statements of operations and comprehensive loss is comprised of the following for the years ended December 31, 2021 and 2020, respectively:</w:t>
      </w:r>
    </w:p>
    <w:p>
      <w:pPr>
        <w:spacing w:after="0" w:line="185"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4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7"/>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4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4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
        </w:trPr>
        <w:tc>
          <w:tcPr>
            <w:tcW w:w="45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0"/>
                <w:szCs w:val="20"/>
                <w:color w:val="auto"/>
              </w:rPr>
            </w:pPr>
          </w:p>
        </w:tc>
      </w:tr>
      <w:tr>
        <w:trPr>
          <w:trHeight w:val="40"/>
        </w:trPr>
        <w:tc>
          <w:tcPr>
            <w:tcW w:w="4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(1,806)</w:t>
            </w:r>
          </w:p>
        </w:tc>
      </w:tr>
      <w:tr>
        <w:trPr>
          <w:trHeight w:val="23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convertible note</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(3,775)</w:t>
            </w:r>
          </w:p>
        </w:tc>
      </w:tr>
      <w:tr>
        <w:trPr>
          <w:trHeight w:val="40"/>
        </w:trPr>
        <w:tc>
          <w:tcPr>
            <w:tcW w:w="4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52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NET LOSS PER SHARE</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years ended December 31, 2021 and 2020:</w:t>
      </w:r>
    </w:p>
    <w:p>
      <w:pPr>
        <w:spacing w:after="0" w:line="185"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6"/>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4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5"/>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4"/>
        </w:trPr>
        <w:tc>
          <w:tcPr>
            <w:tcW w:w="48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9"/>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(74,407)</w:t>
            </w:r>
          </w:p>
        </w:tc>
      </w:tr>
      <w:tr>
        <w:trPr>
          <w:trHeight w:val="40"/>
        </w:trPr>
        <w:tc>
          <w:tcPr>
            <w:tcW w:w="4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2"/>
        </w:trPr>
        <w:tc>
          <w:tcPr>
            <w:tcW w:w="48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Less: deemed dividend related to the exchange of Preferred Stock</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68"/>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D-3A for Preferred Stock Series D-3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7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2"/>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9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12,104,523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140" w:type="dxa"/>
            <w:vAlign w:val="bottom"/>
            <w:tcBorders>
              <w:bottom w:val="single" w:sz="8" w:color="CCEEFF"/>
            </w:tcBorders>
          </w:tcPr>
          <w:p>
            <w:pPr>
              <w:spacing w:after="0"/>
              <w:rPr>
                <w:sz w:val="24"/>
                <w:szCs w:val="24"/>
                <w:color w:val="auto"/>
              </w:rPr>
            </w:pPr>
          </w:p>
        </w:tc>
      </w:tr>
      <w:tr>
        <w:trPr>
          <w:trHeight w:val="218"/>
        </w:trPr>
        <w:tc>
          <w:tcPr>
            <w:tcW w:w="48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years ended December 31, 2021 and 2020, the diluted earnings per share is equal to the basic earnings per share as the effect of potentially dilutive securities would have been antidilutive.</w:t>
      </w:r>
    </w:p>
    <w:p>
      <w:pPr>
        <w:spacing w:after="0" w:line="104"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0" w:type="dxa"/>
            <w:vAlign w:val="bottom"/>
            <w:gridSpan w:val="3"/>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50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5"/>
        </w:trPr>
        <w:tc>
          <w:tcPr>
            <w:tcW w:w="5060" w:type="dxa"/>
            <w:vAlign w:val="bottom"/>
          </w:tcPr>
          <w:p>
            <w:pPr>
              <w:spacing w:after="0"/>
              <w:rPr>
                <w:sz w:val="19"/>
                <w:szCs w:val="19"/>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6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5,178,276</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134,126</w:t>
            </w:r>
          </w:p>
        </w:tc>
      </w:tr>
      <w:tr>
        <w:trPr>
          <w:trHeight w:val="40"/>
        </w:trPr>
        <w:tc>
          <w:tcPr>
            <w:tcW w:w="5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19,132,387</w:t>
            </w:r>
          </w:p>
        </w:tc>
      </w:tr>
      <w:tr>
        <w:trPr>
          <w:trHeight w:val="27"/>
        </w:trPr>
        <w:tc>
          <w:tcPr>
            <w:tcW w:w="5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24,915,175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24,444,789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Company’s income (loss) before provision for income taxes for the years ended December 31, 2021 and 2020 consist of the following:</w:t>
      </w:r>
    </w:p>
    <w:p>
      <w:pPr>
        <w:spacing w:after="0" w:line="185"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r>
      <w:tr>
        <w:trPr>
          <w:trHeight w:val="44"/>
        </w:trPr>
        <w:tc>
          <w:tcPr>
            <w:tcW w:w="300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6"/>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(73,056)</w:t>
            </w:r>
          </w:p>
        </w:tc>
      </w:tr>
      <w:tr>
        <w:trPr>
          <w:trHeight w:val="24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30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30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2021 and 2020 consist of the following:</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3"/>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11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w:t>
            </w:r>
          </w:p>
        </w:tc>
        <w:tc>
          <w:tcPr>
            <w:tcW w:w="1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140" w:type="dxa"/>
            <w:vAlign w:val="bottom"/>
          </w:tcPr>
          <w:p>
            <w:pPr>
              <w:spacing w:after="0"/>
              <w:rPr>
                <w:sz w:val="24"/>
                <w:szCs w:val="24"/>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3"/>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7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provision</w:t>
            </w:r>
          </w:p>
        </w:tc>
        <w:tc>
          <w:tcPr>
            <w:tcW w:w="19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vMerge w:val="continue"/>
          </w:tcPr>
          <w:p>
            <w:pPr>
              <w:spacing w:after="0"/>
              <w:rPr>
                <w:sz w:val="18"/>
                <w:szCs w:val="18"/>
                <w:color w:val="auto"/>
              </w:rPr>
            </w:pPr>
          </w:p>
        </w:tc>
        <w:tc>
          <w:tcPr>
            <w:tcW w:w="1940" w:type="dxa"/>
            <w:vAlign w:val="bottom"/>
            <w:gridSpan w:val="2"/>
          </w:tcPr>
          <w:p>
            <w:pPr>
              <w:spacing w:after="0"/>
              <w:rPr>
                <w:sz w:val="18"/>
                <w:szCs w:val="18"/>
                <w:color w:val="auto"/>
              </w:rPr>
            </w:pPr>
          </w:p>
        </w:tc>
        <w:tc>
          <w:tcPr>
            <w:tcW w:w="7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benefit from income taxes differs from the amount expected by applying the federal statutory rate to the loss before taxes as follows:</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8"/>
                <w:szCs w:val="18"/>
                <w:color w:val="auto"/>
              </w:rPr>
            </w:pPr>
          </w:p>
        </w:tc>
      </w:tr>
      <w:tr>
        <w:trPr>
          <w:trHeight w:val="44"/>
        </w:trPr>
        <w:tc>
          <w:tcPr>
            <w:tcW w:w="49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rate, net of federal benefit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40"/>
        </w:trPr>
        <w:tc>
          <w:tcPr>
            <w:tcW w:w="4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and income tax</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40"/>
        </w:trPr>
        <w:tc>
          <w:tcPr>
            <w:tcW w:w="4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0"/>
        </w:trPr>
        <w:tc>
          <w:tcPr>
            <w:tcW w:w="4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permanent expenses</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4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4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96"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4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42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70,808</w:t>
            </w:r>
          </w:p>
        </w:tc>
        <w:tc>
          <w:tcPr>
            <w:tcW w:w="100" w:type="dxa"/>
            <w:vAlign w:val="bottom"/>
          </w:tcPr>
          <w:p>
            <w:pPr>
              <w:spacing w:after="0"/>
              <w:rPr>
                <w:sz w:val="20"/>
                <w:szCs w:val="20"/>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54,527</w:t>
            </w:r>
          </w:p>
        </w:tc>
        <w:tc>
          <w:tcPr>
            <w:tcW w:w="12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8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6"/>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r>
      <w:tr>
        <w:trPr>
          <w:trHeight w:val="24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6"/>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8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121"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82"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24"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2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Company’s tax years 2006 to 2021 will remain open for examination by the federal and state authorities for three and four years, respectively, from the date of utilization of any net operating loss credits.</w:t>
      </w:r>
    </w:p>
    <w:p>
      <w:pPr>
        <w:spacing w:after="0" w:line="102"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8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RELATED PARTY TRANSACTIONS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4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36195</wp:posOffset>
            </wp:positionV>
            <wp:extent cx="15424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73"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7"/>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0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136"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has evaluated subsequent events through March 9, 2022, the date the consolidated financial statements were issued.</w:t>
      </w:r>
    </w:p>
    <w:p>
      <w:pPr>
        <w:spacing w:after="0" w:line="1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In January 2022, the Company entered into a new office lease agreement for office space in Tokyo, Japan.</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lease commenced on January 1, 2022 and will expire on December 31, 2023.</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6" w:name="page97"/>
    <w:bookmarkEnd w:id="96"/>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4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23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21,626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160"/>
              <w:spacing w:after="0" w:line="183" w:lineRule="exact"/>
              <w:rPr>
                <w:sz w:val="20"/>
                <w:szCs w:val="20"/>
                <w:color w:val="auto"/>
              </w:rPr>
            </w:pPr>
            <w:r>
              <w:rPr>
                <w:rFonts w:ascii="Times New Roman" w:cs="Times New Roman" w:eastAsia="Times New Roman" w:hAnsi="Times New Roman"/>
                <w:sz w:val="16"/>
                <w:szCs w:val="16"/>
                <w:color w:val="auto"/>
              </w:rPr>
              <w:t>Accounts receivable, net of allowances of $109 as of September 30, 2022 and</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equivalents, non-current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10,291</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6,155</w:t>
            </w: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2,169</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1,264</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 non-current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LIABILITIES, REDEEMABLE CONVERTIBLE PREFERRED STOCK,</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b w:val="1"/>
                <w:bCs w:val="1"/>
                <w:color w:val="auto"/>
              </w:rPr>
              <w:t>AND STOCKHOLDERS’ DEFICIT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3,760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7,298</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3,281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1,301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liability</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2,737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6,042</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29,868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liability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3,488</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payable</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29,964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8,611</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 net of current portion</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14,959</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112,937</w:t>
            </w:r>
          </w:p>
        </w:tc>
        <w:tc>
          <w:tcPr>
            <w:tcW w:w="0" w:type="dxa"/>
            <w:vAlign w:val="bottom"/>
          </w:tcPr>
          <w:p>
            <w:pPr>
              <w:spacing w:after="0"/>
              <w:rPr>
                <w:sz w:val="1"/>
                <w:szCs w:val="1"/>
                <w:color w:val="auto"/>
              </w:rPr>
            </w:pPr>
          </w:p>
        </w:tc>
      </w:tr>
      <w:tr>
        <w:trPr>
          <w:trHeight w:val="225"/>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5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3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Legacy SoundHound redeemable convertible preferred stock; $0.0001 par value; 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146,218,514 shares authorized; 0 and 106,949,326 shares issued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liquidation preference of $0 and $284,826 as of September 30, 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279,503</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ind w:left="160"/>
              <w:spacing w:after="0" w:line="183" w:lineRule="exact"/>
              <w:rPr>
                <w:sz w:val="20"/>
                <w:szCs w:val="20"/>
                <w:color w:val="auto"/>
              </w:rPr>
            </w:pPr>
            <w:r>
              <w:rPr>
                <w:rFonts w:ascii="Times New Roman" w:cs="Times New Roman" w:eastAsia="Times New Roman" w:hAnsi="Times New Roman"/>
                <w:sz w:val="16"/>
                <w:szCs w:val="16"/>
                <w:color w:val="auto"/>
              </w:rPr>
              <w:t>Legacy SoundHound Common Stock, $0.0001 par value; 250,030,433 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0 and 68,258,556 shares issued and outstanding as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2022 and December 31, 2021, respectively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160"/>
              <w:spacing w:after="0" w:line="183" w:lineRule="exact"/>
              <w:rPr>
                <w:sz w:val="20"/>
                <w:szCs w:val="20"/>
                <w:color w:val="auto"/>
              </w:rPr>
            </w:pPr>
            <w:r>
              <w:rPr>
                <w:rFonts w:ascii="Times New Roman" w:cs="Times New Roman" w:eastAsia="Times New Roman" w:hAnsi="Times New Roman"/>
                <w:sz w:val="16"/>
                <w:szCs w:val="16"/>
                <w:color w:val="auto"/>
              </w:rPr>
              <w:t>Class A Common Stock, $0.0001 par value; 455,000,000 shares authorized;</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8"/>
              </w:rPr>
              <w:t>157,296,065 and 0 shares issued and outstanding as of September 30, 2022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ind w:left="160"/>
              <w:spacing w:after="0" w:line="183" w:lineRule="exact"/>
              <w:rPr>
                <w:sz w:val="20"/>
                <w:szCs w:val="20"/>
                <w:color w:val="auto"/>
              </w:rPr>
            </w:pPr>
            <w:r>
              <w:rPr>
                <w:rFonts w:ascii="Times New Roman" w:cs="Times New Roman" w:eastAsia="Times New Roman" w:hAnsi="Times New Roman"/>
                <w:sz w:val="16"/>
                <w:szCs w:val="16"/>
                <w:color w:val="auto"/>
              </w:rPr>
              <w:t>Class B Common Stock, $0.0001 par value; 44,000,000 shares authorized;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40,396,600 and 0 shares issued and outstanding as of September 30, 2022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43,491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ectPr>
          <w:pgSz w:w="11900" w:h="16895" w:orient="portrait"/>
          <w:cols w:equalWidth="0" w:num="1">
            <w:col w:w="9019"/>
          </w:cols>
          <w:pgMar w:left="1440" w:top="329" w:right="1440" w:bottom="0" w:gutter="0" w:footer="0" w:header="0"/>
        </w:sectPr>
      </w:pPr>
    </w:p>
    <w:bookmarkStart w:id="97" w:name="page98"/>
    <w:bookmarkEnd w:id="97"/>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(471,422)</w:t>
            </w:r>
          </w:p>
        </w:tc>
        <w:tc>
          <w:tcPr>
            <w:tcW w:w="30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(386,729)</w:t>
            </w:r>
          </w:p>
        </w:tc>
      </w:tr>
      <w:tr>
        <w:trPr>
          <w:trHeight w:val="90"/>
        </w:trPr>
        <w:tc>
          <w:tcPr>
            <w:tcW w:w="526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r>
      <w:tr>
        <w:trPr>
          <w:trHeight w:val="249"/>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(343,237</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163"/>
        </w:trPr>
        <w:tc>
          <w:tcPr>
            <w:tcW w:w="5260" w:type="dxa"/>
            <w:vAlign w:val="bottom"/>
          </w:tcPr>
          <w:p>
            <w:pPr>
              <w:ind w:left="360"/>
              <w:spacing w:after="0" w:line="163" w:lineRule="exact"/>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w:t>
            </w: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5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deficit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220" w:type="dxa"/>
            <w:vAlign w:val="bottom"/>
          </w:tcPr>
          <w:p>
            <w:pPr>
              <w:spacing w:after="0"/>
              <w:rPr>
                <w:sz w:val="20"/>
                <w:szCs w:val="20"/>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20" w:type="dxa"/>
            <w:vAlign w:val="bottom"/>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Pr>
          <w:p>
            <w:pPr>
              <w:spacing w:after="0"/>
              <w:rPr>
                <w:sz w:val="17"/>
                <w:szCs w:val="17"/>
                <w:color w:val="auto"/>
              </w:rPr>
            </w:pPr>
          </w:p>
        </w:tc>
        <w:tc>
          <w:tcPr>
            <w:tcW w:w="2320" w:type="dxa"/>
            <w:vAlign w:val="bottom"/>
            <w:gridSpan w:val="6"/>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8"/>
                <w:szCs w:val="18"/>
                <w:color w:val="auto"/>
              </w:rPr>
            </w:pPr>
          </w:p>
        </w:tc>
        <w:tc>
          <w:tcPr>
            <w:tcW w:w="2320" w:type="dxa"/>
            <w:vAlign w:val="bottom"/>
            <w:gridSpan w:val="6"/>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11,186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21,628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16,046</w:t>
            </w:r>
          </w:p>
        </w:tc>
        <w:tc>
          <w:tcPr>
            <w:tcW w:w="0" w:type="dxa"/>
            <w:vAlign w:val="bottom"/>
          </w:tcPr>
          <w:p>
            <w:pPr>
              <w:spacing w:after="0"/>
              <w:rPr>
                <w:sz w:val="1"/>
                <w:szCs w:val="1"/>
                <w:color w:val="auto"/>
              </w:rPr>
            </w:pPr>
          </w:p>
        </w:tc>
      </w:tr>
      <w:tr>
        <w:trPr>
          <w:trHeight w:val="22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6,844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13,623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19,352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54,864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42,810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22,952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38,194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21,198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98,283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62,334</w:t>
            </w:r>
          </w:p>
        </w:tc>
        <w:tc>
          <w:tcPr>
            <w:tcW w:w="0" w:type="dxa"/>
            <w:vAlign w:val="bottom"/>
          </w:tcPr>
          <w:p>
            <w:pPr>
              <w:spacing w:after="0"/>
              <w:rPr>
                <w:sz w:val="1"/>
                <w:szCs w:val="1"/>
                <w:color w:val="auto"/>
              </w:rPr>
            </w:pPr>
          </w:p>
        </w:tc>
      </w:tr>
      <w:tr>
        <w:trPr>
          <w:trHeight w:val="22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(46,288</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9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1"/>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1"/>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w w:val="97"/>
              </w:rPr>
              <w:t>Unrealized holding gain on available-for-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(57,692</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62"/>
        </w:trPr>
        <w:tc>
          <w:tcPr>
            <w:tcW w:w="20" w:type="dxa"/>
            <w:vAlign w:val="bottom"/>
            <w:vMerge w:val="restart"/>
          </w:tcPr>
          <w:p>
            <w:pPr>
              <w:spacing w:after="0"/>
              <w:rPr>
                <w:sz w:val="22"/>
                <w:szCs w:val="22"/>
                <w:color w:val="auto"/>
              </w:rPr>
            </w:pPr>
          </w:p>
        </w:tc>
        <w:tc>
          <w:tcPr>
            <w:tcW w:w="29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7"/>
              </w:rPr>
              <w:t>197,006,980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67,718,940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143,338,517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67,021,176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9" w:name="page100"/>
    <w:bookmarkEnd w:id="99"/>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REDEEMABLE CONVERTIBLE PREFERRED</w:t>
      </w:r>
    </w:p>
    <w:p>
      <w:pPr>
        <w:spacing w:after="0" w:line="2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STOCK AND STOCKHOLDERS’ EQUITY (DEFICIT)</w:t>
      </w:r>
    </w:p>
    <w:p>
      <w:pPr>
        <w:spacing w:after="0" w:line="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4"/>
          </w:tcPr>
          <w:p>
            <w:pPr>
              <w:jc w:val="center"/>
              <w:ind w:right="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7"/>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6"/>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14"/>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20" w:type="dxa"/>
            <w:vAlign w:val="bottom"/>
          </w:tcPr>
          <w:p>
            <w:pPr>
              <w:spacing w:after="0"/>
              <w:rPr>
                <w:sz w:val="12"/>
                <w:szCs w:val="12"/>
                <w:color w:val="auto"/>
              </w:rPr>
            </w:pPr>
          </w:p>
        </w:tc>
        <w:tc>
          <w:tcPr>
            <w:tcW w:w="106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20" w:type="dxa"/>
            <w:vAlign w:val="bottom"/>
          </w:tcPr>
          <w:p>
            <w:pPr>
              <w:spacing w:after="0"/>
              <w:rPr>
                <w:sz w:val="12"/>
                <w:szCs w:val="12"/>
                <w:color w:val="auto"/>
              </w:rPr>
            </w:pPr>
          </w:p>
        </w:tc>
        <w:tc>
          <w:tcPr>
            <w:tcW w:w="108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4"/>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060" w:type="dxa"/>
            <w:vAlign w:val="bottom"/>
            <w:gridSpan w:val="6"/>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7"/>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10"/>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6"/>
          </w:tcPr>
          <w:p>
            <w:pPr>
              <w:jc w:val="center"/>
              <w:ind w:right="13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5"/>
            <w:vMerge w:val="restart"/>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0" w:type="dxa"/>
            <w:vAlign w:val="bottom"/>
            <w:gridSpan w:val="14"/>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7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  Shares</w:t>
            </w:r>
          </w:p>
        </w:tc>
        <w:tc>
          <w:tcPr>
            <w:tcW w:w="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1800" w:type="dxa"/>
            <w:vAlign w:val="bottom"/>
            <w:gridSpan w:val="14"/>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1"/>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1200" w:type="dxa"/>
            <w:vAlign w:val="bottom"/>
            <w:gridSpan w:val="10"/>
            <w:vMerge w:val="continue"/>
          </w:tcPr>
          <w:p>
            <w:pPr>
              <w:spacing w:after="0"/>
              <w:rPr>
                <w:sz w:val="16"/>
                <w:szCs w:val="16"/>
                <w:color w:val="auto"/>
              </w:rPr>
            </w:pPr>
          </w:p>
        </w:tc>
        <w:tc>
          <w:tcPr>
            <w:tcW w:w="5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600" w:type="dxa"/>
            <w:vAlign w:val="bottom"/>
            <w:gridSpan w:val="3"/>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8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4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8"/>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156,266,549</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gridSpan w:val="7"/>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16 40,396,600</w:t>
            </w:r>
          </w:p>
        </w:tc>
        <w:tc>
          <w:tcPr>
            <w:tcW w:w="1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8"/>
                <w:szCs w:val="8"/>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8"/>
                <w:szCs w:val="8"/>
                <w:color w:val="auto"/>
              </w:rPr>
            </w:pPr>
          </w:p>
        </w:tc>
        <w:tc>
          <w:tcPr>
            <w:tcW w:w="5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447,136</w:t>
            </w:r>
          </w:p>
        </w:tc>
        <w:tc>
          <w:tcPr>
            <w:tcW w:w="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(442,500)</w:t>
            </w:r>
          </w:p>
        </w:tc>
        <w:tc>
          <w:tcPr>
            <w:tcW w:w="40" w:type="dxa"/>
            <w:vAlign w:val="bottom"/>
            <w:shd w:val="clear" w:color="auto" w:fill="CCEEFF"/>
          </w:tcPr>
          <w:p>
            <w:pPr>
              <w:spacing w:after="0"/>
              <w:rPr>
                <w:sz w:val="8"/>
                <w:szCs w:val="8"/>
                <w:color w:val="auto"/>
              </w:rPr>
            </w:pP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CCEEFF"/>
            </w:tcBorders>
            <w:gridSpan w:val="3"/>
            <w:vMerge w:val="continue"/>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960" w:type="dxa"/>
            <w:vAlign w:val="bottom"/>
            <w:tcBorders>
              <w:bottom w:val="single" w:sz="8" w:color="CCEEFF"/>
            </w:tcBorders>
            <w:gridSpan w:val="8"/>
            <w:vMerge w:val="continue"/>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7"/>
            <w:vMerge w:val="continue"/>
            <w:shd w:val="clear" w:color="auto" w:fill="CCEEFF"/>
          </w:tcPr>
          <w:p>
            <w:pPr>
              <w:spacing w:after="0"/>
              <w:rPr>
                <w:sz w:val="16"/>
                <w:szCs w:val="16"/>
                <w:color w:val="auto"/>
              </w:rPr>
            </w:pPr>
          </w:p>
        </w:tc>
        <w:tc>
          <w:tcPr>
            <w:tcW w:w="120" w:type="dxa"/>
            <w:vAlign w:val="bottom"/>
            <w:tcBorders>
              <w:bottom w:val="single" w:sz="8" w:color="CCEEFF"/>
            </w:tcBorders>
            <w:gridSpan w:val="3"/>
            <w:vMerge w:val="continue"/>
            <w:shd w:val="clear" w:color="auto" w:fill="CCEEFF"/>
          </w:tcPr>
          <w:p>
            <w:pPr>
              <w:spacing w:after="0"/>
              <w:rPr>
                <w:sz w:val="16"/>
                <w:szCs w:val="16"/>
                <w:color w:val="auto"/>
              </w:rPr>
            </w:pPr>
          </w:p>
        </w:tc>
        <w:tc>
          <w:tcPr>
            <w:tcW w:w="3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vMerge w:val="continue"/>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3"/>
            <w:vMerge w:val="continue"/>
            <w:shd w:val="clear" w:color="auto" w:fill="CCEEFF"/>
          </w:tcPr>
          <w:p>
            <w:pPr>
              <w:spacing w:after="0"/>
              <w:rPr>
                <w:sz w:val="16"/>
                <w:szCs w:val="16"/>
                <w:color w:val="auto"/>
              </w:rPr>
            </w:pPr>
          </w:p>
        </w:tc>
        <w:tc>
          <w:tcPr>
            <w:tcW w:w="660" w:type="dxa"/>
            <w:vAlign w:val="bottom"/>
            <w:tcBorders>
              <w:bottom w:val="single" w:sz="8" w:color="CCEEFF"/>
            </w:tcBorders>
            <w:gridSpan w:val="6"/>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Issuance of</w:t>
            </w:r>
          </w:p>
        </w:tc>
        <w:tc>
          <w:tcPr>
            <w:tcW w:w="6820" w:type="dxa"/>
            <w:vAlign w:val="bottom"/>
            <w:gridSpan w:val="5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Class A</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common</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shares upon</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exercise of</w:t>
            </w:r>
          </w:p>
        </w:tc>
        <w:tc>
          <w:tcPr>
            <w:tcW w:w="4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514,931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716</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76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5"/>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60" w:type="dxa"/>
            <w:vAlign w:val="bottom"/>
            <w:tcBorders>
              <w:right w:val="single" w:sz="8" w:color="auto"/>
            </w:tcBorders>
            <w:gridSpan w:val="6"/>
          </w:tcPr>
          <w:p>
            <w:pPr>
              <w:spacing w:after="0"/>
              <w:rPr>
                <w:sz w:val="2"/>
                <w:szCs w:val="2"/>
                <w:color w:val="auto"/>
              </w:rPr>
            </w:pPr>
          </w:p>
        </w:tc>
        <w:tc>
          <w:tcPr>
            <w:tcW w:w="6820" w:type="dxa"/>
            <w:vAlign w:val="bottom"/>
            <w:gridSpan w:val="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660" w:type="dxa"/>
            <w:vAlign w:val="bottom"/>
            <w:tcBorders>
              <w:right w:val="single" w:sz="8" w:color="auto"/>
            </w:tcBorders>
            <w:gridSpan w:val="6"/>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6400" w:type="dxa"/>
            <w:vAlign w:val="bottom"/>
            <w:tcBorders>
              <w:right w:val="single" w:sz="8" w:color="CCEEFF"/>
            </w:tcBorders>
            <w:gridSpan w:val="52"/>
            <w:shd w:val="clear" w:color="auto" w:fill="CCEEFF"/>
          </w:tcPr>
          <w:p>
            <w:pPr>
              <w:spacing w:after="0"/>
              <w:rPr>
                <w:sz w:val="10"/>
                <w:szCs w:val="10"/>
                <w:color w:val="auto"/>
              </w:rPr>
            </w:pPr>
          </w:p>
        </w:tc>
        <w:tc>
          <w:tcPr>
            <w:tcW w:w="4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400" w:type="dxa"/>
            <w:vAlign w:val="bottom"/>
            <w:tcBorders>
              <w:right w:val="single" w:sz="8" w:color="CCEEFF"/>
            </w:tcBorders>
            <w:gridSpan w:val="52"/>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upon vesting</w:t>
            </w:r>
          </w:p>
        </w:tc>
        <w:tc>
          <w:tcPr>
            <w:tcW w:w="6400" w:type="dxa"/>
            <w:vAlign w:val="bottom"/>
            <w:tcBorders>
              <w:right w:val="single" w:sz="8" w:color="CCEEFF"/>
            </w:tcBorders>
            <w:gridSpan w:val="52"/>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of restricted</w:t>
            </w:r>
          </w:p>
        </w:tc>
        <w:tc>
          <w:tcPr>
            <w:tcW w:w="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5"/>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514,585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units</w:t>
            </w:r>
          </w:p>
        </w:tc>
        <w:tc>
          <w:tcPr>
            <w:tcW w:w="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5"/>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5"/>
            <w:vMerge w:val="continue"/>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9,173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9,173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5"/>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Borders>
              <w:right w:val="single" w:sz="8" w:color="auto"/>
            </w:tcBorders>
            <w:gridSpan w:val="7"/>
          </w:tcPr>
          <w:p>
            <w:pPr>
              <w:spacing w:after="0"/>
              <w:rPr>
                <w:sz w:val="2"/>
                <w:szCs w:val="2"/>
                <w:color w:val="auto"/>
              </w:rPr>
            </w:pPr>
          </w:p>
        </w:tc>
        <w:tc>
          <w:tcPr>
            <w:tcW w:w="6820" w:type="dxa"/>
            <w:vAlign w:val="bottom"/>
            <w:gridSpan w:val="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(28,922)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(28,922)</w:t>
            </w: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120" w:type="dxa"/>
            <w:vAlign w:val="bottom"/>
            <w:gridSpan w:val="2"/>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top w:val="single" w:sz="8" w:color="auto"/>
              <w:right w:val="single" w:sz="8" w:color="auto"/>
            </w:tcBorders>
            <w:gridSpan w:val="2"/>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gridSpan w:val="3"/>
          </w:tcPr>
          <w:p>
            <w:pPr>
              <w:spacing w:after="0"/>
              <w:rPr>
                <w:sz w:val="23"/>
                <w:szCs w:val="23"/>
                <w:color w:val="auto"/>
              </w:rPr>
            </w:pPr>
          </w:p>
        </w:tc>
        <w:tc>
          <w:tcPr>
            <w:tcW w:w="520" w:type="dxa"/>
            <w:vAlign w:val="bottom"/>
            <w:tcBorders>
              <w:top w:val="single" w:sz="8" w:color="auto"/>
            </w:tcBorders>
            <w:gridSpan w:val="3"/>
          </w:tcPr>
          <w:p>
            <w:pPr>
              <w:spacing w:after="0"/>
              <w:rPr>
                <w:sz w:val="23"/>
                <w:szCs w:val="23"/>
                <w:color w:val="auto"/>
              </w:rPr>
            </w:pPr>
          </w:p>
        </w:tc>
        <w:tc>
          <w:tcPr>
            <w:tcW w:w="60" w:type="dxa"/>
            <w:vAlign w:val="bottom"/>
            <w:gridSpan w:val="2"/>
          </w:tcPr>
          <w:p>
            <w:pPr>
              <w:spacing w:after="0"/>
              <w:rPr>
                <w:sz w:val="23"/>
                <w:szCs w:val="23"/>
                <w:color w:val="auto"/>
              </w:rPr>
            </w:pPr>
          </w:p>
        </w:tc>
        <w:tc>
          <w:tcPr>
            <w:tcW w:w="700" w:type="dxa"/>
            <w:vAlign w:val="bottom"/>
            <w:tcBorders>
              <w:top w:val="single" w:sz="8" w:color="auto"/>
            </w:tcBorders>
            <w:gridSpan w:val="4"/>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gridSpan w:val="4"/>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Borders>
              <w:top w:val="single" w:sz="8" w:color="auto"/>
            </w:tcBorders>
            <w:gridSpan w:val="4"/>
          </w:tcPr>
          <w:p>
            <w:pPr>
              <w:spacing w:after="0"/>
              <w:rPr>
                <w:sz w:val="23"/>
                <w:szCs w:val="23"/>
                <w:color w:val="auto"/>
              </w:rPr>
            </w:pPr>
          </w:p>
        </w:tc>
        <w:tc>
          <w:tcPr>
            <w:tcW w:w="60" w:type="dxa"/>
            <w:vAlign w:val="bottom"/>
            <w:gridSpan w:val="2"/>
          </w:tcPr>
          <w:p>
            <w:pPr>
              <w:spacing w:after="0"/>
              <w:rPr>
                <w:sz w:val="23"/>
                <w:szCs w:val="23"/>
                <w:color w:val="auto"/>
              </w:rPr>
            </w:pPr>
          </w:p>
        </w:tc>
        <w:tc>
          <w:tcPr>
            <w:tcW w:w="480" w:type="dxa"/>
            <w:vAlign w:val="bottom"/>
            <w:tcBorders>
              <w:top w:val="single" w:sz="8" w:color="auto"/>
            </w:tcBorders>
            <w:gridSpan w:val="3"/>
          </w:tcPr>
          <w:p>
            <w:pPr>
              <w:spacing w:after="0"/>
              <w:rPr>
                <w:sz w:val="23"/>
                <w:szCs w:val="23"/>
                <w:color w:val="auto"/>
              </w:rPr>
            </w:pPr>
          </w:p>
        </w:tc>
        <w:tc>
          <w:tcPr>
            <w:tcW w:w="60" w:type="dxa"/>
            <w:vAlign w:val="bottom"/>
            <w:gridSpan w:val="2"/>
          </w:tcPr>
          <w:p>
            <w:pPr>
              <w:spacing w:after="0"/>
              <w:rPr>
                <w:sz w:val="23"/>
                <w:szCs w:val="23"/>
                <w:color w:val="auto"/>
              </w:rPr>
            </w:pPr>
          </w:p>
        </w:tc>
        <w:tc>
          <w:tcPr>
            <w:tcW w:w="620" w:type="dxa"/>
            <w:vAlign w:val="bottom"/>
            <w:tcBorders>
              <w:top w:val="single" w:sz="8" w:color="auto"/>
            </w:tcBorders>
            <w:gridSpan w:val="4"/>
          </w:tcPr>
          <w:p>
            <w:pPr>
              <w:spacing w:after="0"/>
              <w:rPr>
                <w:sz w:val="23"/>
                <w:szCs w:val="23"/>
                <w:color w:val="auto"/>
              </w:rPr>
            </w:pPr>
          </w:p>
        </w:tc>
        <w:tc>
          <w:tcPr>
            <w:tcW w:w="60" w:type="dxa"/>
            <w:vAlign w:val="bottom"/>
            <w:gridSpan w:val="2"/>
          </w:tcPr>
          <w:p>
            <w:pPr>
              <w:spacing w:after="0"/>
              <w:rPr>
                <w:sz w:val="23"/>
                <w:szCs w:val="23"/>
                <w:color w:val="auto"/>
              </w:rPr>
            </w:pPr>
          </w:p>
        </w:tc>
        <w:tc>
          <w:tcPr>
            <w:tcW w:w="920" w:type="dxa"/>
            <w:vAlign w:val="bottom"/>
            <w:tcBorders>
              <w:top w:val="single" w:sz="8" w:color="auto"/>
            </w:tcBorders>
            <w:gridSpan w:val="4"/>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gridSpan w:val="6"/>
          </w:tcPr>
          <w:p>
            <w:pPr>
              <w:spacing w:after="0"/>
              <w:rPr>
                <w:sz w:val="23"/>
                <w:szCs w:val="23"/>
                <w:color w:val="auto"/>
              </w:rPr>
            </w:pPr>
          </w:p>
        </w:tc>
        <w:tc>
          <w:tcPr>
            <w:tcW w:w="200" w:type="dxa"/>
            <w:vAlign w:val="bottom"/>
            <w:gridSpan w:val="3"/>
          </w:tcPr>
          <w:p>
            <w:pPr>
              <w:spacing w:after="0"/>
              <w:rPr>
                <w:sz w:val="23"/>
                <w:szCs w:val="23"/>
                <w:color w:val="auto"/>
              </w:rPr>
            </w:pPr>
          </w:p>
        </w:tc>
        <w:tc>
          <w:tcPr>
            <w:tcW w:w="500" w:type="dxa"/>
            <w:vAlign w:val="bottom"/>
            <w:tcBorders>
              <w:top w:val="single" w:sz="8" w:color="auto"/>
            </w:tcBorders>
            <w:gridSpan w:val="3"/>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60" w:type="dxa"/>
            <w:vAlign w:val="bottom"/>
            <w:tcBorders>
              <w:right w:val="single" w:sz="8" w:color="auto"/>
            </w:tcBorders>
            <w:gridSpan w:val="6"/>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400" w:type="dxa"/>
            <w:vAlign w:val="bottom"/>
            <w:tcBorders>
              <w:right w:val="single" w:sz="8" w:color="CCEEFF"/>
            </w:tcBorders>
            <w:gridSpan w:val="52"/>
            <w:shd w:val="clear" w:color="auto" w:fill="CCEEFF"/>
          </w:tcPr>
          <w:p>
            <w:pPr>
              <w:spacing w:after="0"/>
              <w:rPr>
                <w:sz w:val="10"/>
                <w:szCs w:val="10"/>
                <w:color w:val="auto"/>
              </w:rPr>
            </w:pPr>
          </w:p>
        </w:tc>
        <w:tc>
          <w:tcPr>
            <w:tcW w:w="4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0" w:type="dxa"/>
            <w:vAlign w:val="bottom"/>
            <w:tcBorders>
              <w:right w:val="single" w:sz="8" w:color="CCEEFF"/>
            </w:tcBorders>
            <w:gridSpan w:val="52"/>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6"/>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157,296,065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16 40,396,600</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457,025</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(471,422)</w:t>
            </w:r>
          </w:p>
        </w:tc>
        <w:tc>
          <w:tcPr>
            <w:tcW w:w="4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tcBorders>
              <w:top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gridSpan w:val="2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060" w:type="dxa"/>
            <w:vAlign w:val="bottom"/>
            <w:tcBorders>
              <w:bottom w:val="single" w:sz="8" w:color="auto"/>
            </w:tcBorders>
            <w:gridSpan w:val="58"/>
          </w:tcPr>
          <w:p>
            <w:pPr>
              <w:spacing w:after="0"/>
              <w:rPr>
                <w:sz w:val="2"/>
                <w:szCs w:val="2"/>
                <w:color w:val="auto"/>
              </w:rPr>
            </w:pPr>
          </w:p>
        </w:tc>
        <w:tc>
          <w:tcPr>
            <w:tcW w:w="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gridSpan w:val="4"/>
          </w:tcPr>
          <w:p>
            <w:pPr>
              <w:jc w:val="center"/>
              <w:ind w:right="30"/>
              <w:spacing w:after="0" w:line="113" w:lineRule="exact"/>
              <w:rPr>
                <w:sz w:val="20"/>
                <w:szCs w:val="20"/>
                <w:color w:val="auto"/>
              </w:rPr>
            </w:pPr>
            <w:r>
              <w:rPr>
                <w:rFonts w:ascii="Times New Roman" w:cs="Times New Roman" w:eastAsia="Times New Roman" w:hAnsi="Times New Roman"/>
                <w:sz w:val="13"/>
                <w:szCs w:val="13"/>
                <w:b w:val="1"/>
                <w:bCs w:val="1"/>
                <w:color w:val="auto"/>
              </w:rPr>
              <w:t>Legacy SoundHound</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14"/>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2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4"/>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60" w:type="dxa"/>
            <w:vAlign w:val="bottom"/>
            <w:gridSpan w:val="9"/>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2640" w:type="dxa"/>
            <w:vAlign w:val="bottom"/>
            <w:gridSpan w:val="2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40" w:type="dxa"/>
            <w:vAlign w:val="bottom"/>
          </w:tcPr>
          <w:p>
            <w:pPr>
              <w:spacing w:after="0"/>
              <w:rPr>
                <w:sz w:val="12"/>
                <w:szCs w:val="12"/>
                <w:color w:val="auto"/>
              </w:rPr>
            </w:pPr>
          </w:p>
        </w:tc>
        <w:tc>
          <w:tcPr>
            <w:tcW w:w="1100" w:type="dxa"/>
            <w:vAlign w:val="bottom"/>
            <w:gridSpan w:val="6"/>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5"/>
            <w:vMerge w:val="restart"/>
          </w:tcPr>
          <w:p>
            <w:pPr>
              <w:jc w:val="right"/>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40" w:type="dxa"/>
            <w:vAlign w:val="bottom"/>
          </w:tcPr>
          <w:p>
            <w:pPr>
              <w:spacing w:after="0"/>
              <w:rPr>
                <w:sz w:val="5"/>
                <w:szCs w:val="5"/>
                <w:color w:val="auto"/>
              </w:rPr>
            </w:pPr>
          </w:p>
        </w:tc>
        <w:tc>
          <w:tcPr>
            <w:tcW w:w="2280" w:type="dxa"/>
            <w:vAlign w:val="bottom"/>
            <w:gridSpan w:val="16"/>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520" w:type="dxa"/>
            <w:vAlign w:val="bottom"/>
            <w:gridSpan w:val="19"/>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2280" w:type="dxa"/>
            <w:vAlign w:val="bottom"/>
            <w:gridSpan w:val="1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19"/>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6"/>
                <w:szCs w:val="16"/>
                <w:color w:val="auto"/>
              </w:rPr>
            </w:pPr>
          </w:p>
        </w:tc>
        <w:tc>
          <w:tcPr>
            <w:tcW w:w="11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6"/>
          </w:tcPr>
          <w:p>
            <w:pPr>
              <w:spacing w:after="0"/>
              <w:rPr>
                <w:sz w:val="2"/>
                <w:szCs w:val="2"/>
                <w:color w:val="auto"/>
              </w:rPr>
            </w:pPr>
          </w:p>
        </w:tc>
        <w:tc>
          <w:tcPr>
            <w:tcW w:w="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8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5"/>
              </w:rPr>
              <w:t>67,633,891</w:t>
            </w:r>
          </w:p>
        </w:tc>
        <w:tc>
          <w:tcPr>
            <w:tcW w:w="4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gridSpan w:val="4"/>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36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5"/>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7"/>
              </w:rPr>
              <w:t>— $</w:t>
            </w:r>
          </w:p>
        </w:tc>
        <w:tc>
          <w:tcPr>
            <w:tcW w:w="58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39,084</w:t>
            </w:r>
          </w:p>
        </w:tc>
        <w:tc>
          <w:tcPr>
            <w:tcW w:w="4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160" w:type="dxa"/>
            <w:vAlign w:val="bottom"/>
            <w:gridSpan w:val="8"/>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(341,101)</w:t>
            </w:r>
          </w:p>
        </w:tc>
        <w:tc>
          <w:tcPr>
            <w:tcW w:w="780" w:type="dxa"/>
            <w:vAlign w:val="bottom"/>
            <w:tcBorders>
              <w:right w:val="single" w:sz="8" w:color="CCEEFF"/>
            </w:tcBorders>
            <w:gridSpan w:val="8"/>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(302,016)</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CCEEFF"/>
            </w:tcBorders>
            <w:gridSpan w:val="3"/>
            <w:vMerge w:val="continue"/>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4"/>
            <w:vMerge w:val="continue"/>
            <w:shd w:val="clear" w:color="auto" w:fill="CCEEFF"/>
          </w:tcPr>
          <w:p>
            <w:pPr>
              <w:spacing w:after="0"/>
              <w:rPr>
                <w:sz w:val="16"/>
                <w:szCs w:val="16"/>
                <w:color w:val="auto"/>
              </w:rPr>
            </w:pPr>
          </w:p>
        </w:tc>
        <w:tc>
          <w:tcPr>
            <w:tcW w:w="480" w:type="dxa"/>
            <w:vAlign w:val="bottom"/>
            <w:tcBorders>
              <w:bottom w:val="single" w:sz="8" w:color="CCEEFF"/>
            </w:tcBorders>
            <w:gridSpan w:val="5"/>
            <w:vMerge w:val="continue"/>
            <w:shd w:val="clear" w:color="auto" w:fill="CCEEFF"/>
          </w:tcPr>
          <w:p>
            <w:pPr>
              <w:spacing w:after="0"/>
              <w:rPr>
                <w:sz w:val="16"/>
                <w:szCs w:val="16"/>
                <w:color w:val="auto"/>
              </w:rPr>
            </w:pPr>
          </w:p>
        </w:tc>
        <w:tc>
          <w:tcPr>
            <w:tcW w:w="580" w:type="dxa"/>
            <w:vAlign w:val="bottom"/>
            <w:tcBorders>
              <w:bottom w:val="single" w:sz="8" w:color="CCEEFF"/>
            </w:tcBorders>
            <w:gridSpan w:val="5"/>
            <w:vMerge w:val="continue"/>
            <w:shd w:val="clear" w:color="auto" w:fill="CCEEFF"/>
          </w:tcPr>
          <w:p>
            <w:pPr>
              <w:spacing w:after="0"/>
              <w:rPr>
                <w:sz w:val="16"/>
                <w:szCs w:val="16"/>
                <w:color w:val="auto"/>
              </w:rPr>
            </w:pPr>
          </w:p>
        </w:tc>
        <w:tc>
          <w:tcPr>
            <w:tcW w:w="4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8"/>
            <w:vMerge w:val="continue"/>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8"/>
            <w:vMerge w:val="continue"/>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Issuance of</w:t>
            </w:r>
          </w:p>
        </w:tc>
        <w:tc>
          <w:tcPr>
            <w:tcW w:w="6820" w:type="dxa"/>
            <w:vAlign w:val="bottom"/>
            <w:gridSpan w:val="5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upon exercise</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of stock</w:t>
            </w:r>
          </w:p>
        </w:tc>
        <w:tc>
          <w:tcPr>
            <w:tcW w:w="4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212,297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7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780" w:type="dxa"/>
            <w:vAlign w:val="bottom"/>
            <w:gridSpan w:val="8"/>
            <w:vMerge w:val="continue"/>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Borders>
              <w:right w:val="single" w:sz="8" w:color="auto"/>
            </w:tcBorders>
            <w:gridSpan w:val="7"/>
          </w:tcPr>
          <w:p>
            <w:pPr>
              <w:spacing w:after="0"/>
              <w:rPr>
                <w:sz w:val="2"/>
                <w:szCs w:val="2"/>
                <w:color w:val="auto"/>
              </w:rPr>
            </w:pPr>
          </w:p>
        </w:tc>
        <w:tc>
          <w:tcPr>
            <w:tcW w:w="6820" w:type="dxa"/>
            <w:vAlign w:val="bottom"/>
            <w:gridSpan w:val="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2660" w:type="dxa"/>
            <w:vAlign w:val="bottom"/>
            <w:tcBorders>
              <w:right w:val="single" w:sz="8" w:color="auto"/>
            </w:tcBorders>
            <w:gridSpan w:val="6"/>
            <w:shd w:val="clear" w:color="auto" w:fill="CCEEFF"/>
          </w:tcPr>
          <w:p>
            <w:pPr>
              <w:spacing w:after="0"/>
              <w:rPr>
                <w:sz w:val="23"/>
                <w:szCs w:val="23"/>
                <w:color w:val="auto"/>
              </w:rPr>
            </w:pPr>
          </w:p>
        </w:tc>
        <w:tc>
          <w:tcPr>
            <w:tcW w:w="6400" w:type="dxa"/>
            <w:vAlign w:val="bottom"/>
            <w:tcBorders>
              <w:right w:val="single" w:sz="8" w:color="CCEEFF"/>
            </w:tcBorders>
            <w:gridSpan w:val="52"/>
            <w:shd w:val="clear" w:color="auto" w:fill="CCEEFF"/>
          </w:tcPr>
          <w:p>
            <w:pPr>
              <w:spacing w:after="0"/>
              <w:rPr>
                <w:sz w:val="23"/>
                <w:szCs w:val="23"/>
                <w:color w:val="auto"/>
              </w:rPr>
            </w:pPr>
          </w:p>
        </w:tc>
        <w:tc>
          <w:tcPr>
            <w:tcW w:w="4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0"/>
                <w:szCs w:val="10"/>
                <w:color w:val="auto"/>
              </w:rPr>
            </w:pPr>
          </w:p>
        </w:tc>
        <w:tc>
          <w:tcPr>
            <w:tcW w:w="7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1,315</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780" w:type="dxa"/>
            <w:vAlign w:val="bottom"/>
            <w:gridSpan w:val="8"/>
            <w:vMerge w:val="continue"/>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6"/>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23"/>
                <w:szCs w:val="23"/>
                <w:color w:val="auto"/>
              </w:rPr>
            </w:pPr>
          </w:p>
        </w:tc>
        <w:tc>
          <w:tcPr>
            <w:tcW w:w="7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3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(23,781)</w:t>
            </w:r>
          </w:p>
        </w:tc>
        <w:tc>
          <w:tcPr>
            <w:tcW w:w="78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(23,781)</w:t>
            </w: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120" w:type="dxa"/>
            <w:vAlign w:val="bottom"/>
            <w:gridSpan w:val="2"/>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top w:val="single" w:sz="8" w:color="auto"/>
              <w:right w:val="single" w:sz="8" w:color="auto"/>
            </w:tcBorders>
            <w:gridSpan w:val="2"/>
          </w:tcPr>
          <w:p>
            <w:pPr>
              <w:spacing w:after="0"/>
              <w:rPr>
                <w:sz w:val="23"/>
                <w:szCs w:val="23"/>
                <w:color w:val="auto"/>
              </w:rPr>
            </w:pPr>
          </w:p>
        </w:tc>
        <w:tc>
          <w:tcPr>
            <w:tcW w:w="620" w:type="dxa"/>
            <w:vAlign w:val="bottom"/>
            <w:tcBorders>
              <w:top w:val="single" w:sz="8" w:color="auto"/>
            </w:tcBorders>
            <w:gridSpan w:val="2"/>
          </w:tcPr>
          <w:p>
            <w:pPr>
              <w:spacing w:after="0"/>
              <w:rPr>
                <w:sz w:val="23"/>
                <w:szCs w:val="23"/>
                <w:color w:val="auto"/>
              </w:rPr>
            </w:pPr>
          </w:p>
        </w:tc>
        <w:tc>
          <w:tcPr>
            <w:tcW w:w="80" w:type="dxa"/>
            <w:vAlign w:val="bottom"/>
            <w:gridSpan w:val="3"/>
          </w:tcPr>
          <w:p>
            <w:pPr>
              <w:spacing w:after="0"/>
              <w:rPr>
                <w:sz w:val="23"/>
                <w:szCs w:val="23"/>
                <w:color w:val="auto"/>
              </w:rPr>
            </w:pPr>
          </w:p>
        </w:tc>
        <w:tc>
          <w:tcPr>
            <w:tcW w:w="520" w:type="dxa"/>
            <w:vAlign w:val="bottom"/>
            <w:tcBorders>
              <w:top w:val="single" w:sz="8" w:color="auto"/>
            </w:tcBorders>
            <w:gridSpan w:val="3"/>
          </w:tcPr>
          <w:p>
            <w:pPr>
              <w:spacing w:after="0"/>
              <w:rPr>
                <w:sz w:val="23"/>
                <w:szCs w:val="23"/>
                <w:color w:val="auto"/>
              </w:rPr>
            </w:pPr>
          </w:p>
        </w:tc>
        <w:tc>
          <w:tcPr>
            <w:tcW w:w="60" w:type="dxa"/>
            <w:vAlign w:val="bottom"/>
            <w:gridSpan w:val="2"/>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gridSpan w:val="3"/>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Borders>
              <w:top w:val="single" w:sz="8" w:color="auto"/>
            </w:tcBorders>
            <w:gridSpan w:val="4"/>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gridSpan w:val="3"/>
          </w:tcPr>
          <w:p>
            <w:pPr>
              <w:spacing w:after="0"/>
              <w:rPr>
                <w:sz w:val="23"/>
                <w:szCs w:val="23"/>
                <w:color w:val="auto"/>
              </w:rPr>
            </w:pPr>
          </w:p>
        </w:tc>
        <w:tc>
          <w:tcPr>
            <w:tcW w:w="60" w:type="dxa"/>
            <w:vAlign w:val="bottom"/>
            <w:gridSpan w:val="2"/>
          </w:tcPr>
          <w:p>
            <w:pPr>
              <w:spacing w:after="0"/>
              <w:rPr>
                <w:sz w:val="23"/>
                <w:szCs w:val="23"/>
                <w:color w:val="auto"/>
              </w:rPr>
            </w:pPr>
          </w:p>
        </w:tc>
        <w:tc>
          <w:tcPr>
            <w:tcW w:w="620" w:type="dxa"/>
            <w:vAlign w:val="bottom"/>
            <w:tcBorders>
              <w:top w:val="single" w:sz="8" w:color="auto"/>
            </w:tcBorders>
            <w:gridSpan w:val="5"/>
          </w:tcPr>
          <w:p>
            <w:pPr>
              <w:spacing w:after="0"/>
              <w:rPr>
                <w:sz w:val="23"/>
                <w:szCs w:val="23"/>
                <w:color w:val="auto"/>
              </w:rPr>
            </w:pPr>
          </w:p>
        </w:tc>
        <w:tc>
          <w:tcPr>
            <w:tcW w:w="60" w:type="dxa"/>
            <w:vAlign w:val="bottom"/>
            <w:gridSpan w:val="2"/>
          </w:tcPr>
          <w:p>
            <w:pPr>
              <w:spacing w:after="0"/>
              <w:rPr>
                <w:sz w:val="23"/>
                <w:szCs w:val="23"/>
                <w:color w:val="auto"/>
              </w:rPr>
            </w:pPr>
          </w:p>
        </w:tc>
        <w:tc>
          <w:tcPr>
            <w:tcW w:w="920" w:type="dxa"/>
            <w:vAlign w:val="bottom"/>
            <w:tcBorders>
              <w:top w:val="single" w:sz="8" w:color="auto"/>
            </w:tcBorders>
            <w:gridSpan w:val="4"/>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Borders>
              <w:top w:val="single" w:sz="8" w:color="auto"/>
            </w:tcBorders>
            <w:gridSpan w:val="5"/>
          </w:tcPr>
          <w:p>
            <w:pPr>
              <w:spacing w:after="0"/>
              <w:rPr>
                <w:sz w:val="23"/>
                <w:szCs w:val="23"/>
                <w:color w:val="auto"/>
              </w:rPr>
            </w:pPr>
          </w:p>
        </w:tc>
        <w:tc>
          <w:tcPr>
            <w:tcW w:w="180" w:type="dxa"/>
            <w:vAlign w:val="bottom"/>
            <w:gridSpan w:val="3"/>
          </w:tcPr>
          <w:p>
            <w:pPr>
              <w:spacing w:after="0"/>
              <w:rPr>
                <w:sz w:val="23"/>
                <w:szCs w:val="23"/>
                <w:color w:val="auto"/>
              </w:rPr>
            </w:pPr>
          </w:p>
        </w:tc>
        <w:tc>
          <w:tcPr>
            <w:tcW w:w="640" w:type="dxa"/>
            <w:vAlign w:val="bottom"/>
            <w:tcBorders>
              <w:top w:val="single" w:sz="8" w:color="auto"/>
            </w:tcBorders>
            <w:gridSpan w:val="6"/>
          </w:tcPr>
          <w:p>
            <w:pPr>
              <w:spacing w:after="0"/>
              <w:rPr>
                <w:sz w:val="23"/>
                <w:szCs w:val="23"/>
                <w:color w:val="auto"/>
              </w:rPr>
            </w:pPr>
          </w:p>
        </w:tc>
        <w:tc>
          <w:tcPr>
            <w:tcW w:w="4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60" w:type="dxa"/>
            <w:vAlign w:val="bottom"/>
            <w:tcBorders>
              <w:right w:val="single" w:sz="8" w:color="auto"/>
            </w:tcBorders>
            <w:gridSpan w:val="6"/>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400" w:type="dxa"/>
            <w:vAlign w:val="bottom"/>
            <w:tcBorders>
              <w:right w:val="single" w:sz="8" w:color="CCEEFF"/>
            </w:tcBorders>
            <w:gridSpan w:val="52"/>
            <w:shd w:val="clear" w:color="auto" w:fill="CCEEFF"/>
          </w:tcPr>
          <w:p>
            <w:pPr>
              <w:spacing w:after="0"/>
              <w:rPr>
                <w:sz w:val="10"/>
                <w:szCs w:val="10"/>
                <w:color w:val="auto"/>
              </w:rPr>
            </w:pPr>
          </w:p>
        </w:tc>
        <w:tc>
          <w:tcPr>
            <w:tcW w:w="4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0" w:type="dxa"/>
            <w:vAlign w:val="bottom"/>
            <w:tcBorders>
              <w:right w:val="single" w:sz="8" w:color="CCEEFF"/>
            </w:tcBorders>
            <w:gridSpan w:val="52"/>
            <w:shd w:val="clear" w:color="auto" w:fill="CCEEFF"/>
          </w:tcPr>
          <w:p>
            <w:pPr>
              <w:spacing w:after="0"/>
              <w:rPr>
                <w:sz w:val="12"/>
                <w:szCs w:val="12"/>
                <w:color w:val="auto"/>
              </w:rPr>
            </w:pPr>
          </w:p>
        </w:tc>
        <w:tc>
          <w:tcPr>
            <w:tcW w:w="4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5"/>
              </w:rPr>
              <w:t>67,846,188</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3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7"/>
              </w:rPr>
              <w:t>— $</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40,633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(364,882)</w:t>
            </w:r>
          </w:p>
        </w:tc>
        <w:tc>
          <w:tcPr>
            <w:tcW w:w="78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(324,248)</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tcBorders>
              <w:top w:val="single" w:sz="8" w:color="CCEEFF"/>
            </w:tcBorders>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10060"/>
          </w:cols>
          <w:pgMar w:left="1440" w:top="329" w:right="399" w:bottom="1440" w:gutter="0" w:footer="0" w:header="0"/>
        </w:sectPr>
      </w:pPr>
    </w:p>
    <w:bookmarkStart w:id="100" w:name="page101"/>
    <w:bookmarkEnd w:id="100"/>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REDEEMABLE CONVERTIBLE PREFERRED</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STOCK AND STOCKHOLDERS’ EQUITY (DEFICIT) — (Continued)</w:t>
      </w:r>
    </w:p>
    <w:p>
      <w:pPr>
        <w:spacing w:after="0" w:line="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6"/>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320" w:type="dxa"/>
            <w:vAlign w:val="bottom"/>
            <w:tcBorders>
              <w:top w:val="single" w:sz="8" w:color="auto"/>
            </w:tcBorders>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100" w:type="dxa"/>
            <w:vAlign w:val="bottom"/>
            <w:tcBorders>
              <w:top w:val="single" w:sz="8" w:color="auto"/>
            </w:tcBorders>
            <w:gridSpan w:val="3"/>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gridSpan w:val="6"/>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320" w:type="dxa"/>
            <w:vAlign w:val="bottom"/>
            <w:gridSpan w:val="7"/>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gridSpan w:val="6"/>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320" w:type="dxa"/>
            <w:vAlign w:val="bottom"/>
            <w:gridSpan w:val="7"/>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10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tcPr>
          <w:p>
            <w:pPr>
              <w:jc w:val="right"/>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3"/>
            <w:vMerge w:val="restart"/>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7"/>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78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0" w:type="dxa"/>
            <w:vAlign w:val="bottom"/>
            <w:gridSpan w:val="5"/>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279,503</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12,280,051</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43,491</w:t>
            </w: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40" w:type="dxa"/>
            <w:vAlign w:val="bottom"/>
            <w:shd w:val="clear" w:color="auto" w:fill="CCEEFF"/>
          </w:tcPr>
          <w:p>
            <w:pPr>
              <w:spacing w:after="0"/>
              <w:rPr>
                <w:sz w:val="12"/>
                <w:szCs w:val="1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(343,2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4"/>
            <w:vMerge w:val="continue"/>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Retroactive</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application of</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Business</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Combination</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55,978,505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279,504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6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68,258,556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322,995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2,582,535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2,840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Net exercise of</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outstanding</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Conversion of</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20,239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w:t>
            </w: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Effect of reverse</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recapitalization,</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net of costs</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(106,949,326)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(73,561,334)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7"/>
              </w:rPr>
              <w:t>140,114,060</w:t>
            </w: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14</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40,396,600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11,300,000</w:t>
            </w:r>
          </w:p>
        </w:tc>
        <w:tc>
          <w:tcPr>
            <w:tcW w:w="34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86,584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A</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shares</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pursuant to the</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Business</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4,105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Combination</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A</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shares</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557,030</w:t>
            </w:r>
          </w:p>
        </w:tc>
        <w:tc>
          <w:tcPr>
            <w:tcW w:w="340" w:type="dxa"/>
            <w:vAlign w:val="bottom"/>
          </w:tcPr>
          <w:p>
            <w:pPr>
              <w:spacing w:after="0"/>
              <w:rPr>
                <w:sz w:val="12"/>
                <w:szCs w:val="12"/>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780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vesting of</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restricted stock</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631,925</w:t>
            </w: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19,500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(84,693)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157,296,065</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16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40,396,600</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457,025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(471,422)</w:t>
            </w:r>
          </w:p>
        </w:tc>
        <w:tc>
          <w:tcPr>
            <w:tcW w:w="4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10220"/>
          </w:cols>
          <w:pgMar w:left="1440" w:top="329" w:right="239" w:bottom="1440" w:gutter="0" w:footer="0" w:header="0"/>
        </w:sectPr>
      </w:pPr>
    </w:p>
    <w:bookmarkStart w:id="101" w:name="page102"/>
    <w:bookmarkEnd w:id="101"/>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REDEEMABLE CONVERTIBLE PREFERRED</w:t>
      </w:r>
    </w:p>
    <w:p>
      <w:pPr>
        <w:spacing w:after="0" w:line="2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STOCK AND STOCKHOLDERS’ EQUITY (DEFICIT) — (Continued)</w:t>
      </w:r>
    </w:p>
    <w:p>
      <w:pPr>
        <w:spacing w:after="0" w:line="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5"/>
          </w:tcPr>
          <w:p>
            <w:pPr>
              <w:jc w:val="right"/>
              <w:ind w:right="130"/>
              <w:spacing w:after="0" w:line="133"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1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5"/>
          </w:tcPr>
          <w:p>
            <w:pPr>
              <w:jc w:val="right"/>
              <w:ind w:right="270"/>
              <w:spacing w:after="0" w:line="145"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60" w:type="dxa"/>
            <w:vAlign w:val="bottom"/>
            <w:gridSpan w:val="4"/>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gridSpan w:val="1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840" w:type="dxa"/>
            <w:vAlign w:val="bottom"/>
            <w:gridSpan w:val="9"/>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262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80" w:type="dxa"/>
            <w:vAlign w:val="bottom"/>
            <w:gridSpan w:val="2"/>
            <w:vMerge w:val="continue"/>
          </w:tcPr>
          <w:p>
            <w:pPr>
              <w:spacing w:after="0"/>
              <w:rPr>
                <w:sz w:val="5"/>
                <w:szCs w:val="5"/>
                <w:color w:val="auto"/>
              </w:rPr>
            </w:pPr>
          </w:p>
        </w:tc>
        <w:tc>
          <w:tcPr>
            <w:tcW w:w="1840" w:type="dxa"/>
            <w:vAlign w:val="bottom"/>
            <w:gridSpan w:val="9"/>
            <w:vMerge w:val="continue"/>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620" w:type="dxa"/>
            <w:vAlign w:val="bottom"/>
            <w:gridSpan w:val="14"/>
            <w:vMerge w:val="continue"/>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8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19,132,387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11,818,761</w:t>
            </w:r>
          </w:p>
        </w:tc>
        <w:tc>
          <w:tcPr>
            <w:tcW w:w="4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30,836</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 (276,353)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Retroactive</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application of</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Business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Combination</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87,171,583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53,849,015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106,303,970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65,667,776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30,836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of stock</w:t>
            </w:r>
          </w:p>
        </w:tc>
        <w:tc>
          <w:tcPr>
            <w:tcW w:w="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2,178,412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1,906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3,842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net of tax</w:t>
            </w: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4,049</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(57,693)</w:t>
            </w:r>
          </w:p>
        </w:tc>
        <w:tc>
          <w:tcPr>
            <w:tcW w:w="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(57,693)</w:t>
            </w: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0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106,303,970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67,846,188</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40,633</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4"/>
              </w:rPr>
              <w:t>$ (324,248)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640"/>
          </w:cols>
          <w:pgMar w:left="1440" w:top="329" w:right="819" w:bottom="1440" w:gutter="0" w:footer="0" w:header="0"/>
        </w:sectPr>
      </w:pPr>
    </w:p>
    <w:bookmarkStart w:id="102" w:name="page103"/>
    <w:bookmarkEnd w:id="102"/>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18415</wp:posOffset>
            </wp:positionV>
            <wp:extent cx="1534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90"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r>
      <w:tr>
        <w:trPr>
          <w:trHeight w:val="24"/>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(84,693)</w:t>
            </w:r>
          </w:p>
        </w:tc>
        <w:tc>
          <w:tcPr>
            <w:tcW w:w="100" w:type="dxa"/>
            <w:vAlign w:val="bottom"/>
          </w:tcPr>
          <w:p>
            <w:pPr>
              <w:spacing w:after="0"/>
              <w:rPr>
                <w:sz w:val="20"/>
                <w:szCs w:val="20"/>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(57,693)</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2"/>
        </w:trPr>
        <w:tc>
          <w:tcPr>
            <w:tcW w:w="5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4,169</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4,049</w:t>
            </w:r>
          </w:p>
        </w:tc>
      </w:tr>
      <w:tr>
        <w:trPr>
          <w:trHeight w:val="232"/>
        </w:trPr>
        <w:tc>
          <w:tcPr>
            <w:tcW w:w="5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derivative and warrant liability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3,791</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2,953</w:t>
            </w:r>
          </w:p>
        </w:tc>
      </w:tr>
      <w:tr>
        <w:trPr>
          <w:trHeight w:val="232"/>
        </w:trPr>
        <w:tc>
          <w:tcPr>
            <w:tcW w:w="5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2,412</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1,035</w:t>
            </w:r>
          </w:p>
        </w:tc>
      </w:tr>
      <w:tr>
        <w:trPr>
          <w:trHeight w:val="232"/>
        </w:trPr>
        <w:tc>
          <w:tcPr>
            <w:tcW w:w="5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receivable, net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(2,061)</w:t>
            </w:r>
          </w:p>
        </w:tc>
      </w:tr>
      <w:tr>
        <w:trPr>
          <w:trHeight w:val="232"/>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(552)</w:t>
            </w:r>
          </w:p>
        </w:tc>
      </w:tr>
      <w:tr>
        <w:trPr>
          <w:trHeight w:val="232"/>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Contract assets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r>
      <w:tr>
        <w:trPr>
          <w:trHeight w:val="232"/>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1,724</w:t>
            </w:r>
          </w:p>
        </w:tc>
      </w:tr>
      <w:tr>
        <w:trPr>
          <w:trHeight w:val="232"/>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(2,710)</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(7,138)</w:t>
            </w:r>
          </w:p>
        </w:tc>
      </w:tr>
      <w:tr>
        <w:trPr>
          <w:trHeight w:val="245"/>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(747)</w:t>
            </w: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6"/>
        </w:trPr>
        <w:tc>
          <w:tcPr>
            <w:tcW w:w="5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(73,605)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(51,097)</w:t>
            </w:r>
          </w:p>
        </w:tc>
      </w:tr>
      <w:tr>
        <w:trPr>
          <w:trHeight w:val="269"/>
        </w:trPr>
        <w:tc>
          <w:tcPr>
            <w:tcW w:w="5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5"/>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6"/>
        </w:trPr>
        <w:tc>
          <w:tcPr>
            <w:tcW w:w="5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r>
      <w:tr>
        <w:trPr>
          <w:trHeight w:val="269"/>
        </w:trPr>
        <w:tc>
          <w:tcPr>
            <w:tcW w:w="5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5,044</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note payable, net of issuance cost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29,833</w:t>
            </w: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common stock upon exercise of options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1,906</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Business Combination and PIPE, net of transaction costs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(1,885)</w:t>
            </w:r>
          </w:p>
        </w:tc>
      </w:tr>
      <w:tr>
        <w:trPr>
          <w:trHeight w:val="225"/>
        </w:trPr>
        <w:tc>
          <w:tcPr>
            <w:tcW w:w="5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40" w:type="dxa"/>
            <w:vAlign w:val="bottom"/>
          </w:tcPr>
          <w:p>
            <w:pPr>
              <w:spacing w:after="0"/>
              <w:rPr>
                <w:sz w:val="19"/>
                <w:szCs w:val="19"/>
                <w:color w:val="auto"/>
              </w:rPr>
            </w:pP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5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(16,433)</w:t>
            </w:r>
          </w:p>
        </w:tc>
      </w:tr>
      <w:tr>
        <w:trPr>
          <w:trHeight w:val="24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beginning of period</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44,982</w:t>
            </w: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end of period</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28,549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62"/>
        </w:trPr>
        <w:tc>
          <w:tcPr>
            <w:tcW w:w="5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27,259</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restricted cash equivalents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230</w:t>
            </w:r>
          </w:p>
        </w:tc>
      </w:tr>
      <w:tr>
        <w:trPr>
          <w:trHeight w:val="245"/>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1,060</w:t>
            </w: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63"/>
        </w:trPr>
        <w:tc>
          <w:tcPr>
            <w:tcW w:w="5400" w:type="dxa"/>
            <w:vAlign w:val="bottom"/>
            <w:shd w:val="clear" w:color="auto" w:fill="CCEEFF"/>
          </w:tcPr>
          <w:p>
            <w:pPr>
              <w:ind w:left="700"/>
              <w:spacing w:after="0" w:line="163" w:lineRule="exact"/>
              <w:rPr>
                <w:sz w:val="20"/>
                <w:szCs w:val="20"/>
                <w:color w:val="auto"/>
              </w:rPr>
            </w:pPr>
            <w:r>
              <w:rPr>
                <w:rFonts w:ascii="Times New Roman" w:cs="Times New Roman" w:eastAsia="Times New Roman" w:hAnsi="Times New Roman"/>
                <w:sz w:val="16"/>
                <w:szCs w:val="16"/>
                <w:color w:val="auto"/>
                <w:w w:val="99"/>
              </w:rPr>
              <w:t>Total cash, cash equivalents, and restricted cash equivalents shown in the</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30"/>
        </w:trPr>
        <w:tc>
          <w:tcPr>
            <w:tcW w:w="5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28,549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62"/>
        </w:trPr>
        <w:tc>
          <w:tcPr>
            <w:tcW w:w="5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96"/>
        </w:trPr>
        <w:tc>
          <w:tcPr>
            <w:tcW w:w="54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Cash paid for interest</w:t>
            </w: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40" w:type="dxa"/>
            <w:vAlign w:val="bottom"/>
            <w:tcBorders>
              <w:bottom w:val="single" w:sz="8" w:color="CCEEFF"/>
            </w:tcBorders>
          </w:tcPr>
          <w:p>
            <w:pPr>
              <w:spacing w:after="0"/>
              <w:rPr>
                <w:sz w:val="24"/>
                <w:szCs w:val="24"/>
                <w:color w:val="auto"/>
              </w:rPr>
            </w:pPr>
          </w:p>
        </w:tc>
      </w:tr>
      <w:tr>
        <w:trPr>
          <w:trHeight w:val="216"/>
        </w:trPr>
        <w:tc>
          <w:tcPr>
            <w:tcW w:w="5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62"/>
        </w:trPr>
        <w:tc>
          <w:tcPr>
            <w:tcW w:w="5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83"/>
        </w:trPr>
        <w:tc>
          <w:tcPr>
            <w:tcW w:w="5400" w:type="dxa"/>
            <w:vAlign w:val="bottom"/>
          </w:tcPr>
          <w:p>
            <w:pPr>
              <w:ind w:left="700"/>
              <w:spacing w:after="0" w:line="183" w:lineRule="exact"/>
              <w:rPr>
                <w:sz w:val="20"/>
                <w:szCs w:val="20"/>
                <w:color w:val="auto"/>
              </w:rPr>
            </w:pPr>
            <w:r>
              <w:rPr>
                <w:rFonts w:ascii="Times New Roman" w:cs="Times New Roman" w:eastAsia="Times New Roman" w:hAnsi="Times New Roman"/>
                <w:sz w:val="16"/>
                <w:szCs w:val="16"/>
                <w:color w:val="auto"/>
              </w:rPr>
              <w:t>Operating lease liabilities and right-of-use assets through adoption of</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70"/>
        </w:trPr>
        <w:tc>
          <w:tcPr>
            <w:tcW w:w="5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ASC 842</w:t>
            </w:r>
          </w:p>
        </w:tc>
        <w:tc>
          <w:tcPr>
            <w:tcW w:w="3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11,428</w:t>
            </w:r>
          </w:p>
        </w:tc>
      </w:tr>
      <w:tr>
        <w:trPr>
          <w:trHeight w:val="143"/>
        </w:trPr>
        <w:tc>
          <w:tcPr>
            <w:tcW w:w="5400" w:type="dxa"/>
            <w:vAlign w:val="bottom"/>
            <w:tcBorders>
              <w:top w:val="single" w:sz="8" w:color="CCEEFF"/>
            </w:tcBorders>
            <w:shd w:val="clear" w:color="auto" w:fill="CCEEFF"/>
          </w:tcPr>
          <w:p>
            <w:pPr>
              <w:ind w:left="700"/>
              <w:spacing w:after="0" w:line="143" w:lineRule="exact"/>
              <w:rPr>
                <w:sz w:val="20"/>
                <w:szCs w:val="20"/>
                <w:color w:val="auto"/>
              </w:rPr>
            </w:pPr>
            <w:r>
              <w:rPr>
                <w:rFonts w:ascii="Times New Roman" w:cs="Times New Roman" w:eastAsia="Times New Roman" w:hAnsi="Times New Roman"/>
                <w:sz w:val="16"/>
                <w:szCs w:val="16"/>
                <w:color w:val="auto"/>
              </w:rPr>
              <w:t>Conversion of convertible note into common stock pursuant to Business</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230"/>
        </w:trPr>
        <w:tc>
          <w:tcPr>
            <w:tcW w:w="5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Combination</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ectPr>
          <w:pgSz w:w="11900" w:h="16856" w:orient="portrait"/>
          <w:cols w:equalWidth="0" w:num="1">
            <w:col w:w="9019"/>
          </w:cols>
          <w:pgMar w:left="1440" w:top="329" w:right="1440" w:bottom="0" w:gutter="0" w:footer="0" w:header="0"/>
        </w:sectPr>
      </w:pPr>
    </w:p>
    <w:bookmarkStart w:id="103" w:name="page104"/>
    <w:bookmarkEnd w:id="10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Conversion of redeemable convertible preferred stock to common stock</w:t>
            </w:r>
          </w:p>
        </w:tc>
        <w:tc>
          <w:tcPr>
            <w:tcW w:w="4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220" w:type="dxa"/>
            <w:vAlign w:val="bottom"/>
          </w:tcPr>
          <w:p>
            <w:pPr>
              <w:spacing w:after="0"/>
              <w:rPr>
                <w:sz w:val="17"/>
                <w:szCs w:val="17"/>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3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pursuant to Business Combination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3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70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340" w:type="dxa"/>
            <w:vAlign w:val="bottom"/>
            <w:tcBorders>
              <w:top w:val="single" w:sz="8" w:color="CCEEFF"/>
              <w:bottom w:val="single" w:sz="8" w:color="CCEEFF"/>
            </w:tcBorders>
            <w:shd w:val="clear" w:color="auto" w:fill="CCEEFF"/>
          </w:tcPr>
          <w:p>
            <w:pPr>
              <w:ind w:left="700"/>
              <w:spacing w:after="0" w:line="133" w:lineRule="exact"/>
              <w:rPr>
                <w:sz w:val="20"/>
                <w:szCs w:val="20"/>
                <w:color w:val="auto"/>
              </w:rPr>
            </w:pPr>
            <w:r>
              <w:rPr>
                <w:rFonts w:ascii="Times New Roman" w:cs="Times New Roman" w:eastAsia="Times New Roman" w:hAnsi="Times New Roman"/>
                <w:sz w:val="15"/>
                <w:szCs w:val="15"/>
                <w:color w:val="auto"/>
              </w:rPr>
              <w:t>Debt discount through issuance of common stock warrants</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1"/>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41"/>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3,842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4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Property and equipment acquired under finance leases or debt</w:t>
            </w:r>
          </w:p>
        </w:tc>
        <w:tc>
          <w:tcPr>
            <w:tcW w:w="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0" w:lineRule="exact"/>
        <w:rPr>
          <w:sz w:val="20"/>
          <w:szCs w:val="20"/>
          <w:color w:val="auto"/>
        </w:rPr>
      </w:pPr>
    </w:p>
    <w:p>
      <w:pPr>
        <w:jc w:val="both"/>
        <w:ind w:left="980" w:right="579"/>
        <w:spacing w:after="0" w:line="277" w:lineRule="auto"/>
        <w:rPr>
          <w:sz w:val="20"/>
          <w:szCs w:val="20"/>
          <w:color w:val="auto"/>
        </w:rPr>
      </w:pPr>
      <w:r>
        <w:rPr>
          <w:rFonts w:ascii="Times New Roman" w:cs="Times New Roman" w:eastAsia="Times New Roman" w:hAnsi="Times New Roman"/>
          <w:sz w:val="16"/>
          <w:szCs w:val="16"/>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320"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 xml:space="preserve">Legacy SoundHound determined that it was the accounting acquirer in the Business Combination based on an analysis of the criteria outlined in Accounting Standards Codification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determination was primarily based on the following facts:</w:t>
      </w:r>
    </w:p>
    <w:p>
      <w:pPr>
        <w:spacing w:after="0" w:line="115" w:lineRule="exact"/>
        <w:rPr>
          <w:sz w:val="20"/>
          <w:szCs w:val="20"/>
          <w:color w:val="auto"/>
        </w:rPr>
      </w:pPr>
    </w:p>
    <w:p>
      <w:pPr>
        <w:ind w:left="1820" w:hanging="414"/>
        <w:spacing w:after="0"/>
        <w:tabs>
          <w:tab w:leader="none" w:pos="18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 Legacy SoundHound stockholders have a controlling voting interest in the Company;</w:t>
      </w:r>
    </w:p>
    <w:p>
      <w:pPr>
        <w:spacing w:after="0" w:line="157" w:lineRule="exact"/>
        <w:rPr>
          <w:rFonts w:ascii="Times New Roman" w:cs="Times New Roman" w:eastAsia="Times New Roman" w:hAnsi="Times New Roman"/>
          <w:sz w:val="16"/>
          <w:szCs w:val="16"/>
          <w:color w:val="auto"/>
        </w:rPr>
      </w:pPr>
    </w:p>
    <w:p>
      <w:pPr>
        <w:jc w:val="both"/>
        <w:ind w:left="1820" w:right="579" w:hanging="414"/>
        <w:spacing w:after="0" w:line="255" w:lineRule="auto"/>
        <w:tabs>
          <w:tab w:leader="none" w:pos="18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immediately after the closing of the Business Combination was comprised of five board members, primarily from the board of directors of Legacy SoundHound; and</w:t>
      </w:r>
    </w:p>
    <w:p>
      <w:pPr>
        <w:spacing w:after="0" w:line="114"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SoundHound’s management continues to hold executive management roles for the Company following the Business Combination and are responsible for the day-to-day operations.</w:t>
      </w:r>
    </w:p>
    <w:p>
      <w:pPr>
        <w:spacing w:after="0" w:line="115"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108"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15"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and reported a net loss of $28.9 million and $84.7 million for the three and nine months ended September 30, 2022, respectively. As of September 30, 2022, the Company had an accumulated deficit of $471.4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108" w:lineRule="exact"/>
        <w:rPr>
          <w:sz w:val="20"/>
          <w:szCs w:val="20"/>
          <w:color w:val="auto"/>
        </w:rPr>
      </w:pPr>
    </w:p>
    <w:p>
      <w:pPr>
        <w:jc w:val="both"/>
        <w:ind w:left="980" w:right="579"/>
        <w:spacing w:after="0" w:line="279" w:lineRule="auto"/>
        <w:rPr>
          <w:sz w:val="20"/>
          <w:szCs w:val="20"/>
          <w:color w:val="auto"/>
        </w:rPr>
      </w:pPr>
      <w:r>
        <w:rPr>
          <w:rFonts w:ascii="Times New Roman" w:cs="Times New Roman" w:eastAsia="Times New Roman" w:hAnsi="Times New Roman"/>
          <w:sz w:val="16"/>
          <w:szCs w:val="16"/>
          <w:color w:val="auto"/>
        </w:rPr>
        <w:t>Total cash and cash equivalents on hand as of September 30, 2022 was $33.4 million. Although the Company has incurred recurring losses each year since its inception, the Company expects it will be able to fund its operations for at least the next twelve months. The Company may seek additional funding through debt or equity financing arrangements (e.g., Equity Line of Credit (“ELOC”) (see Note 19)),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spacing w:after="0" w:line="12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115"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21"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187" w:lineRule="exact"/>
        <w:rPr>
          <w:sz w:val="20"/>
          <w:szCs w:val="20"/>
          <w:color w:val="auto"/>
        </w:rPr>
      </w:pPr>
    </w:p>
    <w:p>
      <w:pPr>
        <w:ind w:left="960" w:hanging="395"/>
        <w:spacing w:after="0"/>
        <w:tabs>
          <w:tab w:leader="none" w:pos="9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136"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The (a) condensed consolidated balance sheet as of December 31, 2021, which has been derived from audited financial statements as filed in the Company’s Form 8-K, which was originally filed with the SEC on May 2, 2022 and amended by Amendment No. 1 to Current Report on Form 8-K,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nine months ended September 30, 2022 are not necessarily indicative of the results for the fiscal year ending December 31, 2022 or any future interim period.</w:t>
      </w:r>
    </w:p>
    <w:p>
      <w:pPr>
        <w:spacing w:after="0" w:line="3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the Company and its wholly owned subsidiaries. All intercompany accounts and transactions have been eliminated in consolidation.</w:t>
      </w:r>
    </w:p>
    <w:p>
      <w:pPr>
        <w:spacing w:after="0" w:line="102"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year presentation. Such changes include reclassifications or combinations of certain accounts on the condensed consolidated balance sheets.</w:t>
      </w:r>
    </w:p>
    <w:p>
      <w:pPr>
        <w:spacing w:after="0" w:line="11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136"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nine months ended September 30, 2022, the Company recognized net losses related to foreign currency transactions and remeasurements of $0.1 million and $0.4 million, respectively, in the condensed consolidated statements of operations and comprehensive loss as other income (expense), net. During the three and nine months ended September 30, 2021, the Company recognized net losses related to foreign currency transactions and remeasurements of $0.3 million and $0.5 million, respectively, in the condensed consolidated statements of operations and comprehensive loss as other income (expense), net.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13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1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of September 30, 2022, accounts receivable balances due from two customers collectively totaled 65% of the Company’s condensed consolidated accounts receivable balance. As of December 31, 2021, accounts receivable balances due from five customers collectively totaled 86% of the Company’s condensed consolidated accounts receivable balance.</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the Company had four customers that accounted for 77% of revenue, and for the nine months ended September 30, 2021, the Company had two customers that accounted for 57% of revenue.</w:t>
      </w:r>
    </w:p>
    <w:p>
      <w:pPr>
        <w:spacing w:after="0" w:line="10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one customer that accounted for 63% of revenue, and for the three months ended September 30, 2021, the Company had three customers that accounted for 50% of revenue.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$4.1 million of deferred offering costs.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8" w:lineRule="exact"/>
        <w:rPr>
          <w:sz w:val="20"/>
          <w:szCs w:val="20"/>
          <w:color w:val="auto"/>
        </w:rPr>
      </w:pPr>
    </w:p>
    <w:p>
      <w:pPr>
        <w:ind w:left="1800" w:hanging="394"/>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147" w:lineRule="exact"/>
        <w:rPr>
          <w:rFonts w:ascii="Times New Roman" w:cs="Times New Roman" w:eastAsia="Times New Roman" w:hAnsi="Times New Roman"/>
          <w:sz w:val="18"/>
          <w:szCs w:val="18"/>
          <w:color w:val="auto"/>
        </w:rPr>
      </w:pPr>
    </w:p>
    <w:p>
      <w:pPr>
        <w:ind w:left="1800" w:hanging="394"/>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7" w:lineRule="exact"/>
        <w:rPr>
          <w:rFonts w:ascii="Times New Roman" w:cs="Times New Roman" w:eastAsia="Times New Roman" w:hAnsi="Times New Roman"/>
          <w:sz w:val="18"/>
          <w:szCs w:val="18"/>
          <w:color w:val="auto"/>
        </w:rPr>
      </w:pPr>
    </w:p>
    <w:p>
      <w:pPr>
        <w:ind w:left="4060" w:right="959" w:hanging="2654"/>
        <w:spacing w:after="0" w:line="465" w:lineRule="auto"/>
        <w:tabs>
          <w:tab w:leader="none" w:pos="17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 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-121920</wp:posOffset>
            </wp:positionV>
            <wp:extent cx="5001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5" w:lineRule="exact"/>
        <w:rPr>
          <w:rFonts w:ascii="Times New Roman" w:cs="Times New Roman" w:eastAsia="Times New Roman" w:hAnsi="Times New Roman"/>
          <w:sz w:val="18"/>
          <w:szCs w:val="18"/>
          <w:b w:val="1"/>
          <w:bCs w:val="1"/>
          <w:color w:val="auto"/>
        </w:rPr>
      </w:pPr>
    </w:p>
    <w:p>
      <w:pPr>
        <w:ind w:left="1780" w:hanging="374"/>
        <w:spacing w:after="0"/>
        <w:tabs>
          <w:tab w:leader="none" w:pos="17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47" w:lineRule="exact"/>
        <w:rPr>
          <w:rFonts w:ascii="Times New Roman" w:cs="Times New Roman" w:eastAsia="Times New Roman" w:hAnsi="Times New Roman"/>
          <w:sz w:val="18"/>
          <w:szCs w:val="18"/>
          <w:color w:val="auto"/>
        </w:rPr>
      </w:pPr>
    </w:p>
    <w:p>
      <w:pPr>
        <w:ind w:left="1780" w:hanging="374"/>
        <w:spacing w:after="0"/>
        <w:tabs>
          <w:tab w:leader="none" w:pos="17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147" w:lineRule="exact"/>
        <w:rPr>
          <w:sz w:val="20"/>
          <w:szCs w:val="20"/>
          <w:color w:val="auto"/>
        </w:rPr>
      </w:pPr>
    </w:p>
    <w:p>
      <w:pPr>
        <w:jc w:val="both"/>
        <w:ind w:left="980" w:right="579"/>
        <w:spacing w:after="0" w:line="293" w:lineRule="auto"/>
        <w:rPr>
          <w:sz w:val="20"/>
          <w:szCs w:val="20"/>
          <w:color w:val="auto"/>
        </w:rPr>
      </w:pPr>
      <w:r>
        <w:rPr>
          <w:rFonts w:ascii="Times New Roman" w:cs="Times New Roman" w:eastAsia="Times New Roman" w:hAnsi="Times New Roman"/>
          <w:sz w:val="16"/>
          <w:szCs w:val="16"/>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73"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149" w:lineRule="exact"/>
        <w:rPr>
          <w:sz w:val="20"/>
          <w:szCs w:val="20"/>
          <w:color w:val="auto"/>
        </w:rPr>
      </w:pPr>
    </w:p>
    <w:p>
      <w:pPr>
        <w:jc w:val="both"/>
        <w:ind w:left="980" w:right="579"/>
        <w:spacing w:after="0" w:line="283" w:lineRule="auto"/>
        <w:rPr>
          <w:sz w:val="20"/>
          <w:szCs w:val="20"/>
          <w:color w:val="auto"/>
        </w:rPr>
      </w:pPr>
      <w:r>
        <w:rPr>
          <w:rFonts w:ascii="Times New Roman" w:cs="Times New Roman" w:eastAsia="Times New Roman" w:hAnsi="Times New Roman"/>
          <w:sz w:val="16"/>
          <w:szCs w:val="16"/>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36"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has been no interest expense or penalties related to unrecognized tax benefits recorded through September 30, 2022.</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7" w:lineRule="exact"/>
        <w:rPr>
          <w:sz w:val="20"/>
          <w:szCs w:val="20"/>
          <w:color w:val="auto"/>
        </w:rPr>
      </w:pPr>
    </w:p>
    <w:p>
      <w:pPr>
        <w:jc w:val="both"/>
        <w:ind w:left="1400" w:right="5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of a peer group of companies for the period immediately preceding the option grant for a term that is approximately equal to the option’s expected term.</w:t>
      </w:r>
    </w:p>
    <w:p>
      <w:pPr>
        <w:spacing w:after="0" w:line="112" w:lineRule="exact"/>
        <w:rPr>
          <w:sz w:val="20"/>
          <w:szCs w:val="20"/>
          <w:color w:val="auto"/>
        </w:rPr>
      </w:pPr>
    </w:p>
    <w:p>
      <w:pPr>
        <w:jc w:val="both"/>
        <w:ind w:left="1400" w:right="579"/>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78" w:lineRule="exact"/>
        <w:rPr>
          <w:sz w:val="20"/>
          <w:szCs w:val="20"/>
          <w:color w:val="auto"/>
        </w:rPr>
      </w:pPr>
    </w:p>
    <w:p>
      <w:pPr>
        <w:jc w:val="both"/>
        <w:ind w:left="1400" w:right="5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U.S. Treasury zero-coupon issues with a term that is equal to the options’ expected term at the grant date.</w:t>
      </w:r>
    </w:p>
    <w:p>
      <w:pPr>
        <w:spacing w:after="0" w:line="112" w:lineRule="exact"/>
        <w:rPr>
          <w:sz w:val="20"/>
          <w:szCs w:val="20"/>
          <w:color w:val="auto"/>
        </w:rPr>
      </w:pPr>
    </w:p>
    <w:p>
      <w:pPr>
        <w:jc w:val="both"/>
        <w:ind w:left="1400" w:right="57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declaring dividends. As such, expected dividend yield is zero.</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0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1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6" w:lineRule="exact"/>
        <w:rPr>
          <w:sz w:val="20"/>
          <w:szCs w:val="20"/>
          <w:color w:val="auto"/>
        </w:rPr>
      </w:pPr>
    </w:p>
    <w:p>
      <w:pPr>
        <w:ind w:left="1820" w:right="579" w:hanging="414"/>
        <w:spacing w:after="0" w:line="267" w:lineRule="auto"/>
        <w:tabs>
          <w:tab w:leader="none" w:pos="1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03"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14"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12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136" w:lineRule="exact"/>
        <w:rPr>
          <w:sz w:val="20"/>
          <w:szCs w:val="20"/>
          <w:color w:val="auto"/>
        </w:rPr>
      </w:pPr>
    </w:p>
    <w:p>
      <w:pPr>
        <w:jc w:val="both"/>
        <w:ind w:left="980" w:right="579"/>
        <w:spacing w:after="0" w:line="279" w:lineRule="auto"/>
        <w:rPr>
          <w:sz w:val="20"/>
          <w:szCs w:val="20"/>
          <w:color w:val="auto"/>
        </w:rPr>
      </w:pPr>
      <w:r>
        <w:rPr>
          <w:rFonts w:ascii="Times New Roman" w:cs="Times New Roman" w:eastAsia="Times New Roman" w:hAnsi="Times New Roman"/>
          <w:sz w:val="16"/>
          <w:szCs w:val="16"/>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0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0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14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nine months ended September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108"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The Company adopted Topic 842 on January 1, 2021 using the modified retrospective approach, and financial information for the comparative period was not updated.</w:t>
      </w:r>
    </w:p>
    <w:p>
      <w:pPr>
        <w:spacing w:after="0" w:line="131" w:lineRule="exact"/>
        <w:rPr>
          <w:sz w:val="20"/>
          <w:szCs w:val="20"/>
          <w:color w:val="auto"/>
        </w:rPr>
      </w:pPr>
    </w:p>
    <w:p>
      <w:pPr>
        <w:jc w:val="both"/>
        <w:ind w:left="980" w:right="579"/>
        <w:spacing w:after="0" w:line="253" w:lineRule="auto"/>
        <w:rPr>
          <w:sz w:val="20"/>
          <w:szCs w:val="20"/>
          <w:color w:val="auto"/>
        </w:rPr>
      </w:pPr>
      <w:r>
        <w:rPr>
          <w:rFonts w:ascii="Times New Roman" w:cs="Times New Roman" w:eastAsia="Times New Roman" w:hAnsi="Times New Roman"/>
          <w:sz w:val="18"/>
          <w:szCs w:val="18"/>
          <w:color w:val="auto"/>
        </w:rPr>
        <w:t>In addition, the Company elected the transition package of three practical expedients which allow companies not to reassess (i) whether agreements contain leases, (ii) the classification of leases, and</w:t>
      </w:r>
    </w:p>
    <w:p>
      <w:pPr>
        <w:spacing w:after="0" w:line="2" w:lineRule="exact"/>
        <w:rPr>
          <w:sz w:val="20"/>
          <w:szCs w:val="20"/>
          <w:color w:val="auto"/>
        </w:rPr>
      </w:pPr>
    </w:p>
    <w:p>
      <w:pPr>
        <w:jc w:val="both"/>
        <w:ind w:left="980" w:right="579" w:firstLine="6"/>
        <w:spacing w:after="0" w:line="244" w:lineRule="auto"/>
        <w:tabs>
          <w:tab w:leader="none" w:pos="129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25"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78"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As a result of the adoption of the new lease accounting guidance, the Company recognized on January 1, 2021:</w:t>
      </w:r>
    </w:p>
    <w:p>
      <w:pPr>
        <w:spacing w:after="0" w:line="104" w:lineRule="exact"/>
        <w:rPr>
          <w:sz w:val="20"/>
          <w:szCs w:val="20"/>
          <w:color w:val="auto"/>
        </w:rPr>
      </w:pPr>
    </w:p>
    <w:p>
      <w:pPr>
        <w:jc w:val="both"/>
        <w:ind w:left="1820" w:right="579" w:hanging="414"/>
        <w:spacing w:after="0" w:line="255" w:lineRule="auto"/>
        <w:tabs>
          <w:tab w:leader="none" w:pos="18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of approximately $11.4 million, which represent the present value of the remaining lease payments, as of the date of adoption, discounted using the Company’s incremental borrowing rate on a lease-by-lease basis, and</w:t>
      </w:r>
    </w:p>
    <w:p>
      <w:pPr>
        <w:spacing w:after="0" w:line="114" w:lineRule="exact"/>
        <w:rPr>
          <w:rFonts w:ascii="Times New Roman" w:cs="Times New Roman" w:eastAsia="Times New Roman" w:hAnsi="Times New Roman"/>
          <w:sz w:val="18"/>
          <w:szCs w:val="18"/>
          <w:color w:val="auto"/>
        </w:rPr>
      </w:pPr>
    </w:p>
    <w:p>
      <w:pPr>
        <w:jc w:val="both"/>
        <w:ind w:left="1820" w:right="579" w:hanging="414"/>
        <w:spacing w:after="0" w:line="285" w:lineRule="auto"/>
        <w:tabs>
          <w:tab w:leader="none" w:pos="181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 ROU assets of approximately $9.8 million which represent the operating lease liabilities of $11.4 million, adjusted for (1) deferred rent of approximately $0.8 million,</w:t>
      </w:r>
    </w:p>
    <w:p>
      <w:pPr>
        <w:spacing w:after="0" w:line="1" w:lineRule="exact"/>
        <w:rPr>
          <w:rFonts w:ascii="Times New Roman" w:cs="Times New Roman" w:eastAsia="Times New Roman" w:hAnsi="Times New Roman"/>
          <w:sz w:val="16"/>
          <w:szCs w:val="16"/>
          <w:color w:val="auto"/>
        </w:rPr>
      </w:pPr>
    </w:p>
    <w:p>
      <w:pPr>
        <w:ind w:left="1820" w:right="579" w:firstLine="6"/>
        <w:spacing w:after="0" w:line="247" w:lineRule="auto"/>
        <w:tabs>
          <w:tab w:leader="none" w:pos="207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incentives or tenant improvement allowance of $1.1 million and (3) prepaid rent of $0.3 million.</w:t>
      </w:r>
    </w:p>
    <w:p>
      <w:pPr>
        <w:spacing w:after="0" w:line="107"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adoption of the new lease accounting standard did not have any other material impact on the Company’s consolidated balance sheet and did not impact the Company’s operating results and cash flows.</w:t>
      </w:r>
    </w:p>
    <w:p>
      <w:pPr>
        <w:spacing w:after="0" w:line="115"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Company adopted the standard on January 1, 2022. ASU 2019-12 did not result in any material impact on the Company’s condensed consolidated financial statements.</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128"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anticipates that it will not have a material impact on its condensed consolidated financial statements and related disclosures.</w:t>
      </w:r>
    </w:p>
    <w:p>
      <w:pPr>
        <w:spacing w:after="0" w:line="191" w:lineRule="exact"/>
        <w:rPr>
          <w:sz w:val="20"/>
          <w:szCs w:val="20"/>
          <w:color w:val="auto"/>
        </w:rPr>
      </w:pPr>
    </w:p>
    <w:p>
      <w:pPr>
        <w:ind w:left="960" w:hanging="395"/>
        <w:spacing w:after="0"/>
        <w:tabs>
          <w:tab w:leader="none" w:pos="9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3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September 30, 2022.</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21"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21" w:lineRule="exact"/>
        <w:rPr>
          <w:sz w:val="20"/>
          <w:szCs w:val="20"/>
          <w:color w:val="auto"/>
        </w:rPr>
      </w:pPr>
    </w:p>
    <w:p>
      <w:pPr>
        <w:jc w:val="both"/>
        <w:ind w:left="980" w:right="579"/>
        <w:spacing w:after="0" w:line="277" w:lineRule="auto"/>
        <w:rPr>
          <w:sz w:val="20"/>
          <w:szCs w:val="20"/>
          <w:color w:val="auto"/>
        </w:rPr>
      </w:pPr>
      <w:r>
        <w:rPr>
          <w:rFonts w:ascii="Times New Roman" w:cs="Times New Roman" w:eastAsia="Times New Roman" w:hAnsi="Times New Roman"/>
          <w:sz w:val="16"/>
          <w:szCs w:val="16"/>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300"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9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ATSP trust and cash (net of redemption)</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 PIPE Investment</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20" w:type="dxa"/>
            <w:vAlign w:val="bottom"/>
          </w:tcPr>
          <w:p>
            <w:pPr>
              <w:spacing w:after="0"/>
              <w:rPr>
                <w:sz w:val="20"/>
                <w:szCs w:val="20"/>
                <w:color w:val="auto"/>
              </w:rPr>
            </w:pPr>
          </w:p>
        </w:tc>
      </w:tr>
      <w:tr>
        <w:trPr>
          <w:trHeight w:val="40"/>
        </w:trPr>
        <w:tc>
          <w:tcPr>
            <w:tcW w:w="6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(27,668)</w:t>
            </w:r>
          </w:p>
        </w:tc>
      </w:tr>
      <w:tr>
        <w:trPr>
          <w:trHeight w:val="23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Business Combination and PIPE Investment</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90,689</w:t>
            </w:r>
          </w:p>
        </w:tc>
        <w:tc>
          <w:tcPr>
            <w:tcW w:w="12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21"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amount recorded to additional paid-in-capital was comprised of $86.6 million net proceeds from the PIPE investment and $4.1 million after net redemptions of ATSP shareholders.</w:t>
      </w:r>
    </w:p>
    <w:p>
      <w:pPr>
        <w:spacing w:after="0" w:line="104"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was as follows:</w:t>
      </w:r>
    </w:p>
    <w:p>
      <w:pPr>
        <w:spacing w:after="0" w:line="200" w:lineRule="exact"/>
        <w:rPr>
          <w:sz w:val="20"/>
          <w:szCs w:val="20"/>
          <w:color w:val="auto"/>
        </w:rPr>
      </w:pPr>
    </w:p>
    <w:p>
      <w:pPr>
        <w:spacing w:after="0" w:line="209"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 conversion of Legacy SoundHound Common Stock and</w:t>
            </w:r>
          </w:p>
        </w:tc>
        <w:tc>
          <w:tcPr>
            <w:tcW w:w="1220" w:type="dxa"/>
            <w:vAlign w:val="bottom"/>
            <w:shd w:val="clear" w:color="auto" w:fill="CCEEFF"/>
          </w:tcPr>
          <w:p>
            <w:pPr>
              <w:spacing w:after="0"/>
              <w:rPr>
                <w:sz w:val="17"/>
                <w:szCs w:val="17"/>
                <w:color w:val="auto"/>
              </w:rPr>
            </w:pPr>
          </w:p>
        </w:tc>
      </w:tr>
      <w:tr>
        <w:trPr>
          <w:trHeight w:val="248"/>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SoundHound Preferred Stock outstanding prior to Business Combination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140,114,060</w:t>
            </w:r>
          </w:p>
        </w:tc>
      </w:tr>
      <w:tr>
        <w:trPr>
          <w:trHeight w:val="192"/>
        </w:trPr>
        <w:tc>
          <w:tcPr>
            <w:tcW w:w="62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Class B Common Stock – conversion of Legacy SoundHound Common Stock and</w:t>
            </w:r>
          </w:p>
        </w:tc>
        <w:tc>
          <w:tcPr>
            <w:tcW w:w="1220" w:type="dxa"/>
            <w:vAlign w:val="bottom"/>
          </w:tcPr>
          <w:p>
            <w:pPr>
              <w:spacing w:after="0"/>
              <w:rPr>
                <w:sz w:val="16"/>
                <w:szCs w:val="16"/>
                <w:color w:val="auto"/>
              </w:rPr>
            </w:pPr>
          </w:p>
        </w:tc>
      </w:tr>
      <w:tr>
        <w:trPr>
          <w:trHeight w:val="228"/>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Legacy SoundHound Preferred Stock outstanding prior to Business Combination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40,396,600</w:t>
            </w:r>
          </w:p>
        </w:tc>
      </w:tr>
      <w:tr>
        <w:trPr>
          <w:trHeight w:val="40"/>
        </w:trPr>
        <w:tc>
          <w:tcPr>
            <w:tcW w:w="62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 PIPE Investment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11,300,000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 issuance to ATSP shareholders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532,050</w:t>
            </w:r>
          </w:p>
        </w:tc>
      </w:tr>
      <w:tr>
        <w:trPr>
          <w:trHeight w:val="40"/>
        </w:trPr>
        <w:tc>
          <w:tcPr>
            <w:tcW w:w="62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192"/>
        </w:trPr>
        <w:tc>
          <w:tcPr>
            <w:tcW w:w="62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Class A Common Stock – issuance to Legacy SoundHound founders and</w:t>
            </w:r>
          </w:p>
        </w:tc>
        <w:tc>
          <w:tcPr>
            <w:tcW w:w="1220" w:type="dxa"/>
            <w:vAlign w:val="bottom"/>
            <w:shd w:val="clear" w:color="auto" w:fill="CCEEFF"/>
          </w:tcPr>
          <w:p>
            <w:pPr>
              <w:spacing w:after="0"/>
              <w:rPr>
                <w:sz w:val="16"/>
                <w:szCs w:val="16"/>
                <w:color w:val="auto"/>
              </w:rPr>
            </w:pPr>
          </w:p>
        </w:tc>
      </w:tr>
      <w:tr>
        <w:trPr>
          <w:trHeight w:val="268"/>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representatives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4,161,000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196,503,710</w:t>
            </w:r>
          </w:p>
        </w:tc>
      </w:tr>
      <w:tr>
        <w:trPr>
          <w:trHeight w:val="20"/>
        </w:trPr>
        <w:tc>
          <w:tcPr>
            <w:tcW w:w="6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960" w:hanging="395"/>
        <w:spacing w:after="0"/>
        <w:tabs>
          <w:tab w:leader="none" w:pos="9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24"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02"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149"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0"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2"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September 30, 2022, $0.4 million of professional service revenue was recognized over time, with the remaining $0.3 million recognized at a point in time when the performance obligation was fulfilled and control of the service was transferred to the customer. During the nine months ended September 30, 2022, $1.2 million of professional service revenue was recognized over time, with the remaining $1.4 million recognized at a point in time when the performance obligation was fulfilled and control of the service was transferred to the customer.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15"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4" w:lineRule="exact"/>
        <w:rPr>
          <w:sz w:val="20"/>
          <w:szCs w:val="20"/>
          <w:color w:val="auto"/>
        </w:rPr>
      </w:pPr>
    </w:p>
    <w:p>
      <w:pPr>
        <w:ind w:left="1820" w:hanging="414"/>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134" w:lineRule="exact"/>
        <w:rPr>
          <w:rFonts w:ascii="Times New Roman" w:cs="Times New Roman" w:eastAsia="Times New Roman" w:hAnsi="Times New Roman"/>
          <w:sz w:val="18"/>
          <w:szCs w:val="18"/>
          <w:color w:val="auto"/>
        </w:rPr>
      </w:pPr>
    </w:p>
    <w:p>
      <w:pPr>
        <w:ind w:left="1820" w:hanging="414"/>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147" w:lineRule="exact"/>
        <w:rPr>
          <w:rFonts w:ascii="Times New Roman" w:cs="Times New Roman" w:eastAsia="Times New Roman" w:hAnsi="Times New Roman"/>
          <w:sz w:val="18"/>
          <w:szCs w:val="18"/>
          <w:color w:val="auto"/>
        </w:rPr>
      </w:pPr>
    </w:p>
    <w:p>
      <w:pPr>
        <w:ind w:left="1820" w:hanging="414"/>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147" w:lineRule="exact"/>
        <w:rPr>
          <w:rFonts w:ascii="Times New Roman" w:cs="Times New Roman" w:eastAsia="Times New Roman" w:hAnsi="Times New Roman"/>
          <w:sz w:val="18"/>
          <w:szCs w:val="18"/>
          <w:color w:val="auto"/>
        </w:rPr>
      </w:pPr>
    </w:p>
    <w:p>
      <w:pPr>
        <w:ind w:left="1820" w:right="579" w:hanging="414"/>
        <w:spacing w:after="0" w:line="267" w:lineRule="auto"/>
        <w:tabs>
          <w:tab w:leader="none" w:pos="18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9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revenues under each performance obligation were as follows (in thousands):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2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24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6"/>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r>
      <w:tr>
        <w:trPr>
          <w:trHeight w:val="23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2,644</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40"/>
        </w:trPr>
        <w:tc>
          <w:tcPr>
            <w:tcW w:w="2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4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5,660</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disaggregated revenue by geographic location was as follows (in thousands):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2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22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6"/>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3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40"/>
        </w:trPr>
        <w:tc>
          <w:tcPr>
            <w:tcW w:w="2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r>
      <w:tr>
        <w:trPr>
          <w:trHeight w:val="23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40"/>
        </w:trPr>
        <w:tc>
          <w:tcPr>
            <w:tcW w:w="2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6,403</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4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2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disaggregated revenue by recognition pattern was as follows (in thousands):</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2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23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6"/>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r>
      <w:tr>
        <w:trPr>
          <w:trHeight w:val="24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7,776</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r>
      <w:tr>
        <w:trPr>
          <w:trHeight w:val="27"/>
        </w:trPr>
        <w:tc>
          <w:tcPr>
            <w:tcW w:w="23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79" w:lineRule="auto"/>
        <w:rPr>
          <w:sz w:val="20"/>
          <w:szCs w:val="20"/>
          <w:color w:val="auto"/>
        </w:rPr>
      </w:pPr>
      <w:r>
        <w:rPr>
          <w:rFonts w:ascii="Times New Roman" w:cs="Times New Roman" w:eastAsia="Times New Roman" w:hAnsi="Times New Roman"/>
          <w:sz w:val="16"/>
          <w:szCs w:val="16"/>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nine months ended September 30, 2022 and 2021, the disaggregated revenue by service type was as follows (in thousands):</w:t>
      </w:r>
    </w:p>
    <w:p>
      <w:pPr>
        <w:spacing w:after="0" w:line="341"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4"/>
        </w:trPr>
        <w:tc>
          <w:tcPr>
            <w:tcW w:w="2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4"/>
        </w:trPr>
        <w:tc>
          <w:tcPr>
            <w:tcW w:w="24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1,442</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40"/>
        </w:trPr>
        <w:tc>
          <w:tcPr>
            <w:tcW w:w="2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8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149"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three and nine months ended September 30, 2022, we recognized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condensed consolidated financial statements.</w:t>
      </w:r>
    </w:p>
    <w:p>
      <w:pPr>
        <w:spacing w:after="0" w:line="9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Revenue recognized included in the balances of the deferred revenue at the beginning of the reporting period during three and nine months ended September 30, 2022, was $2.0 million and $5.4 million, respectively, as compared to $2.3 million and $7.4 million for the three and nine months ended September 30, 2021, respectively.</w:t>
      </w:r>
    </w:p>
    <w:p>
      <w:pPr>
        <w:spacing w:after="0" w:line="10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As of September 30, 2022, the aggregate amount of the transaction price allocated to the remaining performance obligations related to customer contracts that were unsatisfied or partially unsatisfied was $23.4 million. Given the applicable contract terms, $10.4 million is expected to be recognized as revenue within one year, $9.6 million is expected to be recognized between two to five years and the remainder of $3.4 million is expected to be recognized after five years. This amount does not include contracts to which the customer is not committed, contracts for which the Company recognizes revenue equal to the amount the Company has the right to invoice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9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1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82" w:lineRule="exact"/>
        <w:rPr>
          <w:sz w:val="20"/>
          <w:szCs w:val="20"/>
          <w:color w:val="auto"/>
        </w:rPr>
      </w:pPr>
    </w:p>
    <w:p>
      <w:pPr>
        <w:ind w:left="960" w:hanging="395"/>
        <w:spacing w:after="0"/>
        <w:tabs>
          <w:tab w:leader="none" w:pos="9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8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20,571</w:t>
            </w: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8,687</w:t>
            </w:r>
          </w:p>
        </w:tc>
      </w:tr>
      <w:tr>
        <w:trPr>
          <w:trHeight w:val="40"/>
        </w:trPr>
        <w:tc>
          <w:tcPr>
            <w:tcW w:w="4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3,567</w:t>
            </w:r>
          </w:p>
        </w:tc>
      </w:tr>
      <w:tr>
        <w:trPr>
          <w:trHeight w:val="24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r>
      <w:tr>
        <w:trPr>
          <w:trHeight w:val="27"/>
        </w:trPr>
        <w:tc>
          <w:tcPr>
            <w:tcW w:w="4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(27,399)</w:t>
            </w:r>
          </w:p>
        </w:tc>
      </w:tr>
      <w:tr>
        <w:trPr>
          <w:trHeight w:val="27"/>
        </w:trPr>
        <w:tc>
          <w:tcPr>
            <w:tcW w:w="4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6,155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Property and equipment, net includes assets under finance lease obligations (see Note 14 for additional information) with an aggregate cost of approximately $0.9 million and $7.0 million as of September 30, 2022 and December 31, 2021, respectively, and accumulated depreciation of approximately $0.4 million and $4.3 million as of September 30, 2022 and December 31, 2021, respectively. Depreciation and amortization expense totaled approximately $0.9 million and $3.2 million for the three and nine months ended September 30, 2022, respectively, as compared to $1.3 million and $4.2 million for the three and nine months ended September 30, 2021, respectively.</w:t>
      </w:r>
    </w:p>
    <w:p>
      <w:pPr>
        <w:spacing w:after="0" w:line="187" w:lineRule="exact"/>
        <w:rPr>
          <w:sz w:val="20"/>
          <w:szCs w:val="20"/>
          <w:color w:val="auto"/>
        </w:rPr>
      </w:pPr>
    </w:p>
    <w:p>
      <w:pPr>
        <w:ind w:left="960" w:hanging="395"/>
        <w:spacing w:after="0"/>
        <w:tabs>
          <w:tab w:leader="none" w:pos="9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49"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Accrued liabilities on the condensed consolidated balance sheets was comprised of the following (in thousands):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5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6"/>
        </w:trPr>
        <w:tc>
          <w:tcPr>
            <w:tcW w:w="5060" w:type="dxa"/>
            <w:vAlign w:val="bottom"/>
          </w:tcPr>
          <w:p>
            <w:pPr>
              <w:spacing w:after="0"/>
              <w:rPr>
                <w:sz w:val="20"/>
                <w:szCs w:val="20"/>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149"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67"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Aggregate non-cancelable future minimum payments were as follows as of September 30, 2022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0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40"/>
        </w:trPr>
        <w:tc>
          <w:tcPr>
            <w:tcW w:w="6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40"/>
        </w:trPr>
        <w:tc>
          <w:tcPr>
            <w:tcW w:w="6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4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7"/>
        </w:trPr>
        <w:tc>
          <w:tcPr>
            <w:tcW w:w="6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0"/>
        </w:trPr>
        <w:tc>
          <w:tcPr>
            <w:tcW w:w="6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3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September 30, 2022 and December 31, 2021.</w:t>
      </w:r>
    </w:p>
    <w:p>
      <w:pPr>
        <w:spacing w:after="0" w:line="189" w:lineRule="exact"/>
        <w:rPr>
          <w:sz w:val="20"/>
          <w:szCs w:val="20"/>
          <w:color w:val="auto"/>
        </w:rPr>
      </w:pPr>
    </w:p>
    <w:p>
      <w:pPr>
        <w:ind w:left="960" w:hanging="395"/>
        <w:spacing w:after="0"/>
        <w:tabs>
          <w:tab w:leader="none" w:pos="9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w:t>
      </w:r>
    </w:p>
    <w:p>
      <w:pPr>
        <w:spacing w:after="0" w:line="13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September 30, 2022 and December 31, 2021, the fair value of the warrant liability was $0.</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Convertible Notes and Note Payable</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2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Business Combination</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51"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8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Subsequent to the closing of the Business Combination, the Company’s Public Warrants continue to be classified as equity instruments, as they are indexed to the Company’s stock. As of September 30, 2022, there were 3,457,996 Public Warrants issued and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51"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94"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 AND NOTES PAYABLE</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SNAP June 2020 Note</w:t>
      </w:r>
    </w:p>
    <w:p>
      <w:pPr>
        <w:spacing w:after="0" w:line="138"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21" w:lineRule="exact"/>
        <w:rPr>
          <w:sz w:val="20"/>
          <w:szCs w:val="20"/>
          <w:color w:val="auto"/>
        </w:rPr>
      </w:pPr>
    </w:p>
    <w:p>
      <w:pPr>
        <w:jc w:val="both"/>
        <w:ind w:left="980" w:right="579"/>
        <w:spacing w:after="0" w:line="277" w:lineRule="auto"/>
        <w:rPr>
          <w:sz w:val="20"/>
          <w:szCs w:val="20"/>
          <w:color w:val="auto"/>
        </w:rPr>
      </w:pPr>
      <w:r>
        <w:rPr>
          <w:rFonts w:ascii="Times New Roman" w:cs="Times New Roman" w:eastAsia="Times New Roman" w:hAnsi="Times New Roman"/>
          <w:sz w:val="16"/>
          <w:szCs w:val="16"/>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w:t>
      </w:r>
    </w:p>
    <w:p>
      <w:pPr>
        <w:spacing w:after="0" w:line="4" w:lineRule="exact"/>
        <w:rPr>
          <w:sz w:val="20"/>
          <w:szCs w:val="20"/>
          <w:color w:val="auto"/>
        </w:rPr>
      </w:pPr>
    </w:p>
    <w:p>
      <w:pPr>
        <w:jc w:val="both"/>
        <w:ind w:left="980" w:right="579" w:firstLine="6"/>
        <w:spacing w:after="0" w:line="291" w:lineRule="auto"/>
        <w:tabs>
          <w:tab w:leader="none" w:pos="123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spacing w:after="0" w:line="87"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the SNAP June 2020 Note in cash, pursuant to the following terms (“Redemption Feature”):</w:t>
      </w:r>
    </w:p>
    <w:p>
      <w:pPr>
        <w:spacing w:after="0" w:line="91" w:lineRule="exact"/>
        <w:rPr>
          <w:sz w:val="20"/>
          <w:szCs w:val="20"/>
          <w:color w:val="auto"/>
        </w:rPr>
      </w:pPr>
    </w:p>
    <w:p>
      <w:pPr>
        <w:ind w:left="1820" w:right="579" w:hanging="414"/>
        <w:spacing w:after="0" w:line="267" w:lineRule="auto"/>
        <w:tabs>
          <w:tab w:leader="none" w:pos="18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then outstanding principal amount of the respective note plus any unpaid accrued interest on the original principal of such note; and</w:t>
      </w:r>
    </w:p>
    <w:p>
      <w:pPr>
        <w:spacing w:after="0" w:line="103"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15"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18"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nine months ended September 30, 2022, out of which $0.4 million relates to the amortization of the debt discount. The Company recognized total interest expense of $0.5 million and $1.5 million associated with the SNAP June 2020 Note for the three and nine months ended September 30, 2021, respectively, out of which $0.3 million and $0.9 million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25"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AND NOTES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368,384 shares of Class A Common Stock. In addition, the remaining debt discount of $0.2 million and related derivative liability with fair value of $4.1 million as of the Closing Date were extinguished.</w:t>
      </w:r>
    </w:p>
    <w:p>
      <w:pPr>
        <w:spacing w:after="0" w:line="121"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April 26, 2022 and December 31, 2021 (in thousands).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50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40"/>
        </w:trPr>
        <w:tc>
          <w:tcPr>
            <w:tcW w:w="5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40"/>
        </w:trPr>
        <w:tc>
          <w:tcPr>
            <w:tcW w:w="5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Accrued interest is included in accrued liabilities on the condensed consolidated balance sheets to reflect the classification of the SNAP June 2020 Note as short-term in nature on December 31, 2021.</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138"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95"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recorded stated interest expense in the condensed consolidated statements of operations and comprehensive loss for the three and nine months ended September 30, 2022 of $0.7 million and $2.1 million, respectively, of which $0.2 million remained unpaid as accrued interest at September 30, 2022. During the three and nine months ended September 30, 2021, the Company recorded interest expense of $0.7 million and $1.4 million, respectively, of which $0.2 million remained unpaid as accrued interest at September 30, 2021. The total amount of debt discount at issuance was $3.5 million. As of September 30, 2022 and December 31, 2021, the unamortized debt discount totaled $0.1 million and $1.1 million, respectively. During the three and nine months ended September 30, 2022, the Company recorded a nominal amount and $1.0 million in interest expense related to the debt discounts, respectively. During the three and nine months ended September 30, 2021, the Company recorded $0.8 million and $1.6 million in interest expense related to the debt discounts, respectively.</w:t>
      </w:r>
    </w:p>
    <w:p>
      <w:pPr>
        <w:spacing w:after="0" w:line="127"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AND NOTES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As a result of the Business Combination, the SNAP June 2020 Note converted on the Closing Date and the performance milestone was met, satisfying the requirements to extend the maturity date to September 1, 2024 Accordingly, the Company has classified $13.1 million of the balance as long-term and $12.0 million of the balance as short-term as of September 30, 2022 compared to the entirety of the balance as short-term as of December 31, 2021.</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151"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95"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$0.8 million in interest expense related to the debt discounts during the three and nine months ended September 30, 2022, respectively, and $0.4 million and $0.6 million in interest expense related to the debt discounts during the three and nine months ended September 30, 2021, respectively. As of September 30, 2022 and December 31, 2021, the unamortized debt discount totaled $0.3 million and $1.1 million, respectively.</w:t>
      </w:r>
    </w:p>
    <w:p>
      <w:pPr>
        <w:spacing w:after="0" w:line="112"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incurred and paid $0.4 million and $1.1 million in stated interest in the condensed consolidated statements of operations and comprehensive loss for the three and nine months ended September 30, 2022, respectively, and $0.1 million in stated interest during both the three and nine months ended September 30, 2021.</w:t>
      </w:r>
    </w:p>
    <w:p>
      <w:pPr>
        <w:spacing w:after="0" w:line="121"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30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$9.5 million of the balance as long-term and $4.6 million of the balance as short-term as of September 30, 2022 compared to the entirety of the balance as short-term as of December 31, 2021. Additionally,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AND NOTES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as the Company and its Agent did not mutually consent to the equity conversion that could have been triggered by the Business Combination, the conversion feature no longer existed subsequent to the Closing Date. As of September 30, 2022, the SCI June 2021 Note was classified as a note payable.</w:t>
      </w:r>
    </w:p>
    <w:p>
      <w:pPr>
        <w:spacing w:after="0" w:line="115"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The below tables summarize the Company’s debt balances as of September 30, 2022 and December 31, 2021 (in thousands):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8"/>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4"/>
        </w:trPr>
        <w:tc>
          <w:tcPr>
            <w:tcW w:w="20" w:type="dxa"/>
            <w:vAlign w:val="bottom"/>
            <w:tcBorders>
              <w:bottom w:val="single" w:sz="8" w:color="CCEEFF"/>
            </w:tcBorders>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continue"/>
          </w:tcPr>
          <w:p>
            <w:pPr>
              <w:spacing w:after="0"/>
              <w:rPr>
                <w:sz w:val="23"/>
                <w:szCs w:val="23"/>
                <w:color w:val="auto"/>
              </w:rPr>
            </w:pPr>
          </w:p>
        </w:tc>
        <w:tc>
          <w:tcPr>
            <w:tcW w:w="4020" w:type="dxa"/>
            <w:vAlign w:val="bottom"/>
            <w:vMerge w:val="continue"/>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24,969</w:t>
            </w:r>
          </w:p>
        </w:tc>
        <w:tc>
          <w:tcPr>
            <w:tcW w:w="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42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31,050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8"/>
          </w:tcPr>
          <w:p>
            <w:pPr>
              <w:jc w:val="center"/>
              <w:ind w:left="677"/>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SNAP</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4"/>
        </w:trPr>
        <w:tc>
          <w:tcPr>
            <w:tcW w:w="4040" w:type="dxa"/>
            <w:vAlign w:val="bottom"/>
            <w:gridSpan w:val="2"/>
          </w:tcPr>
          <w:p>
            <w:pPr>
              <w:spacing w:after="0"/>
              <w:rPr>
                <w:sz w:val="3"/>
                <w:szCs w:val="3"/>
                <w:color w:val="auto"/>
              </w:rPr>
            </w:pPr>
          </w:p>
        </w:tc>
        <w:tc>
          <w:tcPr>
            <w:tcW w:w="480" w:type="dxa"/>
            <w:vAlign w:val="bottom"/>
            <w:gridSpan w:val="2"/>
          </w:tcPr>
          <w:p>
            <w:pPr>
              <w:spacing w:after="0"/>
              <w:rPr>
                <w:sz w:val="3"/>
                <w:szCs w:val="3"/>
                <w:color w:val="auto"/>
              </w:rPr>
            </w:pPr>
          </w:p>
        </w:tc>
        <w:tc>
          <w:tcPr>
            <w:tcW w:w="1020" w:type="dxa"/>
            <w:vAlign w:val="bottom"/>
            <w:gridSpan w:val="3"/>
          </w:tcPr>
          <w:p>
            <w:pPr>
              <w:spacing w:after="0"/>
              <w:rPr>
                <w:sz w:val="3"/>
                <w:szCs w:val="3"/>
                <w:color w:val="auto"/>
              </w:rPr>
            </w:pPr>
          </w:p>
        </w:tc>
        <w:tc>
          <w:tcPr>
            <w:tcW w:w="160" w:type="dxa"/>
            <w:vAlign w:val="bottom"/>
            <w:gridSpan w:val="2"/>
          </w:tcPr>
          <w:p>
            <w:pPr>
              <w:spacing w:after="0"/>
              <w:rPr>
                <w:sz w:val="3"/>
                <w:szCs w:val="3"/>
                <w:color w:val="auto"/>
              </w:rPr>
            </w:pPr>
          </w:p>
        </w:tc>
        <w:tc>
          <w:tcPr>
            <w:tcW w:w="92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93" w:lineRule="auto"/>
        <w:rPr>
          <w:sz w:val="20"/>
          <w:szCs w:val="20"/>
          <w:color w:val="auto"/>
        </w:rPr>
      </w:pPr>
      <w:r>
        <w:rPr>
          <w:rFonts w:ascii="Times New Roman" w:cs="Times New Roman" w:eastAsia="Times New Roman" w:hAnsi="Times New Roman"/>
          <w:sz w:val="16"/>
          <w:szCs w:val="16"/>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5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 (in thousands):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36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Measurements as of</w:t>
            </w:r>
          </w:p>
        </w:tc>
      </w:tr>
      <w:tr>
        <w:trPr>
          <w:trHeight w:val="208"/>
        </w:trPr>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1000" w:type="dxa"/>
            <w:vAlign w:val="bottom"/>
          </w:tcPr>
          <w:p>
            <w:pPr>
              <w:spacing w:after="0"/>
              <w:rPr>
                <w:sz w:val="18"/>
                <w:szCs w:val="18"/>
                <w:color w:val="auto"/>
              </w:rPr>
            </w:pPr>
          </w:p>
        </w:tc>
      </w:tr>
      <w:tr>
        <w:trPr>
          <w:trHeight w:val="44"/>
        </w:trPr>
        <w:tc>
          <w:tcPr>
            <w:tcW w:w="38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5"/>
        </w:trPr>
        <w:tc>
          <w:tcPr>
            <w:tcW w:w="38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4"/>
        </w:trPr>
        <w:tc>
          <w:tcPr>
            <w:tcW w:w="38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166</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3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166</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FAIR VALUE MEASUREMENTS </w:t>
      </w:r>
      <w:r>
        <w:rPr>
          <w:rFonts w:ascii="Times New Roman" w:cs="Times New Roman" w:eastAsia="Times New Roman" w:hAnsi="Times New Roman"/>
          <w:sz w:val="16"/>
          <w:szCs w:val="16"/>
          <w:color w:val="auto"/>
        </w:rPr>
        <w:t>(cont.)</w:t>
      </w:r>
    </w:p>
    <w:p>
      <w:pPr>
        <w:spacing w:after="0" w:line="178"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4"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36195</wp:posOffset>
            </wp:positionV>
            <wp:extent cx="23006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73"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2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4"/>
        </w:trPr>
        <w:tc>
          <w:tcPr>
            <w:tcW w:w="268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9"/>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9"/>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7"/>
        </w:trPr>
        <w:tc>
          <w:tcPr>
            <w:tcW w:w="2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The fair values of the derivative liabilities were determined based on significant inputs not observable in the market, which represent Level 3 measurements within the fair value hierarchy.</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revalued the Series C warrants as of September 30, 2021, resulting in a change in fair value of $1.8 million and $2.7 million during the three and nine months ended September 30, 2021, respectively. This change in fair value was recorded as a component of other income (expense), net, in the accompanying condensed consolidated statements of operations and comprehensive loss.</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redeemable convertible preferred stock warrants using the Black-Scholes option-pricing model using the following assumptions: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624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40"/>
        </w:trPr>
        <w:tc>
          <w:tcPr>
            <w:tcW w:w="6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1.89</w:t>
            </w:r>
          </w:p>
        </w:tc>
      </w:tr>
    </w:tbl>
    <w:p>
      <w:pPr>
        <w:spacing w:after="0" w:line="20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Upon exercise in December 2021, the warrants were recorded as Series C Preferred Stock at their fair value of $5.8 million upon net share settlement.</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 and SCI June 2021 Note)</w:t>
      </w:r>
    </w:p>
    <w:p>
      <w:pPr>
        <w:spacing w:after="0" w:line="13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123"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determined the fair value of the SVB March 2021 Note and SCI June 2021 Note common stock warrants at issuance using the Black-Scholes option-pricing model using the following assumptions, respectively:</w:t>
      </w:r>
    </w:p>
    <w:p>
      <w:pPr>
        <w:spacing w:after="0" w:line="181"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1320" w:type="dxa"/>
            <w:vAlign w:val="bottom"/>
          </w:tcPr>
          <w:p>
            <w:pPr>
              <w:spacing w:after="0"/>
              <w:rPr>
                <w:sz w:val="18"/>
                <w:szCs w:val="18"/>
                <w:color w:val="auto"/>
              </w:rPr>
            </w:pPr>
          </w:p>
        </w:tc>
      </w:tr>
      <w:tr>
        <w:trPr>
          <w:trHeight w:val="44"/>
        </w:trPr>
        <w:tc>
          <w:tcPr>
            <w:tcW w:w="6160" w:type="dxa"/>
            <w:vAlign w:val="bottom"/>
            <w:tcBorders>
              <w:bottom w:val="single" w:sz="8" w:color="auto"/>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3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0"/>
        </w:trPr>
        <w:tc>
          <w:tcPr>
            <w:tcW w:w="6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FAIR VALUE MEASUREMENTS </w:t>
      </w:r>
      <w:r>
        <w:rPr>
          <w:rFonts w:ascii="Times New Roman" w:cs="Times New Roman" w:eastAsia="Times New Roman" w:hAnsi="Times New Roman"/>
          <w:sz w:val="16"/>
          <w:szCs w:val="16"/>
          <w:color w:val="auto"/>
        </w:rPr>
        <w:t>(cont.)</w:t>
      </w:r>
    </w:p>
    <w:p>
      <w:pPr>
        <w:spacing w:after="0" w:line="216"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1320" w:type="dxa"/>
            <w:vAlign w:val="bottom"/>
          </w:tcPr>
          <w:p>
            <w:pPr>
              <w:spacing w:after="0"/>
              <w:rPr>
                <w:sz w:val="18"/>
                <w:szCs w:val="18"/>
                <w:color w:val="auto"/>
              </w:rPr>
            </w:pPr>
          </w:p>
        </w:tc>
      </w:tr>
      <w:tr>
        <w:trPr>
          <w:trHeight w:val="44"/>
        </w:trPr>
        <w:tc>
          <w:tcPr>
            <w:tcW w:w="6160" w:type="dxa"/>
            <w:vAlign w:val="bottom"/>
            <w:tcBorders>
              <w:bottom w:val="single" w:sz="8" w:color="auto"/>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3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6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Upon the Closing of the Business Combination, all outstanding warrants associated with the SVB March 2021 Note and SCI June 2021 Note were exercised, leading to a net issuance of 673,416 shares of Class A Common Stock.</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Public and Private Common Stock Warrants</w:t>
      </w:r>
    </w:p>
    <w:p>
      <w:pPr>
        <w:spacing w:after="0" w:line="136"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$0.1 million.</w:t>
      </w:r>
    </w:p>
    <w:p>
      <w:pPr>
        <w:spacing w:after="0" w:line="94"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Following the Business Combination and as of September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50"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6240" w:type="dxa"/>
            <w:vAlign w:val="bottom"/>
          </w:tcPr>
          <w:p>
            <w:pPr>
              <w:spacing w:after="0"/>
              <w:rPr>
                <w:sz w:val="18"/>
                <w:szCs w:val="18"/>
                <w:color w:val="auto"/>
              </w:rPr>
            </w:pP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r>
      <w:tr>
        <w:trPr>
          <w:trHeight w:val="44"/>
        </w:trPr>
        <w:tc>
          <w:tcPr>
            <w:tcW w:w="62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0"/>
        </w:trPr>
        <w:tc>
          <w:tcPr>
            <w:tcW w:w="6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1"/>
        </w:trPr>
        <w:tc>
          <w:tcPr>
            <w:tcW w:w="6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5"/>
        </w:trPr>
        <w:tc>
          <w:tcPr>
            <w:tcW w:w="6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9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21"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FAIR VALUE MEASUREMENTS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fair value remeasurement of the embedded derivative for the three and nine months ended September 30, 2022 and 2021 (in thousands):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80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r>
      <w:tr>
        <w:trPr>
          <w:trHeight w:val="208"/>
        </w:trPr>
        <w:tc>
          <w:tcPr>
            <w:tcW w:w="2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80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44"/>
        </w:trPr>
        <w:tc>
          <w:tcPr>
            <w:tcW w:w="2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27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4"/>
        </w:trPr>
        <w:tc>
          <w:tcPr>
            <w:tcW w:w="27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72"/>
        </w:trPr>
        <w:tc>
          <w:tcPr>
            <w:tcW w:w="27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Remeasurement of conversion</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8"/>
        </w:trPr>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 – loss</w:t>
            </w: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  $</w:t>
            </w:r>
          </w:p>
        </w:tc>
        <w:tc>
          <w:tcPr>
            <w:tcW w:w="10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  $</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(1,090)</w:t>
            </w:r>
          </w:p>
        </w:tc>
      </w:tr>
      <w:tr>
        <w:trPr>
          <w:trHeight w:val="20"/>
        </w:trPr>
        <w:tc>
          <w:tcPr>
            <w:tcW w:w="2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tables set forth a summary of changes in fair value of the Company’s derivative liability and warrant liability for which fair value was determined by Level 3 inputs (in thousands):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0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3,470</w:t>
            </w:r>
          </w:p>
        </w:tc>
        <w:tc>
          <w:tcPr>
            <w:tcW w:w="24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Extinguishment of embedded derivative upon conversion of</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convertible note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gridSpan w:val="2"/>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during the nine months ended September 30, 2022. The Company had no other financial assets or liabilities that were required to be measured at fair value on a recurring basis.</w:t>
      </w:r>
    </w:p>
    <w:p>
      <w:pPr>
        <w:spacing w:after="0" w:line="178"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PREFERRED STOCK</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 summary of the Legacy SoundHound Preferred Stock authorized, issued and outstanding as of the date of the Business Combination is as follows:</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8"/>
        </w:trPr>
        <w:tc>
          <w:tcPr>
            <w:tcW w:w="26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Preference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4"/>
        </w:trPr>
        <w:tc>
          <w:tcPr>
            <w:tcW w:w="26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19,106,048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19,106,048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33,702,134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33,702,134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66,360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40"/>
        </w:trPr>
        <w:tc>
          <w:tcPr>
            <w:tcW w:w="2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5,687,525</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5,687,525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38,163</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4,436,090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4,436,090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89,298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r>
      <w:tr>
        <w:trPr>
          <w:trHeight w:val="40"/>
        </w:trPr>
        <w:tc>
          <w:tcPr>
            <w:tcW w:w="2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20,258,299</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20,258,299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527,992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8,418,535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8,418,535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277,812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r>
      <w:tr>
        <w:trPr>
          <w:trHeight w:val="40"/>
        </w:trPr>
        <w:tc>
          <w:tcPr>
            <w:tcW w:w="2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8,418,530</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8,418,530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277,811</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D-3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6,922,165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6,922,165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276,887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w:t>
            </w:r>
          </w:p>
        </w:tc>
      </w:tr>
      <w:tr>
        <w:trPr>
          <w:trHeight w:val="40"/>
        </w:trPr>
        <w:tc>
          <w:tcPr>
            <w:tcW w:w="2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20,835,869</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36"/>
        </w:trPr>
        <w:tc>
          <w:tcPr>
            <w:tcW w:w="26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127,785,195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106,949,326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1,582,562</w:t>
            </w:r>
          </w:p>
        </w:tc>
        <w:tc>
          <w:tcPr>
            <w:tcW w:w="2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r>
      <w:tr>
        <w:trPr>
          <w:trHeight w:val="20"/>
        </w:trPr>
        <w:tc>
          <w:tcPr>
            <w:tcW w:w="2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2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September 30, 2022.</w:t>
      </w:r>
    </w:p>
    <w:p>
      <w:pPr>
        <w:spacing w:after="0" w:line="189"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COMMON STOCK</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had 250,030,433 shares of Legacy SoundHound common stock authorized for issuance prior to the closing of the Business Combination.</w:t>
      </w:r>
    </w:p>
    <w:p>
      <w:pPr>
        <w:spacing w:after="0" w:line="91"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3" w:lineRule="exact"/>
        <w:rPr>
          <w:sz w:val="20"/>
          <w:szCs w:val="20"/>
          <w:color w:val="auto"/>
        </w:rPr>
      </w:pPr>
    </w:p>
    <w:p>
      <w:pPr>
        <w:jc w:val="both"/>
        <w:ind w:left="980" w:right="579" w:firstLine="6"/>
        <w:spacing w:after="0" w:line="245" w:lineRule="auto"/>
        <w:tabs>
          <w:tab w:leader="none" w:pos="12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23"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6"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STOCK INCENTIVE PLANS</w:t>
      </w:r>
    </w:p>
    <w:p>
      <w:pPr>
        <w:spacing w:after="0" w:line="110"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68"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112" w:lineRule="exact"/>
        <w:rPr>
          <w:sz w:val="20"/>
          <w:szCs w:val="20"/>
          <w:color w:val="auto"/>
        </w:rPr>
      </w:pPr>
    </w:p>
    <w:p>
      <w:pPr>
        <w:jc w:val="both"/>
        <w:ind w:left="980" w:right="579"/>
        <w:spacing w:after="0" w:line="279" w:lineRule="auto"/>
        <w:rPr>
          <w:sz w:val="20"/>
          <w:szCs w:val="20"/>
          <w:color w:val="auto"/>
        </w:rPr>
      </w:pPr>
      <w:r>
        <w:rPr>
          <w:rFonts w:ascii="Times New Roman" w:cs="Times New Roman" w:eastAsia="Times New Roman" w:hAnsi="Times New Roman"/>
          <w:sz w:val="16"/>
          <w:szCs w:val="16"/>
          <w:color w:val="auto"/>
        </w:rPr>
        <w:t>On April 26, 2022, the stockholders of the Company approved the SoundHound AI, Inc. 2022 Incentive Award Plan (the “2022 Incentive Plan”)(collectively,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September 30, 2022, the Company has 5,601,945 awards remaining for issuance.</w:t>
      </w:r>
    </w:p>
    <w:p>
      <w:pPr>
        <w:spacing w:after="0" w:line="76"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had not begun as of September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 xml:space="preserve">STOCK INCENTIVE PLANS </w:t>
      </w:r>
      <w:r>
        <w:rPr>
          <w:rFonts w:ascii="Times New Roman" w:cs="Times New Roman" w:eastAsia="Times New Roman" w:hAnsi="Times New Roman"/>
          <w:sz w:val="16"/>
          <w:szCs w:val="16"/>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Stock option activity under the Plans was as follows for the nine months ended September 30, 2022:</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0" w:type="dxa"/>
            <w:vAlign w:val="bottom"/>
          </w:tcPr>
          <w:p>
            <w:pPr>
              <w:spacing w:after="0"/>
              <w:rPr>
                <w:sz w:val="1"/>
                <w:szCs w:val="1"/>
                <w:color w:val="auto"/>
              </w:rPr>
            </w:pPr>
          </w:p>
        </w:tc>
      </w:tr>
      <w:tr>
        <w:trPr>
          <w:trHeight w:val="44"/>
        </w:trPr>
        <w:tc>
          <w:tcPr>
            <w:tcW w:w="26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30,361,405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391,619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(3,139,565)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0" w:type="dxa"/>
            <w:vAlign w:val="bottom"/>
          </w:tcPr>
          <w:p>
            <w:pPr>
              <w:spacing w:after="0"/>
              <w:rPr>
                <w:sz w:val="1"/>
                <w:szCs w:val="1"/>
                <w:color w:val="auto"/>
              </w:rPr>
            </w:pPr>
          </w:p>
        </w:tc>
      </w:tr>
      <w:tr>
        <w:trPr>
          <w:trHeight w:val="24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(663,656)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26,949,803</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September 30, 2022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line="20" w:lineRule="exact"/>
              <w:rPr>
                <w:sz w:val="1"/>
                <w:szCs w:val="1"/>
                <w:color w:val="auto"/>
              </w:rPr>
            </w:pPr>
          </w:p>
        </w:tc>
      </w:tr>
      <w:tr>
        <w:trPr>
          <w:trHeight w:val="218"/>
        </w:trPr>
        <w:tc>
          <w:tcPr>
            <w:tcW w:w="2640" w:type="dxa"/>
            <w:vAlign w:val="bottom"/>
            <w:vMerge w:val="continue"/>
          </w:tcPr>
          <w:p>
            <w:pPr>
              <w:spacing w:after="0"/>
              <w:rPr>
                <w:sz w:val="18"/>
                <w:szCs w:val="18"/>
                <w:color w:val="auto"/>
              </w:rPr>
            </w:pPr>
          </w:p>
        </w:tc>
        <w:tc>
          <w:tcPr>
            <w:tcW w:w="96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8"/>
                <w:szCs w:val="18"/>
                <w:color w:val="auto"/>
                <w:w w:val="96"/>
              </w:rPr>
              <w:t>18,698,462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Borders>
              <w:bottom w:val="single" w:sz="8" w:color="auto"/>
            </w:tcBorders>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 option activity under the Plans was as follows for the nine months ended September 30, 2021:</w:t>
      </w:r>
    </w:p>
    <w:p>
      <w:pPr>
        <w:spacing w:after="0" w:line="18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0" w:type="dxa"/>
            <w:vAlign w:val="bottom"/>
          </w:tcPr>
          <w:p>
            <w:pPr>
              <w:spacing w:after="0"/>
              <w:rPr>
                <w:sz w:val="1"/>
                <w:szCs w:val="1"/>
                <w:color w:val="auto"/>
              </w:rPr>
            </w:pPr>
          </w:p>
        </w:tc>
      </w:tr>
      <w:tr>
        <w:trPr>
          <w:trHeight w:val="44"/>
        </w:trPr>
        <w:tc>
          <w:tcPr>
            <w:tcW w:w="26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28,772,180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5,203,804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(2,178,412)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4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(1,801,023)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29,996,549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172,816</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September 30, 2021</w:t>
            </w: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119,390</w:t>
            </w:r>
          </w:p>
        </w:tc>
        <w:tc>
          <w:tcPr>
            <w:tcW w:w="0" w:type="dxa"/>
            <w:vAlign w:val="bottom"/>
          </w:tcPr>
          <w:p>
            <w:pPr>
              <w:spacing w:after="0" w:line="20" w:lineRule="exact"/>
              <w:rPr>
                <w:sz w:val="1"/>
                <w:szCs w:val="1"/>
                <w:color w:val="auto"/>
              </w:rPr>
            </w:pPr>
          </w:p>
        </w:tc>
      </w:tr>
      <w:tr>
        <w:trPr>
          <w:trHeight w:val="236"/>
        </w:trPr>
        <w:tc>
          <w:tcPr>
            <w:tcW w:w="2640" w:type="dxa"/>
            <w:vAlign w:val="bottom"/>
            <w:vMerge w:val="continue"/>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17,350,839</w:t>
            </w:r>
          </w:p>
        </w:tc>
        <w:tc>
          <w:tcPr>
            <w:tcW w:w="100" w:type="dxa"/>
            <w:vAlign w:val="bottom"/>
          </w:tcPr>
          <w:p>
            <w:pPr>
              <w:spacing w:after="0"/>
              <w:rPr>
                <w:sz w:val="20"/>
                <w:szCs w:val="20"/>
                <w:color w:val="auto"/>
              </w:rPr>
            </w:pP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24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nine months ended September 30, 2022 or year ended December 31, 2021 that were subject to repurchase.</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total fair value of options vested was approximately $3.8 million and $7.2 million during the three and nine months ended September 30, 2022, respectively, as compared to $0.9 million and $2.9 million for the three and nine months ended September 30, 2021, respectively.</w:t>
      </w:r>
    </w:p>
    <w:p>
      <w:pPr>
        <w:spacing w:after="0" w:line="10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 xml:space="preserve">STOCK INCENTIVE PLANS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during the nine-month periods ended September 30, 2022 and September 30, 2021 are as follows:</w:t>
      </w:r>
    </w:p>
    <w:p>
      <w:pPr>
        <w:spacing w:after="0" w:line="157"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5020" w:type="dxa"/>
            <w:vAlign w:val="bottom"/>
          </w:tcPr>
          <w:p>
            <w:pPr>
              <w:spacing w:after="0"/>
              <w:rPr>
                <w:sz w:val="18"/>
                <w:szCs w:val="18"/>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50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0"/>
        </w:trPr>
        <w:tc>
          <w:tcPr>
            <w:tcW w:w="5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6.01</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9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As of September 30, 2022, the unamortized expense related to outstanding options was $18.8 million. The weighted average remaining amortization period over which the balance as of September 30, 2022 is to be amortized is 2.54 years. No income tax benefit was recognized for this compensation expense in the condensed consolidated statements of operations and comprehensive loss, as the Company does not anticipate realizing any such benefit in the future.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Activity</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Restricted stock unit activity under the Plans was as follows for the nine months ended September 30, 2022:</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97"/>
        </w:trPr>
        <w:tc>
          <w:tcPr>
            <w:tcW w:w="5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97"/>
        </w:trPr>
        <w:tc>
          <w:tcPr>
            <w:tcW w:w="50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208"/>
        </w:trPr>
        <w:tc>
          <w:tcPr>
            <w:tcW w:w="50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44"/>
        </w:trPr>
        <w:tc>
          <w:tcPr>
            <w:tcW w:w="50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15,802,990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40"/>
        </w:trPr>
        <w:tc>
          <w:tcPr>
            <w:tcW w:w="5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(631,925)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(68,772)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7"/>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15,102,293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assessed an accounting grant date on June 2, 2022 for the issuance of 2,310,000 RSUs, 870,000 Performance-Based RSUs and 770,000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recorded stock-based compensation expense of $0.2 million related to Performance-Based RSUs during the three and nine months ended September 30, 2022. Unamortized expense related to Performance-Based RSUs was $7.3 million as of September 30, 2022.</w:t>
      </w:r>
    </w:p>
    <w:p>
      <w:pPr>
        <w:spacing w:after="0" w:line="11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assumptions under the Monte Carlo simulation model and the calculated fair value of the Market-</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Based RSUs granted to employees during the nine months ended September 30, 2022 were as follows:</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6240" w:type="dxa"/>
            <w:vAlign w:val="bottom"/>
          </w:tcPr>
          <w:p>
            <w:pPr>
              <w:spacing w:after="0"/>
              <w:rPr>
                <w:sz w:val="18"/>
                <w:szCs w:val="18"/>
                <w:color w:val="auto"/>
              </w:rPr>
            </w:pP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4"/>
        </w:trPr>
        <w:tc>
          <w:tcPr>
            <w:tcW w:w="6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w:t>
            </w:r>
          </w:p>
        </w:tc>
      </w:tr>
      <w:tr>
        <w:trPr>
          <w:trHeight w:val="40"/>
        </w:trPr>
        <w:tc>
          <w:tcPr>
            <w:tcW w:w="6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Drift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0"/>
        </w:trPr>
        <w:tc>
          <w:tcPr>
            <w:tcW w:w="62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 xml:space="preserve">STOCK INCENTIVE PLANS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weighted average grant date fair value of the Market-Based RSUs was $3.91. The Company recorded $0.6 million in stock-based compensation expense related to Market-Based RSUs during the three and nine months ended September 30, 2022. Unamortized expense related to Market-Based RSUs was $3.0 million as of September 30, 2022.</w:t>
      </w:r>
    </w:p>
    <w:p>
      <w:pPr>
        <w:spacing w:after="0" w:line="11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fair value of RSUs that vested was $2.7 million and $3.6 million, respectively. During the three and nine months ended September 30, 2022 the Company recorded $7.1 million and $11.6 million, respectively, of stock-based compensation related to RSUs. As of September 30, 2022, the unamortized expense related to RSUs was $56.8 million. The weighted average remaining amortization period over which the balance as of September 30, 2022 is to be amortized is 3.07 years. No income tax benefit was recognized for this compensation expense in the condensed consolidated statements of operations and comprehensive loss, as the Company does not anticipate realizing any such benefit in the future.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condensed consolidated statements of operations and comprehensive loss for the nine month period ended September 30, 2022.</w:t>
      </w:r>
    </w:p>
    <w:p>
      <w:pPr>
        <w:spacing w:after="0" w:line="112"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During the three and nine months ended September 30, 2022, the Company’s stock compensation expense was $9.2 million and $19.5 million, respectively, as compared to $1.3 million and $4.0 million for the three and nine months ended September 30, 2021, respectively. Stock-based compensation is classified in the following operating expense accounts on the condensed consolidated statements of operations and comprehensive loss for the three and nine months ended September 30, 2022 and 2021 (in thousands):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2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2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2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6"/>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77"/>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40"/>
        </w:trPr>
        <w:tc>
          <w:tcPr>
            <w:tcW w:w="2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9,011</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4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8,548</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26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19,500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were as follows as of September 30, 2022:</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4"/>
        </w:trPr>
        <w:tc>
          <w:tcPr>
            <w:tcW w:w="20" w:type="dxa"/>
            <w:vAlign w:val="bottom"/>
            <w:tcBorders>
              <w:bottom w:val="single" w:sz="8" w:color="CCEEFF"/>
            </w:tcBorders>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(1,130)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The components of lease cost were as follows (in thousands):</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442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9"/>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5"/>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790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6"/>
              </w:rPr>
              <w:t>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6"/>
              </w:rPr>
              <w:t>321</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6"/>
              </w:rPr>
              <w:t>623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6"/>
              </w:rPr>
              <w:t>946</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209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our leases as of September 30, 2022:</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8"/>
        </w:trPr>
        <w:tc>
          <w:tcPr>
            <w:tcW w:w="50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4"/>
        </w:trPr>
        <w:tc>
          <w:tcPr>
            <w:tcW w:w="50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1.96</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4"/>
              </w:rPr>
              <w:t>5.92%</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bl>
    <w:p>
      <w:pPr>
        <w:spacing w:after="0" w:line="19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Company’s total rent expense for the three and nine months ended September 30, 2022 was $1.0 million and $2.9 million, respectively. The Company’s total rent expense for the three and nine months ended September 30, 2021 was $0.9 million and $2.9 million, respectively.</w:t>
      </w:r>
    </w:p>
    <w:p>
      <w:pPr>
        <w:spacing w:after="0" w:line="17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OTHER INCOME (EXPENSE), NET</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Other income (expense), net on the condensed consolidated statements of operations and comprehensive loss is comprised of the following for the three and nine months ended September 30, 2022 and 2021 (in thousands):</w:t>
      </w:r>
    </w:p>
    <w:p>
      <w:pPr>
        <w:spacing w:after="0" w:line="144"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200" w:type="dxa"/>
            <w:vAlign w:val="bottom"/>
          </w:tcPr>
          <w:p>
            <w:pPr>
              <w:spacing w:after="0"/>
              <w:rPr>
                <w:sz w:val="17"/>
                <w:szCs w:val="17"/>
                <w:color w:val="auto"/>
              </w:rPr>
            </w:pPr>
          </w:p>
        </w:tc>
        <w:tc>
          <w:tcPr>
            <w:tcW w:w="1820" w:type="dxa"/>
            <w:vAlign w:val="bottom"/>
            <w:gridSpan w:val="6"/>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00" w:type="dxa"/>
            <w:vAlign w:val="bottom"/>
          </w:tcPr>
          <w:p>
            <w:pPr>
              <w:spacing w:after="0"/>
              <w:rPr>
                <w:sz w:val="18"/>
                <w:szCs w:val="18"/>
                <w:color w:val="auto"/>
              </w:rPr>
            </w:pPr>
          </w:p>
        </w:tc>
        <w:tc>
          <w:tcPr>
            <w:tcW w:w="1820" w:type="dxa"/>
            <w:vAlign w:val="bottom"/>
            <w:gridSpan w:val="6"/>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34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4"/>
        </w:trPr>
        <w:tc>
          <w:tcPr>
            <w:tcW w:w="34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w:t>
            </w:r>
          </w:p>
        </w:tc>
      </w:tr>
      <w:tr>
        <w:trPr>
          <w:trHeight w:val="40"/>
        </w:trPr>
        <w:tc>
          <w:tcPr>
            <w:tcW w:w="3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2"/>
        </w:trPr>
        <w:tc>
          <w:tcPr>
            <w:tcW w:w="346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Change in fair value of derivative and</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8"/>
        </w:trPr>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(3,792)</w:t>
            </w:r>
          </w:p>
        </w:tc>
      </w:tr>
      <w:tr>
        <w:trPr>
          <w:trHeight w:val="249"/>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(494)</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6"/>
        </w:trPr>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NET LOSS PER SHARE</w:t>
      </w:r>
    </w:p>
    <w:p>
      <w:pPr>
        <w:spacing w:after="0" w:line="149"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 and nine months ended September 30, 2022 and 2021:</w:t>
      </w:r>
    </w:p>
    <w:p>
      <w:pPr>
        <w:sectPr>
          <w:pgSz w:w="11900" w:h="16838" w:orient="portrait"/>
          <w:cols w:equalWidth="0" w:num="1">
            <w:col w:w="9019"/>
          </w:cols>
          <w:pgMar w:left="1440" w:top="3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Numerator:</w:t>
      </w:r>
    </w:p>
    <w:p>
      <w:pPr>
        <w:spacing w:after="0" w:line="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Net loss (in thousands)</w:t>
      </w:r>
    </w:p>
    <w:p>
      <w:pPr>
        <w:spacing w:after="0" w:line="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Denominator:</w:t>
      </w:r>
    </w:p>
    <w:p>
      <w:pPr>
        <w:spacing w:after="0" w:line="42" w:lineRule="exact"/>
        <w:rPr>
          <w:sz w:val="20"/>
          <w:szCs w:val="20"/>
          <w:color w:val="auto"/>
        </w:rPr>
      </w:pPr>
    </w:p>
    <w:p>
      <w:pPr>
        <w:ind w:left="1100" w:hanging="218"/>
        <w:spacing w:after="0" w:line="267" w:lineRule="auto"/>
        <w:rPr>
          <w:sz w:val="20"/>
          <w:szCs w:val="20"/>
          <w:color w:val="auto"/>
        </w:rPr>
      </w:pPr>
      <w:r>
        <w:rPr>
          <w:rFonts w:ascii="Times New Roman" w:cs="Times New Roman" w:eastAsia="Times New Roman" w:hAnsi="Times New Roman"/>
          <w:sz w:val="18"/>
          <w:szCs w:val="18"/>
          <w:color w:val="auto"/>
        </w:rPr>
        <w:t>Weighted average shares outstanding – basic and dilutive</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20" w:type="dxa"/>
            <w:vAlign w:val="bottom"/>
          </w:tcPr>
          <w:p>
            <w:pPr>
              <w:spacing w:after="0"/>
              <w:rPr>
                <w:sz w:val="17"/>
                <w:szCs w:val="17"/>
                <w:color w:val="auto"/>
              </w:rPr>
            </w:pPr>
          </w:p>
        </w:tc>
        <w:tc>
          <w:tcPr>
            <w:tcW w:w="224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180" w:type="dxa"/>
            <w:vAlign w:val="bottom"/>
            <w:gridSpan w:val="6"/>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120" w:type="dxa"/>
            <w:vAlign w:val="bottom"/>
          </w:tcPr>
          <w:p>
            <w:pPr>
              <w:spacing w:after="0"/>
              <w:rPr>
                <w:sz w:val="18"/>
                <w:szCs w:val="18"/>
                <w:color w:val="auto"/>
              </w:rPr>
            </w:pPr>
          </w:p>
        </w:tc>
        <w:tc>
          <w:tcPr>
            <w:tcW w:w="2240" w:type="dxa"/>
            <w:vAlign w:val="bottom"/>
            <w:gridSpan w:val="7"/>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2180" w:type="dxa"/>
            <w:vAlign w:val="bottom"/>
            <w:gridSpan w:val="6"/>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12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4"/>
        </w:trPr>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r>
      <w:tr>
        <w:trPr>
          <w:trHeight w:val="50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(57,693)</w:t>
            </w:r>
          </w:p>
        </w:tc>
      </w:tr>
      <w:tr>
        <w:trPr>
          <w:trHeight w:val="748"/>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197,006,980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96"/>
              </w:rPr>
              <w:t>67,718,940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143,338,517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67,021,176</w:t>
            </w:r>
          </w:p>
        </w:tc>
        <w:tc>
          <w:tcPr>
            <w:tcW w:w="12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36"/>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-1016635</wp:posOffset>
            </wp:positionV>
            <wp:extent cx="4801870" cy="183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01870" cy="183515"/>
                    </a:xfrm>
                    <a:prstGeom prst="rect">
                      <a:avLst/>
                    </a:prstGeom>
                    <a:noFill/>
                  </pic:spPr>
                </pic:pic>
              </a:graphicData>
            </a:graphic>
          </wp:anchor>
        </w:drawing>
        <w:drawing>
          <wp:anchor simplePos="0" relativeHeight="251657728" behindDoc="1" locked="0" layoutInCell="0" allowOverlap="1">
            <wp:simplePos x="0" y="0"/>
            <wp:positionH relativeFrom="column">
              <wp:posOffset>-1852930</wp:posOffset>
            </wp:positionH>
            <wp:positionV relativeFrom="paragraph">
              <wp:posOffset>-657860</wp:posOffset>
            </wp:positionV>
            <wp:extent cx="4801870" cy="1752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01870" cy="175260"/>
                    </a:xfrm>
                    <a:prstGeom prst="rect">
                      <a:avLst/>
                    </a:prstGeom>
                    <a:noFill/>
                  </pic:spPr>
                </pic:pic>
              </a:graphicData>
            </a:graphic>
          </wp:anchor>
        </w:drawing>
        <w:drawing>
          <wp:anchor simplePos="0" relativeHeight="251657728" behindDoc="1" locked="0" layoutInCell="0" allowOverlap="1">
            <wp:simplePos x="0" y="0"/>
            <wp:positionH relativeFrom="column">
              <wp:posOffset>-1852930</wp:posOffset>
            </wp:positionH>
            <wp:positionV relativeFrom="paragraph">
              <wp:posOffset>-191135</wp:posOffset>
            </wp:positionV>
            <wp:extent cx="4801870" cy="1752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01870" cy="17526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600" w:space="200"/>
            <w:col w:w="5219"/>
          </w:cols>
          <w:pgMar w:left="1440" w:top="329" w:right="1440" w:bottom="1440" w:gutter="0" w:footer="0" w:header="0"/>
          <w:type w:val="continuous"/>
        </w:sectPr>
      </w:pPr>
    </w:p>
    <w:p>
      <w:pPr>
        <w:jc w:val="both"/>
        <w:ind w:left="980" w:right="579"/>
        <w:spacing w:after="0" w:line="331" w:lineRule="auto"/>
        <w:rPr>
          <w:sz w:val="20"/>
          <w:szCs w:val="20"/>
          <w:color w:val="auto"/>
        </w:rPr>
      </w:pPr>
      <w:r>
        <w:rPr>
          <w:rFonts w:ascii="Times New Roman" w:cs="Times New Roman" w:eastAsia="Times New Roman" w:hAnsi="Times New Roman"/>
          <w:sz w:val="16"/>
          <w:szCs w:val="16"/>
          <w:color w:val="auto"/>
        </w:rPr>
        <w:t>For the three and nine months ended September 30, 2022 and 2021, the diluted earnings per share is equal to the basic earnings per share as the effect of potentially dilutive securities would have been antidilutive.</w:t>
      </w:r>
    </w:p>
    <w:p>
      <w:pPr>
        <w:spacing w:after="0" w:line="57"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2022 and 2021:</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5"/>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44"/>
        </w:trPr>
        <w:tc>
          <w:tcPr>
            <w:tcW w:w="4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4"/>
        </w:trPr>
        <w:tc>
          <w:tcPr>
            <w:tcW w:w="400" w:type="dxa"/>
            <w:vAlign w:val="bottom"/>
          </w:tcPr>
          <w:p>
            <w:pPr>
              <w:spacing w:after="0"/>
              <w:rPr>
                <w:sz w:val="3"/>
                <w:szCs w:val="3"/>
                <w:color w:val="auto"/>
              </w:rPr>
            </w:pPr>
          </w:p>
        </w:tc>
        <w:tc>
          <w:tcPr>
            <w:tcW w:w="32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26,949,803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29,996,549</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15,102,293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745,235</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3,665,996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1,063,214</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40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106,303,970</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45,718,092</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138,108,968</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INCOME TAXES</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6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0" w:type="dxa"/>
            <w:vAlign w:val="bottom"/>
          </w:tcPr>
          <w:p>
            <w:pPr>
              <w:spacing w:after="0"/>
              <w:rPr>
                <w:sz w:val="24"/>
                <w:szCs w:val="24"/>
                <w:color w:val="auto"/>
              </w:rPr>
            </w:pPr>
          </w:p>
        </w:tc>
        <w:tc>
          <w:tcPr>
            <w:tcW w:w="5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tax expense and the effective tax rate were as follows (in thousands):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12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140" w:type="dxa"/>
            <w:vAlign w:val="bottom"/>
            <w:gridSpan w:val="5"/>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140" w:type="dxa"/>
            <w:vAlign w:val="bottom"/>
            <w:gridSpan w:val="5"/>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4"/>
        </w:trPr>
        <w:tc>
          <w:tcPr>
            <w:tcW w:w="4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4"/>
        </w:trPr>
        <w:tc>
          <w:tcPr>
            <w:tcW w:w="362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0" w:type="dxa"/>
            <w:vAlign w:val="bottom"/>
            <w:tcBorders>
              <w:right w:val="single" w:sz="8" w:color="CCEEFF"/>
            </w:tcBorders>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  (28,058)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(83,088)</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(56,293)</w:t>
            </w:r>
          </w:p>
        </w:tc>
        <w:tc>
          <w:tcPr>
            <w:tcW w:w="0" w:type="dxa"/>
            <w:vAlign w:val="bottom"/>
          </w:tcPr>
          <w:p>
            <w:pPr>
              <w:spacing w:after="0"/>
              <w:rPr>
                <w:sz w:val="1"/>
                <w:szCs w:val="1"/>
                <w:color w:val="auto"/>
              </w:rPr>
            </w:pPr>
          </w:p>
        </w:tc>
      </w:tr>
      <w:tr>
        <w:trPr>
          <w:trHeight w:val="236"/>
        </w:trPr>
        <w:tc>
          <w:tcPr>
            <w:tcW w:w="3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40"/>
        </w:trPr>
        <w:tc>
          <w:tcPr>
            <w:tcW w:w="362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400" w:type="dxa"/>
            <w:vAlign w:val="bottom"/>
            <w:tcBorders>
              <w:right w:val="single" w:sz="8" w:color="CCEEFF"/>
            </w:tcBorders>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40"/>
        </w:trPr>
        <w:tc>
          <w:tcPr>
            <w:tcW w:w="400" w:type="dxa"/>
            <w:vAlign w:val="bottom"/>
            <w:tcBorders>
              <w:right w:val="single" w:sz="8" w:color="CCEEFF"/>
            </w:tcBorders>
          </w:tcPr>
          <w:p>
            <w:pPr>
              <w:spacing w:after="0"/>
              <w:rPr>
                <w:sz w:val="3"/>
                <w:szCs w:val="3"/>
                <w:color w:val="auto"/>
              </w:rPr>
            </w:pPr>
          </w:p>
        </w:tc>
        <w:tc>
          <w:tcPr>
            <w:tcW w:w="3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7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RELATED PARTY TRANSACTIONS</w:t>
      </w:r>
    </w:p>
    <w:p>
      <w:pPr>
        <w:spacing w:after="0" w:line="136"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 xml:space="preserve">RELATED PARTY TRANSACTIONS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93" w:lineRule="auto"/>
        <w:rPr>
          <w:sz w:val="20"/>
          <w:szCs w:val="20"/>
          <w:color w:val="auto"/>
        </w:rPr>
      </w:pPr>
      <w:r>
        <w:rPr>
          <w:rFonts w:ascii="Times New Roman" w:cs="Times New Roman" w:eastAsia="Times New Roman" w:hAnsi="Times New Roman"/>
          <w:sz w:val="16"/>
          <w:szCs w:val="16"/>
          <w:color w:val="auto"/>
        </w:rPr>
        <w:t>During the six months ended June 30, 2022, we recognized revenue from the companies of $5.2 million. During the three and nine months ended September 30, 2021, we recognized revenue from the companies of $1.6 million and $5.2 million, respectively. As of December 31, 2021, we had accounts receivable and deferred revenue balances related to the companies of $0.6 million and $15.2 million, respectively.</w:t>
      </w:r>
    </w:p>
    <w:p>
      <w:pPr>
        <w:spacing w:after="0" w:line="15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6"/>
          <w:szCs w:val="16"/>
          <w:b w:val="1"/>
          <w:bCs w:val="1"/>
          <w:color w:val="auto"/>
        </w:rPr>
        <w:t>SUBSEQUENT EVENT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As of November 14, 2022, the Company’s Registration Statement on Form S-1 registering the resale of the ELOC Shares had not yet been declared effective. If declared effective and certain other conditions are met permitting the Commencement (as defined in the Common Stock Purchase Agreement) of the offering, the Company expects to utilize proceeds from the ELOC for working capital and other general corporate purposes.</w:t>
      </w:r>
    </w:p>
    <w:p>
      <w:pPr>
        <w:spacing w:after="0" w:line="131"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After the Commencement, the Company will have the right from time to time at its sole discretion until the first day of the month next following the 36-month period from and after the Commencement, to direct CFPI to purchase up to a specified maximum amount of shares of Class A common stock as set forth in the Common Stock Purchase Agreement by delivering written notice to CFPI prior to the commencement of trading on any trading day. The Company will control the timing and amount of any sales of the Class A common stock to CFPI. Actual sales of shares to CFPI under the Common Stock Purchase Agreement will depend on a variety of factors to be determined by the Company from time to time, including, among other things, market conditions, and the trading price of the Common Stock.</w:t>
      </w:r>
    </w:p>
    <w:p>
      <w:pPr>
        <w:spacing w:after="0" w:line="108"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21" w:lineRule="exact"/>
        <w:rPr>
          <w:sz w:val="20"/>
          <w:szCs w:val="20"/>
          <w:color w:val="auto"/>
        </w:rPr>
      </w:pPr>
    </w:p>
    <w:p>
      <w:pPr>
        <w:jc w:val="both"/>
        <w:ind w:left="980" w:right="579"/>
        <w:spacing w:after="0" w:line="243" w:lineRule="auto"/>
        <w:rPr>
          <w:sz w:val="20"/>
          <w:szCs w:val="20"/>
          <w:color w:val="auto"/>
        </w:rPr>
      </w:pPr>
      <w:r>
        <w:rPr>
          <w:rFonts w:ascii="Times New Roman" w:cs="Times New Roman" w:eastAsia="Times New Roman" w:hAnsi="Times New Roman"/>
          <w:sz w:val="18"/>
          <w:szCs w:val="18"/>
          <w:color w:val="auto"/>
        </w:rPr>
        <w:t>In connection with the execution of the Common Stock Purchase Agreement, the Company issued CFPI 250,000 shares (the “Commitment Shares”) as consideration for its irrevocable commitment to purchase the shares upon the terms and subject to the satisfaction of the conditions set forth in the Common Stock Purchase Agreement. Pursuant to a separate side letter agreement between the Company and CFPI, the Company and CFPI have agreed that if the net proceeds with respect to Commitment Shares either sold by CFPI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day after Commencement, subject to an extension under certain circumstances (the “True-Up Date”), or held by CFPI on the True-Up Date (based on the closing price of the Class A common stock on the Nasdaq Global Market on the trading day immediately prior to the True-Up Date), in the aggregate, are less than $1.0 million, the Company will pay to CFPI the difference between $1.0 million and the applicable net proceeds. Alternatively, in the event that such net proceeds exceed $1.0 million, CFPI will pay to the Company the difference between the applicable net proceeds and $1.0 million.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7" w:name="page138"/>
    <w:bookmarkEnd w:id="137"/>
    <w:p>
      <w:pPr>
        <w:ind w:left="7660"/>
        <w:spacing w:after="0"/>
        <w:rPr>
          <w:sz w:val="20"/>
          <w:szCs w:val="20"/>
          <w:color w:val="auto"/>
        </w:rPr>
      </w:pPr>
      <w:r>
        <w:rPr>
          <w:rFonts w:ascii="Times New Roman" w:cs="Times New Roman" w:eastAsia="Times New Roman" w:hAnsi="Times New Roman"/>
          <w:sz w:val="16"/>
          <w:szCs w:val="16"/>
          <w:b w:val="1"/>
          <w:bCs w:val="1"/>
          <w:color w:val="auto"/>
        </w:rPr>
        <w:t>ANNEX B</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11" w:lineRule="exact"/>
        <w:rPr>
          <w:sz w:val="20"/>
          <w:szCs w:val="20"/>
          <w:color w:val="auto"/>
        </w:rPr>
      </w:pPr>
    </w:p>
    <w:p>
      <w:pPr>
        <w:jc w:val="both"/>
        <w:ind w:left="560" w:right="579"/>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Defined terms included below have the same meaning as terms defined and included elsewhere in this Form 8-K and, if not defined in the Form 8-K, the Proxy Statement/Prospectus.</w:t>
      </w:r>
    </w:p>
    <w:p>
      <w:pPr>
        <w:spacing w:after="0" w:line="8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and is for informational purposes only. The combined financial information presents the pro forma effects of the following transactions, collectively referred to as the “Transactions” for purposes of this section, and certain other related events as described in Note 1 to the accompanying Notes to the unaudited pro forma condensed combined financial information:</w:t>
      </w:r>
    </w:p>
    <w:p>
      <w:pPr>
        <w:spacing w:after="0" w:line="121" w:lineRule="exact"/>
        <w:rPr>
          <w:sz w:val="20"/>
          <w:szCs w:val="20"/>
          <w:color w:val="auto"/>
        </w:rPr>
      </w:pPr>
    </w:p>
    <w:p>
      <w:pPr>
        <w:jc w:val="both"/>
        <w:ind w:left="1400" w:right="579" w:hanging="414"/>
        <w:spacing w:after="0" w:line="255" w:lineRule="auto"/>
        <w:tabs>
          <w:tab w:leader="none" w:pos="13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recapitalization of SoundHound, Inc. (“SoundHound”), referred to herein as the “Business Combination,” and the issuance of Archimedes Tech SPAC Partners Co. (“ATSP”) common stock in the PIPE Investment.</w:t>
      </w:r>
    </w:p>
    <w:p>
      <w:pPr>
        <w:spacing w:after="0" w:line="115"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As contemplated by the Merger Agreement, dated as of November 15, 2021 (the “Merger Agreement”), by and among ATSP, ATSPC Merger Sub, Inc. (“Merger Sub”), and SoundHound, upon the closing (the “Closing”) of the transactions, Merger Sub would merge with and into SoundHound, with SoundHound surviving the merger as a wholly owned subsidiary of ATSP. In addition, in connection with the consummation of the Business Combination, ATSP will be renamed “SoundHound AI, Inc” (“SoundHound AI”).</w:t>
      </w:r>
    </w:p>
    <w:p>
      <w:pPr>
        <w:spacing w:after="0" w:line="78"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SoundHound AI as of December 31, 2021 combines the historical audited balance sheet of SoundHound as of December 31, 2021 and the historical audited balance sheet of ATSP as of December 31, 2021, adjusted to give pro forma effect to the Business Combination, the PIPE Investment, and certain other related events related to the Business Combination between SoundHound and ATSP, in each case, as if the Business Combination, the PIPE Investment, and certain other related events had been consummated on December 31, 2021.</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SoundHound AI for the year ended December 31, 2021 combines the historical audited statement of operations of SoundHound for the year ended December 31, 2021, and the historical audited statement of operations of ATSP for the year ended December 31, 2021, on a pro forma basis as if the Business Combination, the PIPE Investment, and certain other related events, as discussed below, related to the Business Combination between SoundHound and ATSP, in each case, had been consummated on January 1, 2021.</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the following, which are included elsewhere in this Report:</w:t>
      </w:r>
    </w:p>
    <w:p>
      <w:pPr>
        <w:spacing w:after="0" w:line="91" w:lineRule="exact"/>
        <w:rPr>
          <w:sz w:val="20"/>
          <w:szCs w:val="20"/>
          <w:color w:val="auto"/>
        </w:rPr>
      </w:pPr>
    </w:p>
    <w:p>
      <w:pPr>
        <w:ind w:left="1400" w:hanging="414"/>
        <w:spacing w:after="0"/>
        <w:tabs>
          <w:tab w:leader="none" w:pos="1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47"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historical audited financial statements of ATSP as of and for the year ended December 31, 2021 included in ATSP’s Annual Report on </w:t>
      </w:r>
      <w:hyperlink r:id="rId17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9, 2022 incorporated herein by reference;</w:t>
      </w:r>
    </w:p>
    <w:p>
      <w:pPr>
        <w:spacing w:after="0" w:line="114"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SoundHound as of and for the year ended December 31, 2021, which are included as exhibits to this Report; and</w:t>
      </w:r>
    </w:p>
    <w:p>
      <w:pPr>
        <w:spacing w:after="0" w:line="90"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related to ATSP and SoundHound included in this Report or incorporated herein by reference, including the Merger Agreement and the description of certain terms thereof set forth under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unaudited pro forma combined financial information should also be read together with “ATSP’s Management’s Discussion and Analysis of Financial Condition and Results of Operations”, “SoundHound’s Management’s Discussion and Analysis of Financial Condition and Results of Operations”, and other financial information included elsewhere in this Report.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5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November 15, 2021, ATSP, SoundHound and Merger Sub, entered into the Merger Agreement. The Business Combination was completed on April 26, 2022.</w:t>
      </w:r>
    </w:p>
    <w:p>
      <w:pPr>
        <w:spacing w:after="0" w:line="9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Concurrently with the execution of the Merger Agreement, ATSP entered into Subscription Agreements (the “Subscription Agreements”) with certain investors (the “PIPE Investors”), pursuant to which the PIPE Investors agreed to subscribe for and purchase, and ATSP agreed to issue and sell to the PIPE Investors, an aggregate of 11,100,000 shares of SoundHound AI common stock at a price of $10.00 per share, for aggregate gross proceeds of $111,000,000 (the “PIPE Investment”).</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9, 2022, ATSP entered into a subscription agreement (the “New Subscription Agreement”) with an accredited investor (the “New Subscriber”) pursuant to which the New Subscriber agreed to purchase, and ATSP has agreed to sell, 200,000 shares of SoundHound AI Class A common stock, par value $0.0001 per share, at a purchase price of $10.00 per share for gross proceeds of $2,000,000. With the New Subscription Agreement, the PIPE Investment increased to an aggregate of 11,300,000 shares of Class A common stock and aggregate gross proceeds of $113,000,000.</w:t>
      </w:r>
    </w:p>
    <w:p>
      <w:pPr>
        <w:spacing w:after="0" w:line="121" w:lineRule="exact"/>
        <w:rPr>
          <w:sz w:val="20"/>
          <w:szCs w:val="20"/>
          <w:color w:val="auto"/>
        </w:rPr>
      </w:pPr>
    </w:p>
    <w:p>
      <w:pPr>
        <w:jc w:val="both"/>
        <w:ind w:left="560" w:right="579" w:firstLine="420"/>
        <w:spacing w:after="0" w:line="244" w:lineRule="auto"/>
        <w:rPr>
          <w:sz w:val="20"/>
          <w:szCs w:val="20"/>
          <w:color w:val="auto"/>
        </w:rPr>
      </w:pPr>
      <w:r>
        <w:rPr>
          <w:rFonts w:ascii="Times New Roman" w:cs="Times New Roman" w:eastAsia="Times New Roman" w:hAnsi="Times New Roman"/>
          <w:sz w:val="18"/>
          <w:szCs w:val="18"/>
          <w:color w:val="auto"/>
        </w:rPr>
        <w:t>In connection with the Business Combination, (i) each share of SoundHound capital stock that is owned by ATSP, Merger Sub, or SoundHound immediately prior to the Effective Time will automatically be cancelled and retired without any conversion or consideration, (ii) each issued and outstanding share of SoundHound’s preferred stock will be converted into shares of SoundHound AI common stock, (iii) each share of SoundHound common stock issued and outstanding immediately prior to the Effective Time (other than any such shares of SoundHound capital stock cancelled as described above and any dissenting shares) will be converted into the right to receive a number of shares of SoundHound AI Class A common stock, (iv) if any shares of SoundHound Class B common stock are issued and outstanding, each such share of SoundHound Class B common stock issued and outstanding immediately prior to the Effective Time (other than any such shares of SoundHound common stock cancelled pursuant to above and any dissenting shares) will be converted into the right to receive a number of shares of SoundHound AI Class A common stock, (v) each outstanding option to purchase shares of SoundHound common stock will be converted into an option to purchase shares of SoundHound AI Class A common stock, (vi) each outstanding warrant to purchase shares of SoundHound common stock immediately prior to the Effective Time shall be automatically converted into a warrant to purchase, subject to substantially the same terms and conditions as were applicable under such warrants prior to the Effective Time, shares of SoundHound AI Class A common stock, (vii) any outstanding restricted shares of SoundHound common stock that have not vested as of the Business Combination will have the same continuing vesting periods apply to the Merger Consideration Shares (as defined in the Merger Agreement) issued in exchange for such restricted shares and (viii) each outstanding SoundHound RSU shall be converted into an SoundHound AI RSU, subject to substantially the same terms and conditions as the original SoundHound RSU. Additionally, at the Closing, the SNAP June 2020 Note will convert, in accordance with its terms, into shares of SoundHound Class A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SoundHound</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2"/>
              </w:rPr>
              <w:t>ATSP</w:t>
            </w:r>
          </w:p>
        </w:tc>
        <w:tc>
          <w:tcPr>
            <w:tcW w:w="120" w:type="dxa"/>
            <w:vAlign w:val="bottom"/>
          </w:tcPr>
          <w:p>
            <w:pPr>
              <w:spacing w:after="0"/>
              <w:rPr>
                <w:sz w:val="17"/>
                <w:szCs w:val="17"/>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120" w:type="dxa"/>
            <w:vAlign w:val="bottom"/>
          </w:tcPr>
          <w:p>
            <w:pPr>
              <w:spacing w:after="0"/>
              <w:rPr>
                <w:sz w:val="18"/>
                <w:szCs w:val="18"/>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4"/>
        </w:trPr>
        <w:tc>
          <w:tcPr>
            <w:tcW w:w="27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113,000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133,011</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(B)</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(250)</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(C)</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(24,376)</w:t>
            </w:r>
          </w:p>
        </w:tc>
        <w:tc>
          <w:tcPr>
            <w:tcW w:w="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(D)</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(127,680)</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(G)</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966</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4"/>
              </w:rPr>
              <w:t>(J)</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(460)</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(J)</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9"/>
              </w:rPr>
              <w:t>Accounts receivable, net of allowance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$109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40"/>
        </w:trPr>
        <w:tc>
          <w:tcPr>
            <w:tcW w:w="27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9"/>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27,471</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94,211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122,015</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non current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(J)</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Marketable securities held in Trust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133,011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(133,011)</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(B)</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40"/>
        </w:trPr>
        <w:tc>
          <w:tcPr>
            <w:tcW w:w="27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49"/>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(1,264)</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49,203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133,344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(40,570</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SoundHound</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2"/>
              </w:rPr>
              <w:t>ATSP</w:t>
            </w:r>
          </w:p>
        </w:tc>
        <w:tc>
          <w:tcPr>
            <w:tcW w:w="120" w:type="dxa"/>
            <w:vAlign w:val="bottom"/>
          </w:tcPr>
          <w:p>
            <w:pPr>
              <w:spacing w:after="0"/>
              <w:rPr>
                <w:sz w:val="17"/>
                <w:szCs w:val="17"/>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120" w:type="dxa"/>
            <w:vAlign w:val="bottom"/>
          </w:tcPr>
          <w:p>
            <w:pPr>
              <w:spacing w:after="0"/>
              <w:rPr>
                <w:sz w:val="18"/>
                <w:szCs w:val="18"/>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(248)</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(1,136)</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6,162</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Financing lease liabilities, current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portion</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liability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29,868</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(15,000)</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(14,343)</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(3,488)</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(29,964)</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87,739</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Operating lease liabilities, net of</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Financing lease liabilities, net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Deferred revenue, net of current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portion</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(248)</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29,964</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Convertible notes, net of current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15,000</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112,937</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(19,465</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93,970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SoundHound</w:t>
            </w:r>
          </w:p>
        </w:tc>
        <w:tc>
          <w:tcPr>
            <w:tcW w:w="100" w:type="dxa"/>
            <w:vAlign w:val="bottom"/>
          </w:tcPr>
          <w:p>
            <w:pPr>
              <w:spacing w:after="0"/>
              <w:rPr>
                <w:sz w:val="17"/>
                <w:szCs w:val="17"/>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ATSP</w:t>
            </w:r>
          </w:p>
        </w:tc>
        <w:tc>
          <w:tcPr>
            <w:tcW w:w="8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5"/>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13,300,000 shares at redemption value</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133,011</w:t>
            </w: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(127,680)</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(G)</w:t>
            </w: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(5,331)</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(H)</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$0.0001 par value; 26,316,129 shares</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19,248,537 shares issued and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liquidation preference of</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$284,826</w:t>
            </w: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279,503</w:t>
            </w:r>
          </w:p>
        </w:tc>
        <w:tc>
          <w:tcPr>
            <w:tcW w:w="10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(279,503)</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ATSP preferred stock, $0.0001 par value;</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1,000,000 shares authorized; none issued and</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ATSP common stock, $0.0001 par value;</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100,000,000 shares authorized; 4,161,000</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(excluding</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13,300,000 shares subject to possible</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60" w:type="dxa"/>
            <w:vAlign w:val="bottom"/>
          </w:tcPr>
          <w:p>
            <w:pPr>
              <w:spacing w:after="0"/>
              <w:rPr>
                <w:sz w:val="19"/>
                <w:szCs w:val="19"/>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SoundHound AI Class A common stock,</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$0.0001 par value; 455,000,000 shares</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authorized; 156,107,110 shares were issued</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outstanding upon the Closing.</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(A)</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(H)</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SoundHound AI Class B common stock,</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$0.0001 par value; 44,000,000 shares</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40,396,600 shares were issued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outstanding upon the Closing.</w:t>
            </w:r>
          </w:p>
        </w:tc>
        <w:tc>
          <w:tcPr>
            <w:tcW w:w="60" w:type="dxa"/>
            <w:vAlign w:val="bottom"/>
          </w:tcPr>
          <w:p>
            <w:pPr>
              <w:spacing w:after="0"/>
              <w:rPr>
                <w:sz w:val="19"/>
                <w:szCs w:val="19"/>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7"/>
              </w:rPr>
              <w:t>SoundHound common stock, $0.0001 par value;</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37,729,497 shares authorized; 12,280,051</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980" w:type="dxa"/>
            <w:vAlign w:val="bottom"/>
            <w:tcBorders>
              <w:bottom w:val="single" w:sz="8" w:color="CCEEFF"/>
            </w:tcBorders>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SoundHound Class B common stock, $0.0001</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 value; 7,270,503 shares authorized;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7,270,503 shares issued and outstanding</w:t>
            </w:r>
          </w:p>
        </w:tc>
        <w:tc>
          <w:tcPr>
            <w:tcW w:w="60" w:type="dxa"/>
            <w:vAlign w:val="bottom"/>
          </w:tcPr>
          <w:p>
            <w:pPr>
              <w:spacing w:after="0"/>
              <w:rPr>
                <w:sz w:val="19"/>
                <w:szCs w:val="19"/>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43,491</w:t>
            </w:r>
          </w:p>
        </w:tc>
        <w:tc>
          <w:tcPr>
            <w:tcW w:w="96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818</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112,999</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(A)</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(25,640)</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(D)</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(H)</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297,471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(386,729)</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(964)</w:t>
            </w: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(387,693)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983</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391,409</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48,007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  49,203</w:t>
            </w:r>
          </w:p>
        </w:tc>
        <w:tc>
          <w:tcPr>
            <w:tcW w:w="96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$ 133,344</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(40,570)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141,977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SoundHound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2"/>
              </w:rPr>
              <w:t>ATSP</w:t>
            </w:r>
          </w:p>
        </w:tc>
        <w:tc>
          <w:tcPr>
            <w:tcW w:w="1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Accounting</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21,197</w:t>
            </w:r>
          </w:p>
        </w:tc>
        <w:tc>
          <w:tcPr>
            <w:tcW w:w="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21,197</w:t>
            </w:r>
          </w:p>
        </w:tc>
        <w:tc>
          <w:tcPr>
            <w:tcW w:w="0" w:type="dxa"/>
            <w:vAlign w:val="bottom"/>
          </w:tcPr>
          <w:p>
            <w:pPr>
              <w:spacing w:after="0"/>
              <w:rPr>
                <w:sz w:val="1"/>
                <w:szCs w:val="1"/>
                <w:color w:val="auto"/>
              </w:rPr>
            </w:pPr>
          </w:p>
        </w:tc>
      </w:tr>
      <w:tr>
        <w:trPr>
          <w:trHeight w:val="276"/>
        </w:trPr>
        <w:tc>
          <w:tcPr>
            <w:tcW w:w="31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(CC)</w:t>
            </w:r>
          </w:p>
        </w:tc>
        <w:tc>
          <w:tcPr>
            <w:tcW w:w="14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59,738</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(CC)</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17,940</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88,503</w:t>
            </w:r>
          </w:p>
        </w:tc>
        <w:tc>
          <w:tcPr>
            <w:tcW w:w="0" w:type="dxa"/>
            <w:vAlign w:val="bottom"/>
          </w:tcPr>
          <w:p>
            <w:pPr>
              <w:spacing w:after="0"/>
              <w:rPr>
                <w:sz w:val="1"/>
                <w:szCs w:val="1"/>
                <w:color w:val="auto"/>
              </w:rPr>
            </w:pPr>
          </w:p>
        </w:tc>
      </w:tr>
      <w:tr>
        <w:trPr>
          <w:trHeight w:val="27"/>
        </w:trPr>
        <w:tc>
          <w:tcPr>
            <w:tcW w:w="3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(67,306)</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(6,314)</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29"/>
        </w:trPr>
        <w:tc>
          <w:tcPr>
            <w:tcW w:w="31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(77,904)</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(78,360</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vMerge w:val="restart"/>
          </w:tcPr>
          <w:p>
            <w:pPr>
              <w:spacing w:after="0"/>
              <w:rPr>
                <w:sz w:val="22"/>
                <w:szCs w:val="22"/>
                <w:color w:val="auto"/>
              </w:rPr>
            </w:pPr>
          </w:p>
        </w:tc>
        <w:tc>
          <w:tcPr>
            <w:tcW w:w="3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7"/>
              </w:rPr>
              <w:t>Deemed dividend related to the exchange of</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D-3A for redeemable convertible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series D-3</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Net loss attributable to common</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(79,540)</w:t>
            </w:r>
          </w:p>
        </w:tc>
        <w:tc>
          <w:tcPr>
            <w:tcW w:w="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(78,360)</w:t>
            </w:r>
          </w:p>
        </w:tc>
        <w:tc>
          <w:tcPr>
            <w:tcW w:w="0" w:type="dxa"/>
            <w:vAlign w:val="bottom"/>
          </w:tcPr>
          <w:p>
            <w:pPr>
              <w:spacing w:after="0"/>
              <w:rPr>
                <w:sz w:val="1"/>
                <w:szCs w:val="1"/>
                <w:color w:val="auto"/>
              </w:rPr>
            </w:pPr>
          </w:p>
        </w:tc>
      </w:tr>
      <w:tr>
        <w:trPr>
          <w:trHeight w:val="262"/>
        </w:trPr>
        <w:tc>
          <w:tcPr>
            <w:tcW w:w="20" w:type="dxa"/>
            <w:vAlign w:val="bottom"/>
            <w:vMerge w:val="restart"/>
          </w:tcPr>
          <w:p>
            <w:pPr>
              <w:spacing w:after="0"/>
              <w:rPr>
                <w:sz w:val="22"/>
                <w:szCs w:val="22"/>
                <w:color w:val="auto"/>
              </w:rPr>
            </w:pPr>
          </w:p>
        </w:tc>
        <w:tc>
          <w:tcPr>
            <w:tcW w:w="3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 per common share, basic and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vMerge w:val="restart"/>
          </w:tcPr>
          <w:p>
            <w:pPr>
              <w:spacing w:after="0"/>
              <w:rPr>
                <w:sz w:val="22"/>
                <w:szCs w:val="22"/>
                <w:color w:val="auto"/>
              </w:rPr>
            </w:pPr>
          </w:p>
        </w:tc>
        <w:tc>
          <w:tcPr>
            <w:tcW w:w="3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attributable to common stock subject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 redemption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0.28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329" w:right="1440" w:bottom="1440" w:gutter="0" w:footer="0" w:header="0"/>
        </w:sectPr>
      </w:pPr>
    </w:p>
    <w:p>
      <w:pPr>
        <w:ind w:left="740" w:right="300" w:hanging="174"/>
        <w:spacing w:after="0" w:line="307" w:lineRule="auto"/>
        <w:rPr>
          <w:sz w:val="20"/>
          <w:szCs w:val="20"/>
          <w:color w:val="auto"/>
        </w:rPr>
      </w:pPr>
      <w:r>
        <w:rPr>
          <w:rFonts w:ascii="Times New Roman" w:cs="Times New Roman" w:eastAsia="Times New Roman" w:hAnsi="Times New Roman"/>
          <w:sz w:val="16"/>
          <w:szCs w:val="16"/>
          <w:b w:val="1"/>
          <w:bCs w:val="1"/>
          <w:color w:val="auto"/>
        </w:rPr>
        <w:t>Basic and diluted net loss per share attributable to common stock</w:t>
      </w:r>
    </w:p>
    <w:p>
      <w:pPr>
        <w:spacing w:after="0" w:line="270" w:lineRule="exact"/>
        <w:rPr>
          <w:sz w:val="20"/>
          <w:szCs w:val="20"/>
          <w:color w:val="auto"/>
        </w:rPr>
      </w:pPr>
    </w:p>
    <w:p>
      <w:pPr>
        <w:ind w:left="740" w:hanging="174"/>
        <w:spacing w:after="0" w:line="333" w:lineRule="auto"/>
        <w:rPr>
          <w:sz w:val="20"/>
          <w:szCs w:val="20"/>
          <w:color w:val="auto"/>
        </w:rPr>
      </w:pPr>
      <w:r>
        <w:rPr>
          <w:rFonts w:ascii="Times New Roman" w:cs="Times New Roman" w:eastAsia="Times New Roman" w:hAnsi="Times New Roman"/>
          <w:sz w:val="16"/>
          <w:szCs w:val="16"/>
          <w:b w:val="1"/>
          <w:bCs w:val="1"/>
          <w:color w:val="auto"/>
        </w:rPr>
        <w:t>Weighted average number of common shares outstanding, basic and diluted</w:t>
      </w:r>
    </w:p>
    <w:p>
      <w:pPr>
        <w:spacing w:after="0" w:line="251" w:lineRule="exact"/>
        <w:rPr>
          <w:sz w:val="20"/>
          <w:szCs w:val="20"/>
          <w:color w:val="auto"/>
        </w:rPr>
      </w:pPr>
    </w:p>
    <w:p>
      <w:pPr>
        <w:ind w:left="740" w:right="140" w:hanging="174"/>
        <w:spacing w:after="0" w:line="270" w:lineRule="auto"/>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60" w:hanging="400"/>
        <w:spacing w:after="0"/>
        <w:tabs>
          <w:tab w:leader="none" w:pos="106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537845</wp:posOffset>
            </wp:positionV>
            <wp:extent cx="5001895" cy="1917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5001895" cy="191770"/>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46355</wp:posOffset>
            </wp:positionV>
            <wp:extent cx="5001895" cy="2000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5001895" cy="20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13335</wp:posOffset>
            </wp:positionV>
            <wp:extent cx="5001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196,503,710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419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640" w:hanging="640"/>
        <w:spacing w:after="0"/>
        <w:tabs>
          <w:tab w:leader="none" w:pos="64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6419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41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6419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ectPr>
          <w:pgSz w:w="11900" w:h="16838" w:orient="portrait"/>
          <w:cols w:equalWidth="0" w:num="3">
            <w:col w:w="3500" w:space="620"/>
            <w:col w:w="2460" w:space="720"/>
            <w:col w:w="1719"/>
          </w:cols>
          <w:pgMar w:left="1440" w:top="329" w:right="1440" w:bottom="1440" w:gutter="0" w:footer="0" w:header="0"/>
          <w:type w:val="continuous"/>
        </w:sectPr>
      </w:pPr>
    </w:p>
    <w:bookmarkStart w:id="143" w:name="page144"/>
    <w:bookmarkEnd w:id="143"/>
    <w:p>
      <w:pPr>
        <w:ind w:left="560"/>
        <w:spacing w:after="0"/>
        <w:rPr>
          <w:sz w:val="20"/>
          <w:szCs w:val="20"/>
          <w:color w:val="auto"/>
        </w:rPr>
      </w:pPr>
      <w:r>
        <w:rPr>
          <w:rFonts w:ascii="Times New Roman" w:cs="Times New Roman" w:eastAsia="Times New Roman" w:hAnsi="Times New Roman"/>
          <w:sz w:val="18"/>
          <w:szCs w:val="18"/>
          <w:b w:val="1"/>
          <w:bCs w:val="1"/>
          <w:color w:val="auto"/>
        </w:rPr>
        <w:t>Note 1 — Description of the Merger</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Merger between ATSP and SoundHound — Business Combination</w:t>
      </w:r>
    </w:p>
    <w:p>
      <w:pPr>
        <w:spacing w:after="0" w:line="151"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Pursuant to the Merger Agreement, Merger Sub merged with and into SoundHound, and SoundHound was the surviving corporation and a wholly owned subsidiary of SoundHound AI.</w:t>
      </w:r>
    </w:p>
    <w:p>
      <w:pPr>
        <w:spacing w:after="0" w:line="91"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aggregate consideration for the Business Combination paid to holders of SoundHound capital stock includes Merger Consideration Shares is as follows: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48" w:lineRule="exact"/>
        <w:rPr>
          <w:sz w:val="20"/>
          <w:szCs w:val="20"/>
          <w:color w:val="auto"/>
        </w:rPr>
      </w:pPr>
    </w:p>
    <w:tbl>
      <w:tblPr>
        <w:tblLayout w:type="fixed"/>
        <w:tblInd w:w="560" w:type="dxa"/>
        <w:tblCellMar>
          <w:top w:w="0" w:type="dxa"/>
          <w:left w:w="0" w:type="dxa"/>
          <w:bottom w:w="0" w:type="dxa"/>
          <w:right w:w="0" w:type="dxa"/>
        </w:tblCellMar>
      </w:tblPr>
      <w:tr>
        <w:trPr>
          <w:trHeight w:val="276"/>
        </w:trPr>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transferred at Closing</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196,503,710</w:t>
            </w:r>
          </w:p>
        </w:tc>
      </w:tr>
      <w:tr>
        <w:trPr>
          <w:trHeight w:val="276"/>
        </w:trPr>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Value per Share</w:t>
            </w:r>
            <w:r>
              <w:rPr>
                <w:rFonts w:ascii="Times New Roman" w:cs="Times New Roman" w:eastAsia="Times New Roman" w:hAnsi="Times New Roman"/>
                <w:sz w:val="20"/>
                <w:szCs w:val="20"/>
                <w:color w:val="auto"/>
                <w:vertAlign w:val="superscript"/>
              </w:rPr>
              <w:t>(2)</w:t>
            </w: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1"/>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w:t>
            </w:r>
          </w:p>
        </w:tc>
      </w:tr>
      <w:tr>
        <w:trPr>
          <w:trHeight w:val="35"/>
        </w:trPr>
        <w:tc>
          <w:tcPr>
            <w:tcW w:w="6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____________</w:t>
      </w:r>
    </w:p>
    <w:p>
      <w:pPr>
        <w:spacing w:after="0" w:line="92" w:lineRule="exact"/>
        <w:rPr>
          <w:sz w:val="20"/>
          <w:szCs w:val="20"/>
          <w:color w:val="auto"/>
        </w:rPr>
      </w:pPr>
    </w:p>
    <w:p>
      <w:pPr>
        <w:jc w:val="both"/>
        <w:ind w:left="980" w:right="579" w:hanging="415"/>
        <w:spacing w:after="0" w:line="260" w:lineRule="auto"/>
        <w:tabs>
          <w:tab w:leader="none" w:pos="9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transferred to holders of SoundHound capital stock upon consummation of the Business Combination include (i) 140.1 million SoundHound AI Class A common stock, (ii) 40.4 million SoundHound AI Class B common stock, and (iii) 30.7 million assumed options and RSUs.</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62" w:lineRule="auto"/>
        <w:tabs>
          <w:tab w:leader="none" w:pos="9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consideration is calculated using a $10 reference price. The actual total value of share consideration will be dependent on the value of the common stock at the Closing; however, there is no expected change from any change in the SoundHound AI common stock’s trading price on the pro-forma financial statements as the Business Combination will be accounted for as a reverse recapitalization.</w:t>
      </w:r>
    </w:p>
    <w:p>
      <w:pPr>
        <w:spacing w:after="0" w:line="115" w:lineRule="exact"/>
        <w:rPr>
          <w:sz w:val="20"/>
          <w:szCs w:val="20"/>
          <w:color w:val="auto"/>
        </w:rPr>
      </w:pPr>
    </w:p>
    <w:p>
      <w:pPr>
        <w:jc w:val="both"/>
        <w:ind w:left="560" w:right="579" w:firstLine="420"/>
        <w:spacing w:after="0" w:line="293" w:lineRule="auto"/>
        <w:rPr>
          <w:sz w:val="20"/>
          <w:szCs w:val="20"/>
          <w:color w:val="auto"/>
        </w:rPr>
      </w:pPr>
      <w:r>
        <w:rPr>
          <w:rFonts w:ascii="Times New Roman" w:cs="Times New Roman" w:eastAsia="Times New Roman" w:hAnsi="Times New Roman"/>
          <w:sz w:val="16"/>
          <w:szCs w:val="16"/>
          <w:color w:val="auto"/>
        </w:rPr>
        <w:t>The unaudited pro forma combined information contained herein reflects ATSP’s stockholders approval of the Business Combination on April 26, 2022, and that ATSP’s public stockholders holding 12,767,950 ATSP redeemable common stock elected to redeem their shares prior to the Closing. The following summarizes the pro forma SoundHound AI issued and outstanding immediately after the Business Combination:</w:t>
      </w:r>
    </w:p>
    <w:p>
      <w:pPr>
        <w:spacing w:after="0" w:line="154"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r>
      <w:tr>
        <w:trPr>
          <w:trHeight w:val="44"/>
        </w:trPr>
        <w:tc>
          <w:tcPr>
            <w:tcW w:w="5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6"/>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 – Class A</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140,114,060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3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SoundHound Stockholders – Class B</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40,396,600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40"/>
        </w:trPr>
        <w:tc>
          <w:tcPr>
            <w:tcW w:w="5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ATSP Public Stockholders – Class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532,050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Stockholders – Class 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3,674,500</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
        </w:trPr>
        <w:tc>
          <w:tcPr>
            <w:tcW w:w="5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 – Class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9"/>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Investors – Class A</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5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SoundHound AI Pro Forma Common Stock at the Closing</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196,503,710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2 — Basis of the Pro Forma Presentation</w:t>
      </w:r>
    </w:p>
    <w:p>
      <w:pPr>
        <w:spacing w:after="0" w:line="149"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U.S. generally accepted accounting principles, with no goodwill or other intangible assets recorded in accordance with Financial Accounting Standards Board’s Accounting Standards Codification Topic 805, Business Combinations (“</w:t>
      </w:r>
      <w:r>
        <w:rPr>
          <w:rFonts w:ascii="Times New Roman" w:cs="Times New Roman" w:eastAsia="Times New Roman" w:hAnsi="Times New Roman"/>
          <w:sz w:val="18"/>
          <w:szCs w:val="18"/>
          <w:u w:val="single" w:color="auto"/>
          <w:color w:val="auto"/>
        </w:rPr>
        <w:t>ASC 805</w:t>
      </w:r>
      <w:r>
        <w:rPr>
          <w:rFonts w:ascii="Times New Roman" w:cs="Times New Roman" w:eastAsia="Times New Roman" w:hAnsi="Times New Roman"/>
          <w:sz w:val="18"/>
          <w:szCs w:val="18"/>
          <w:color w:val="auto"/>
        </w:rPr>
        <w:t>”). ATSP will be treated as the “acquired” company for financial reporting purposes and SoundHound has been determined to be the accounting acquirer. Accordingly, the Business Combination will be treated as the equivalent of SoundHound issuing stock for the net assets of ATSP, accompanied by a recapitalization. The net assets of SoundHound AI will be stated at historical cost, with no goodwill or other intangible assets recorded. Operations prior to the Business Combination will be those of SoundHound.</w:t>
      </w:r>
    </w:p>
    <w:p>
      <w:pPr>
        <w:spacing w:after="0" w:line="125"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SoundHound has been determined to be the accounting acquirer based on a number of considerations, including but not limited to:</w:t>
      </w:r>
    </w:p>
    <w:p>
      <w:pPr>
        <w:spacing w:after="0" w:line="91" w:lineRule="exact"/>
        <w:rPr>
          <w:sz w:val="20"/>
          <w:szCs w:val="20"/>
          <w:color w:val="auto"/>
        </w:rPr>
      </w:pPr>
    </w:p>
    <w:p>
      <w:pPr>
        <w:ind w:left="1400" w:right="579" w:hanging="414"/>
        <w:spacing w:after="0" w:line="267" w:lineRule="auto"/>
        <w:tabs>
          <w:tab w:leader="none" w:pos="13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stockholders will have the ability to control decisions regarding election and removal of directors and officers of SoundHound AI;</w:t>
      </w:r>
    </w:p>
    <w:p>
      <w:pPr>
        <w:spacing w:after="0" w:line="103"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will comprise the ongoing operations of SoundHound AI;</w:t>
      </w:r>
    </w:p>
    <w:p>
      <w:pPr>
        <w:spacing w:after="0" w:line="14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relevant measures, such as assets, revenues, cash flows and earnings, are higher than ATSP’s; and</w:t>
      </w:r>
    </w:p>
    <w:p>
      <w:pPr>
        <w:spacing w:after="0" w:line="90"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senior management will be the senior management of SoundHound AI.</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4" w:name="page145"/>
    <w:bookmarkEnd w:id="144"/>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Management has also determined SoundHound to be the predecessor entity to the Merger Agreement based on the same considerations listed above.</w:t>
      </w:r>
    </w:p>
    <w:p>
      <w:pPr>
        <w:spacing w:after="0" w:line="9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ATSP has elected not to present Management’s Adjustments and will only be presenting Transaction Accounting Adjustments in the following unaudited pro forma combined financial information to provide relevant information necessary for an understanding of the combined company upon consummation of the Business Combination.</w:t>
      </w:r>
    </w:p>
    <w:p>
      <w:pPr>
        <w:spacing w:after="0" w:line="123"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based on information available as of the date of filing this Report and is subject to change as additional information becomes available and analyses are performed. As the unaudited pro forma condensed combined financial information has been prepared based on these preliminary estimates, the final amounts recorded may differ materially from the information presented as additional information becomes available. Management considers the basis of presentation to be reasonable under the circumstances.</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Transactions. SoundHound has not had any historical relationship with neither ATSP prior to the Business Combination. Accordingly, no Transaction Accounting Adjustments were required to eliminate activities between the companies.</w:t>
      </w:r>
    </w:p>
    <w:p>
      <w:pPr>
        <w:spacing w:after="0" w:line="108" w:lineRule="exact"/>
        <w:rPr>
          <w:sz w:val="20"/>
          <w:szCs w:val="20"/>
          <w:color w:val="auto"/>
        </w:rPr>
      </w:pPr>
    </w:p>
    <w:p>
      <w:pPr>
        <w:jc w:val="both"/>
        <w:ind w:left="560" w:right="579" w:firstLine="420"/>
        <w:spacing w:after="0" w:line="281" w:lineRule="auto"/>
        <w:rPr>
          <w:sz w:val="20"/>
          <w:szCs w:val="20"/>
          <w:color w:val="auto"/>
        </w:rPr>
      </w:pPr>
      <w:r>
        <w:rPr>
          <w:rFonts w:ascii="Times New Roman" w:cs="Times New Roman" w:eastAsia="Times New Roman" w:hAnsi="Times New Roman"/>
          <w:sz w:val="16"/>
          <w:szCs w:val="16"/>
          <w:color w:val="auto"/>
        </w:rPr>
        <w:t>The unaudited pro forma condensed combined balance sheet does not purport to represent, and is not necessarily indicative of, what the actual financial condition of the combined company would have been had the Transactions taken place on December 31, 2021,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the PIPE Investment, and certain other related events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9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Total one-time direct and incremental transaction costs (i.e. “Transaction costs”) incurred prior to, or concurrent with, the consummation are reflected in the unaudited pro forma condensed balance sheet as a direct reduction to SoundHound AI additional paid-in capital and are assumed to be cash settled.</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3 — Accounting Policies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Based on its analysis of SoundHound and ATSP’s policies, SoundHound and ATSP did not identify any differences in accounting policies that would have an impact on the unaudited pro forma condensed combined consolidated information. As a result, the unaudited pro forma condensed combined financial information does not assume any differences in accounting policies.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4 — Pro Forma Adjustments</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2021 has been prepared for informational purposes only. The unaudited pro forma condensed combined balance sheet as of December 31, 2021 includes Transaction Accounting Adjustments that are directly attributable to the Business Combination, the PIPE Investment, and certain other related events.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ATSP and SoundHound have not had any historical relationship prior to the Business Combination.</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no pro forma adjustments were required to eliminate activities between the companies.</w:t>
      </w:r>
    </w:p>
    <w:p>
      <w:pPr>
        <w:spacing w:after="0" w:line="130"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pro forma combined provision for income taxes does not necessarily reflect the amounts that would have resulted had the post-combination company filed consolidated income tax returns during the periods presented.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Combined Balance Sheet</w:t>
      </w:r>
    </w:p>
    <w:p>
      <w:pPr>
        <w:spacing w:after="0" w:line="151"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adjustments included in the unaudited pro forma combined balance sheet as of December 31, 2021 are as follows:</w:t>
      </w:r>
    </w:p>
    <w:p>
      <w:pPr>
        <w:spacing w:after="0" w:line="91" w:lineRule="exact"/>
        <w:rPr>
          <w:sz w:val="20"/>
          <w:szCs w:val="20"/>
          <w:color w:val="auto"/>
        </w:rPr>
      </w:pPr>
    </w:p>
    <w:p>
      <w:pPr>
        <w:jc w:val="both"/>
        <w:ind w:left="1400" w:right="579" w:hanging="414"/>
        <w:spacing w:after="0" w:line="255" w:lineRule="auto"/>
        <w:tabs>
          <w:tab w:leader="none" w:pos="13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proceeds received from the PIPE Investment with the corresponding 11,300,000 shares of SoundHound AI Class A common stock with a par value of $0.0001 per share at a price of $10.00 per share.</w:t>
      </w:r>
    </w:p>
    <w:p>
      <w:pPr>
        <w:spacing w:after="0" w:line="114" w:lineRule="exact"/>
        <w:rPr>
          <w:rFonts w:ascii="Times New Roman" w:cs="Times New Roman" w:eastAsia="Times New Roman" w:hAnsi="Times New Roman"/>
          <w:sz w:val="18"/>
          <w:szCs w:val="18"/>
          <w:color w:val="auto"/>
        </w:rPr>
      </w:pPr>
    </w:p>
    <w:p>
      <w:pPr>
        <w:ind w:left="1380" w:hanging="394"/>
        <w:spacing w:after="0"/>
        <w:tabs>
          <w:tab w:leader="none" w:pos="1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transfer of marketable securities held in the ATSP trust account to cash.</w:t>
      </w:r>
    </w:p>
    <w:p>
      <w:pPr>
        <w:spacing w:after="0" w:line="147" w:lineRule="exact"/>
        <w:rPr>
          <w:rFonts w:ascii="Times New Roman" w:cs="Times New Roman" w:eastAsia="Times New Roman" w:hAnsi="Times New Roman"/>
          <w:sz w:val="18"/>
          <w:szCs w:val="18"/>
          <w:color w:val="auto"/>
        </w:rPr>
      </w:pPr>
    </w:p>
    <w:p>
      <w:pPr>
        <w:ind w:left="1380" w:hanging="394"/>
        <w:spacing w:after="0"/>
        <w:tabs>
          <w:tab w:leader="none" w:pos="1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of ATSP historical payables at Closing.</w:t>
      </w:r>
    </w:p>
    <w:p>
      <w:pPr>
        <w:spacing w:after="0" w:line="134" w:lineRule="exact"/>
        <w:rPr>
          <w:rFonts w:ascii="Times New Roman" w:cs="Times New Roman" w:eastAsia="Times New Roman" w:hAnsi="Times New Roman"/>
          <w:sz w:val="18"/>
          <w:szCs w:val="18"/>
          <w:color w:val="auto"/>
        </w:rPr>
      </w:pPr>
    </w:p>
    <w:p>
      <w:pPr>
        <w:jc w:val="both"/>
        <w:ind w:left="1400" w:right="579" w:hanging="414"/>
        <w:spacing w:after="0" w:line="283" w:lineRule="auto"/>
        <w:tabs>
          <w:tab w:leader="none" w:pos="139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settlement of approximately $24.4 million of Business Combination-related transaction costs incurred in connection with the Business Combination. These Business Combination-related transaction costs are in connection with the Closing and related transactions and are deemed to be direct and incremental costs of the Business Combination. The Business Combination-related transactions costs are accounted for as equity issuance costs and the unaudited pro forma condensed balance sheet reflects these costs as a reduction in cash with a corresponding decrease to additional paid-in-capital, offset by a decrease of $1.3 million in other assets.</w:t>
      </w:r>
    </w:p>
    <w:p>
      <w:pPr>
        <w:spacing w:after="0" w:line="96" w:lineRule="exact"/>
        <w:rPr>
          <w:rFonts w:ascii="Times New Roman" w:cs="Times New Roman" w:eastAsia="Times New Roman" w:hAnsi="Times New Roman"/>
          <w:sz w:val="16"/>
          <w:szCs w:val="16"/>
          <w:color w:val="auto"/>
        </w:rPr>
      </w:pPr>
    </w:p>
    <w:p>
      <w:pPr>
        <w:ind w:left="1380" w:hanging="394"/>
        <w:spacing w:after="0"/>
        <w:tabs>
          <w:tab w:leader="none" w:pos="1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w:t>
      </w:r>
    </w:p>
    <w:p>
      <w:pPr>
        <w:spacing w:after="0" w:line="147"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the SVB March 2021 Note from short-term to long-term, due to the note’s maturity date being extended from April 26, 2022 to March 31, 2025 as a result of the Business Combination.</w:t>
      </w:r>
    </w:p>
    <w:p>
      <w:pPr>
        <w:spacing w:after="0" w:line="101" w:lineRule="exact"/>
        <w:rPr>
          <w:rFonts w:ascii="Times New Roman" w:cs="Times New Roman" w:eastAsia="Times New Roman" w:hAnsi="Times New Roman"/>
          <w:sz w:val="18"/>
          <w:szCs w:val="18"/>
          <w:color w:val="auto"/>
        </w:rPr>
      </w:pPr>
    </w:p>
    <w:p>
      <w:pPr>
        <w:jc w:val="both"/>
        <w:ind w:left="1820" w:right="579" w:hanging="414"/>
        <w:spacing w:after="0" w:line="251" w:lineRule="auto"/>
        <w:tabs>
          <w:tab w:leader="none" w:pos="177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the SCI June 2021 Note from short-term to long-term, as the note’s maturity date is being extended from June 26, 2022 to May 31, 2025. Additionally, the SCI June 2021 Note is assumed not to convert upon the Business Combination, as mutual consent between SoundHound and the Note’s agent is required for a conversion.</w:t>
      </w:r>
    </w:p>
    <w:p>
      <w:pPr>
        <w:spacing w:after="0" w:line="118" w:lineRule="exact"/>
        <w:rPr>
          <w:rFonts w:ascii="Times New Roman" w:cs="Times New Roman" w:eastAsia="Times New Roman" w:hAnsi="Times New Roman"/>
          <w:sz w:val="18"/>
          <w:szCs w:val="18"/>
          <w:color w:val="auto"/>
        </w:rPr>
      </w:pPr>
    </w:p>
    <w:p>
      <w:pPr>
        <w:ind w:left="1400" w:right="579" w:hanging="414"/>
        <w:spacing w:after="0" w:line="331" w:lineRule="auto"/>
        <w:tabs>
          <w:tab w:leader="none" w:pos="136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of 7,270,503 shares of SoundHound Class B Common Stock immediately preceding the Merger and a resulting incremental stock-based compensation charge of $1.0 million.</w:t>
      </w:r>
    </w:p>
    <w:p>
      <w:pPr>
        <w:spacing w:after="0" w:line="57" w:lineRule="exact"/>
        <w:rPr>
          <w:rFonts w:ascii="Times New Roman" w:cs="Times New Roman" w:eastAsia="Times New Roman" w:hAnsi="Times New Roman"/>
          <w:sz w:val="16"/>
          <w:szCs w:val="16"/>
          <w:color w:val="auto"/>
        </w:rPr>
      </w:pPr>
    </w:p>
    <w:p>
      <w:pPr>
        <w:jc w:val="both"/>
        <w:ind w:left="1400" w:right="579" w:hanging="414"/>
        <w:spacing w:after="0" w:line="255" w:lineRule="auto"/>
        <w:tabs>
          <w:tab w:leader="none" w:pos="13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12,767,950 shares of ATSP common stock redeemed for $127.7 million allocated to common stock and additional paid-in capital, using a par value of $0.0001 per share at a redemption price of approximately $10.00 per share.</w:t>
      </w:r>
    </w:p>
    <w:p>
      <w:pPr>
        <w:spacing w:after="0" w:line="101"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532,050 shares of ATSP common stock subject to possible redemption that were not redeemed by holders to permanent equity.</w:t>
      </w:r>
    </w:p>
    <w:p>
      <w:pPr>
        <w:spacing w:after="0" w:line="103" w:lineRule="exact"/>
        <w:rPr>
          <w:rFonts w:ascii="Times New Roman" w:cs="Times New Roman" w:eastAsia="Times New Roman" w:hAnsi="Times New Roman"/>
          <w:sz w:val="18"/>
          <w:szCs w:val="18"/>
          <w:color w:val="auto"/>
        </w:rPr>
      </w:pPr>
    </w:p>
    <w:p>
      <w:pPr>
        <w:jc w:val="both"/>
        <w:ind w:left="1400" w:right="579" w:hanging="414"/>
        <w:spacing w:after="0" w:line="251" w:lineRule="auto"/>
        <w:tabs>
          <w:tab w:leader="none" w:pos="13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ATSP Private Warrants from liability classification to equity classification, giving effect to the amendment to the existing terms of the ATSP Private Warrants to meet equity classification, which is a condition to the Closing, waivable by SoundHound, under the terms of the Merger Agreement.</w:t>
      </w:r>
    </w:p>
    <w:p>
      <w:pPr>
        <w:spacing w:after="0" w:line="118"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release of restricted cash due to clause that the restricted amount will be reduced to $0.2 million at Closing.</w:t>
      </w:r>
    </w:p>
    <w:p>
      <w:pPr>
        <w:spacing w:after="0" w:line="90" w:lineRule="exact"/>
        <w:rPr>
          <w:rFonts w:ascii="Times New Roman" w:cs="Times New Roman" w:eastAsia="Times New Roman" w:hAnsi="Times New Roman"/>
          <w:sz w:val="18"/>
          <w:szCs w:val="18"/>
          <w:color w:val="auto"/>
        </w:rPr>
      </w:pPr>
    </w:p>
    <w:p>
      <w:pPr>
        <w:jc w:val="both"/>
        <w:ind w:left="1400" w:right="579" w:hanging="414"/>
        <w:spacing w:after="0" w:line="249" w:lineRule="auto"/>
        <w:tabs>
          <w:tab w:leader="none" w:pos="13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recapitalization of SoundHound through the contribution of the share capital in SoundHound to ATSP, and the issuance of 140,114,060 shares of SoundHound AI Class A common stock and 40,396,600 shares of SoundHound AI Class B common stock, the elimination of the historical accumulated deficit of ATSPs, the accounting acquiree, and the June 2020 Note to shares of SoundHound AI Class A common stock at Closing at price of $8.00 per share.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46" w:name="page147"/>
    <w:bookmarkEnd w:id="146"/>
    <w:p>
      <w:pPr>
        <w:ind w:left="560" w:right="579"/>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Condensed Combined Statement of Operations</w:t>
      </w:r>
    </w:p>
    <w:p>
      <w:pPr>
        <w:spacing w:after="0" w:line="99"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2021 are as follows:</w:t>
      </w:r>
    </w:p>
    <w:p>
      <w:pPr>
        <w:spacing w:after="0" w:line="91" w:lineRule="exact"/>
        <w:rPr>
          <w:sz w:val="20"/>
          <w:szCs w:val="20"/>
          <w:color w:val="auto"/>
        </w:rPr>
      </w:pPr>
    </w:p>
    <w:p>
      <w:pPr>
        <w:ind w:left="1400" w:right="579" w:hanging="414"/>
        <w:spacing w:after="0" w:line="267" w:lineRule="auto"/>
        <w:tabs>
          <w:tab w:leader="none" w:pos="13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reduce interest expense by $2.0 million for debt conversion after giving effect to the Merger as if it had occurred on January 1, 2021.</w:t>
      </w:r>
    </w:p>
    <w:p>
      <w:pPr>
        <w:spacing w:after="0" w:line="103"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interest income held in the trust account as of the beginning of the year.</w:t>
      </w:r>
    </w:p>
    <w:p>
      <w:pPr>
        <w:spacing w:after="0" w:line="103"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non-recurring incremental stock-based compensation recorded due to the issuance of SoundHound Class B common stock to the SoundHound founders in exchange for SoundHound common stock.</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5 — Net Loss per Share</w:t>
      </w:r>
    </w:p>
    <w:p>
      <w:pPr>
        <w:spacing w:after="0" w:line="136"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the PIPE Investment, and certain other related events, assuming such additional shares were outstanding since January 1, 2021. As the Business Combination, the PIPE Investment, and certain other related events are being reflected as if they had occurred as of January 1, 2021, the calculation of weighted average shares outstanding for basic and diluted net loss per share assumes the shares issued in connection with the Business Combination, the PIPE Investment, and certain other related events have been outstanding for the entire periods presented.</w:t>
      </w:r>
    </w:p>
    <w:p>
      <w:pPr>
        <w:spacing w:after="0" w:line="12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unaudited pro forma combined financial information for the year ended December 31, 2021 has been prepared based on the following information:</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tc>
        <w:tc>
          <w:tcPr>
            <w:tcW w:w="100" w:type="dxa"/>
            <w:vAlign w:val="bottom"/>
          </w:tcPr>
          <w:p>
            <w:pPr>
              <w:spacing w:after="0"/>
              <w:rPr>
                <w:sz w:val="15"/>
                <w:szCs w:val="15"/>
                <w:color w:val="auto"/>
              </w:rPr>
            </w:pPr>
          </w:p>
        </w:tc>
        <w:tc>
          <w:tcPr>
            <w:tcW w:w="110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5"/>
              </w:rPr>
              <w:t>Pro Forma</w:t>
            </w:r>
          </w:p>
        </w:tc>
        <w:tc>
          <w:tcPr>
            <w:tcW w:w="0" w:type="dxa"/>
            <w:vAlign w:val="bottom"/>
          </w:tcPr>
          <w:p>
            <w:pPr>
              <w:spacing w:after="0"/>
              <w:rPr>
                <w:sz w:val="1"/>
                <w:szCs w:val="1"/>
                <w:color w:val="auto"/>
              </w:rPr>
            </w:pPr>
          </w:p>
        </w:tc>
      </w:tr>
      <w:tr>
        <w:trPr>
          <w:trHeight w:val="208"/>
        </w:trPr>
        <w:tc>
          <w:tcPr>
            <w:tcW w:w="6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(78,360)</w:t>
            </w: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SoundHound AI common stock outstanding – basic and diluted</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196,503,710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 shares of SoundHound AI common stock outstanding – basic and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 – Class A</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140,114,060</w:t>
            </w: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SoundHound Stockholders – Class B</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40,396,600</w:t>
            </w: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ATSP Public Stockholders – Class A</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532,050</w:t>
            </w: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 Stockholders – Class A</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 – Class A</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486,500</w:t>
            </w:r>
          </w:p>
        </w:tc>
        <w:tc>
          <w:tcPr>
            <w:tcW w:w="0" w:type="dxa"/>
            <w:vAlign w:val="bottom"/>
          </w:tcPr>
          <w:p>
            <w:pPr>
              <w:spacing w:after="0"/>
              <w:rPr>
                <w:sz w:val="1"/>
                <w:szCs w:val="1"/>
                <w:color w:val="auto"/>
              </w:rPr>
            </w:pPr>
          </w:p>
        </w:tc>
      </w:tr>
      <w:tr>
        <w:trPr>
          <w:trHeight w:val="249"/>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PIPE Investors – Class A</w:t>
            </w:r>
          </w:p>
        </w:tc>
        <w:tc>
          <w:tcPr>
            <w:tcW w:w="1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Weighted average shares of SoundHound AI common stock outstanding – basic and</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196,503,710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____________</w:t>
      </w:r>
    </w:p>
    <w:p>
      <w:pPr>
        <w:spacing w:after="0" w:line="105" w:lineRule="exact"/>
        <w:rPr>
          <w:sz w:val="20"/>
          <w:szCs w:val="20"/>
          <w:color w:val="auto"/>
        </w:rPr>
      </w:pPr>
    </w:p>
    <w:p>
      <w:pPr>
        <w:jc w:val="both"/>
        <w:ind w:left="980" w:right="579" w:hanging="415"/>
        <w:spacing w:after="0" w:line="271" w:lineRule="auto"/>
        <w:tabs>
          <w:tab w:leader="none" w:pos="9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calculating diluted earnings per share, all outstanding SoundHound Warrants, SoundHound Options, and ATSP Warrants should have been assumed to have been exercised. However, since this results in anti-dilution, the effect of such exercise was not included in calculation of diluted loss per share.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47" w:name="page148"/>
    <w:bookmarkEnd w:id="147"/>
    <w:p>
      <w:pPr>
        <w:ind w:left="7660"/>
        <w:spacing w:after="0"/>
        <w:rPr>
          <w:sz w:val="20"/>
          <w:szCs w:val="20"/>
          <w:color w:val="auto"/>
        </w:rPr>
      </w:pPr>
      <w:r>
        <w:rPr>
          <w:rFonts w:ascii="Times New Roman" w:cs="Times New Roman" w:eastAsia="Times New Roman" w:hAnsi="Times New Roman"/>
          <w:sz w:val="16"/>
          <w:szCs w:val="16"/>
          <w:b w:val="1"/>
          <w:bCs w:val="1"/>
          <w:color w:val="auto"/>
        </w:rPr>
        <w:t>ANNEX C</w:t>
      </w: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 OF ATSP</w:t>
      </w:r>
    </w:p>
    <w:p>
      <w:pPr>
        <w:spacing w:after="0" w:line="12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SoundHound AI has not included the financial statements of ATSP for the three and nine months ended September 30, 2022 since the Business Combination was accounted for as the acquisition of ATSP by SoundHound AI (a reverse recapitalization of SoundHound AI) and therefore S-X 3-05 and S-X 8-04 do not apply. Accordingly, the discussion and analysis of the financial condition and results of operations of ATSP is limited to the three months ended March 31, 2022 and 2021 and the year ended December 31, 2021 and 2020.</w:t>
      </w:r>
    </w:p>
    <w:p>
      <w:pPr>
        <w:spacing w:after="0" w:line="117"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spacing w:after="0" w:line="115"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spacing w:after="0" w:line="102"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26, 2022, we consummated our Business Combination with SoundHound, Inc.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spacing w:after="0" w:line="12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2022 and March 31, 2021</w:t>
      </w:r>
    </w:p>
    <w:p>
      <w:pPr>
        <w:spacing w:after="0" w:line="136"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8" w:name="page149"/>
    <w:bookmarkEnd w:id="148"/>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pacing w:after="0" w:line="10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For the Years Ended December 31, 2021 and December 31, 2020</w:t>
      </w:r>
    </w:p>
    <w:p>
      <w:pPr>
        <w:spacing w:after="0" w:line="149"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1"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10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For the period from September 15, 2020 (inception) through December 31, 2020, we had a net loss of $716, which was comprised of operating costs of $716.</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7" w:lineRule="exact"/>
        <w:rPr>
          <w:sz w:val="20"/>
          <w:szCs w:val="20"/>
          <w:color w:val="auto"/>
        </w:rPr>
      </w:pPr>
    </w:p>
    <w:p>
      <w:pPr>
        <w:jc w:val="both"/>
        <w:ind w:left="560" w:right="579" w:firstLine="420"/>
        <w:spacing w:after="0" w:line="256" w:lineRule="auto"/>
        <w:rPr>
          <w:sz w:val="20"/>
          <w:szCs w:val="20"/>
          <w:color w:val="auto"/>
        </w:rPr>
      </w:pPr>
      <w:r>
        <w:rPr>
          <w:rFonts w:ascii="Times New Roman" w:cs="Times New Roman" w:eastAsia="Times New Roman" w:hAnsi="Times New Roman"/>
          <w:sz w:val="18"/>
          <w:szCs w:val="18"/>
          <w:color w:val="auto"/>
        </w:rPr>
        <w:t xml:space="preserve">Information relating to liquidity and capital resources is reported in the section titled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SoundHound AI, elsewhere in this prospectus.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36" w:lineRule="exact"/>
        <w:rPr>
          <w:sz w:val="20"/>
          <w:szCs w:val="20"/>
          <w:color w:val="auto"/>
        </w:rPr>
      </w:pPr>
    </w:p>
    <w:p>
      <w:pPr>
        <w:jc w:val="both"/>
        <w:ind w:left="560" w:right="579" w:firstLine="420"/>
        <w:spacing w:after="0" w:line="280" w:lineRule="auto"/>
        <w:rPr>
          <w:sz w:val="20"/>
          <w:szCs w:val="20"/>
          <w:color w:val="auto"/>
        </w:rPr>
      </w:pPr>
      <w:r>
        <w:rPr>
          <w:rFonts w:ascii="Times New Roman" w:cs="Times New Roman" w:eastAsia="Times New Roman" w:hAnsi="Times New Roman"/>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jc w:val="both"/>
        <w:ind w:left="560" w:right="579"/>
        <w:spacing w:after="0" w:line="249" w:lineRule="auto"/>
        <w:rPr>
          <w:sz w:val="20"/>
          <w:szCs w:val="20"/>
          <w:color w:val="auto"/>
        </w:rPr>
      </w:pPr>
      <w:r>
        <w:rPr>
          <w:rFonts w:ascii="Times New Roman" w:cs="Times New Roman" w:eastAsia="Times New Roman" w:hAnsi="Times New Roman"/>
          <w:sz w:val="18"/>
          <w:szCs w:val="18"/>
          <w:color w:val="auto"/>
        </w:rPr>
        <w:t>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SOUNDHOUND AI</w:t>
      </w:r>
    </w:p>
    <w:p>
      <w:pPr>
        <w:spacing w:after="0" w:line="12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nine month periods ended September 30, 2022 reflect the financial statements of SoundHound AI giving effect to the Business Combination.</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2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23"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08"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three quarters of 2022, compared to the same period in 2021.</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w:t>
      </w:r>
    </w:p>
    <w:p>
      <w:pPr>
        <w:spacing w:after="0" w:line="104"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1" w:name="page152"/>
    <w:bookmarkEnd w:id="151"/>
    <w:p>
      <w:pPr>
        <w:jc w:val="both"/>
        <w:ind w:left="560" w:right="579"/>
        <w:spacing w:after="0" w:line="255" w:lineRule="auto"/>
        <w:rPr>
          <w:sz w:val="20"/>
          <w:szCs w:val="20"/>
          <w:color w:val="auto"/>
        </w:rPr>
      </w:pPr>
      <w:r>
        <w:rPr>
          <w:rFonts w:ascii="Times New Roman" w:cs="Times New Roman" w:eastAsia="Times New Roman" w:hAnsi="Times New Roman"/>
          <w:sz w:val="18"/>
          <w:szCs w:val="18"/>
          <w:color w:val="auto"/>
        </w:rPr>
        <w:t>that SoundHound AI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102"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24"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1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0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21"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15"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1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2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23"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0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pacing w:after="0" w:line="115"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1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1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ATSP Merger</w:t>
      </w:r>
    </w:p>
    <w:p>
      <w:pPr>
        <w:spacing w:after="0" w:line="149" w:lineRule="exact"/>
        <w:rPr>
          <w:sz w:val="20"/>
          <w:szCs w:val="20"/>
          <w:color w:val="auto"/>
        </w:rPr>
      </w:pPr>
    </w:p>
    <w:p>
      <w:pPr>
        <w:jc w:val="both"/>
        <w:ind w:left="560" w:right="579" w:firstLine="420"/>
        <w:spacing w:after="0" w:line="283" w:lineRule="auto"/>
        <w:rPr>
          <w:sz w:val="20"/>
          <w:szCs w:val="20"/>
          <w:color w:val="auto"/>
        </w:rPr>
      </w:pPr>
      <w:r>
        <w:rPr>
          <w:rFonts w:ascii="Times New Roman" w:cs="Times New Roman" w:eastAsia="Times New Roman" w:hAnsi="Times New Roman"/>
          <w:sz w:val="16"/>
          <w:szCs w:val="16"/>
          <w:color w:val="auto"/>
        </w:rPr>
        <w:t>On November 15, 2021, Archimedes Tech SPAC Partners Co. (“ATSP”), Legacy SoundHound and ATSPC Merger Sub, Inc. entered into a merger agreement (“Merger Agreement”) pursuant to which ATSPC Merger Sub, Inc.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the PIPE investment. Upon the Closing of the Business Combination, ATSP changed its name to SoundHound AI, Inc.</w:t>
      </w:r>
    </w:p>
    <w:p>
      <w:pPr>
        <w:spacing w:after="0" w:line="96"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$5.4 million in cash held in trust by ATSP (following satisfaction of redemptions by public stockholders) with 532,050 shares of SoundHound Class A common stock remaining outstanding, and $113.0 million in aggregate gross proceeds from PIPE investors in exchange for 11,300,000 shares of SoundHound AI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53" w:name="page154"/>
    <w:bookmarkEnd w:id="153"/>
    <w:p>
      <w:pPr>
        <w:jc w:val="both"/>
        <w:ind w:left="560" w:right="579"/>
        <w:spacing w:after="0" w:line="251" w:lineRule="auto"/>
        <w:rPr>
          <w:sz w:val="20"/>
          <w:szCs w:val="20"/>
          <w:color w:val="auto"/>
        </w:rPr>
      </w:pPr>
      <w:r>
        <w:rPr>
          <w:rFonts w:ascii="Times New Roman" w:cs="Times New Roman" w:eastAsia="Times New Roman" w:hAnsi="Times New Roman"/>
          <w:sz w:val="18"/>
          <w:szCs w:val="18"/>
          <w:color w:val="auto"/>
        </w:rPr>
        <w:t>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Accounting Impact of the Business Combination</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19"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Committed Equity Financing</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 xml:space="preserve">On August 16, 2022, we entered into the Purchase Agreement with Cantor establishing the Facility. Upon the initial satisfaction of the conditions to Cantor’s obligation to purchase Class A Shares set forth in the Purchase Agreement,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Class A Common Stock and (ii) the Exchange, subject to certain limitations and conditions set forth in the Purchase Agreement. See </w:t>
      </w:r>
      <w:r>
        <w:rPr>
          <w:rFonts w:ascii="Times New Roman" w:cs="Times New Roman" w:eastAsia="Times New Roman" w:hAnsi="Times New Roman"/>
          <w:sz w:val="18"/>
          <w:szCs w:val="18"/>
          <w:i w:val="1"/>
          <w:iCs w:val="1"/>
          <w:color w:val="auto"/>
        </w:rPr>
        <w:t>The Committed Equity Financing</w:t>
      </w:r>
      <w:r>
        <w:rPr>
          <w:rFonts w:ascii="Times New Roman" w:cs="Times New Roman" w:eastAsia="Times New Roman" w:hAnsi="Times New Roman"/>
          <w:sz w:val="18"/>
          <w:szCs w:val="18"/>
          <w:color w:val="auto"/>
        </w:rPr>
        <w:t xml:space="preserve"> elsewhere in this prospectus.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3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nine months ended September 30, 2021, the COVID-19 pandemic had an impact on our billings and revenue recognized from per unit royalties for Houndify Solutions and, although the impact during the three and nine months ended September 30, 2022 was not considered material, the extent of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23"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54" w:name="page155"/>
    <w:bookmarkEnd w:id="154"/>
    <w:p>
      <w:pPr>
        <w:ind w:left="560"/>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149"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SoundHound believes that its performance and future success depend on many factors that present significant opportunities for us but also pose risks and challenges, including the following:</w:t>
      </w:r>
    </w:p>
    <w:p>
      <w:pPr>
        <w:spacing w:after="0" w:line="87" w:lineRule="exact"/>
        <w:rPr>
          <w:sz w:val="20"/>
          <w:szCs w:val="20"/>
          <w:color w:val="auto"/>
        </w:rPr>
      </w:pPr>
    </w:p>
    <w:p>
      <w:pPr>
        <w:jc w:val="both"/>
        <w:ind w:left="1400" w:right="579" w:hanging="414"/>
        <w:spacing w:after="0" w:line="249"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significantly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16" w:lineRule="exact"/>
        <w:rPr>
          <w:rFonts w:ascii="Times New Roman" w:cs="Times New Roman" w:eastAsia="Times New Roman" w:hAnsi="Times New Roman"/>
          <w:sz w:val="18"/>
          <w:szCs w:val="18"/>
          <w:color w:val="auto"/>
        </w:rPr>
      </w:pPr>
    </w:p>
    <w:p>
      <w:pPr>
        <w:jc w:val="both"/>
        <w:ind w:left="1400" w:right="579" w:hanging="414"/>
        <w:spacing w:after="0" w:line="277" w:lineRule="auto"/>
        <w:tabs>
          <w:tab w:leader="none" w:pos="1396"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Revenue Growth. </w:t>
      </w:r>
      <w:r>
        <w:rPr>
          <w:rFonts w:ascii="Times New Roman" w:cs="Times New Roman" w:eastAsia="Times New Roman" w:hAnsi="Times New Roman"/>
          <w:sz w:val="16"/>
          <w:szCs w:val="16"/>
          <w:color w:val="auto"/>
        </w:rPr>
        <w:t>Our commercial success, including acceptance and use of our applications,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September 30, 2022 was at least 80%.</w:t>
      </w:r>
    </w:p>
    <w:p>
      <w:pPr>
        <w:spacing w:after="0" w:line="200" w:lineRule="exact"/>
        <w:rPr>
          <w:rFonts w:ascii="Times New Roman" w:cs="Times New Roman" w:eastAsia="Times New Roman" w:hAnsi="Times New Roman"/>
          <w:sz w:val="16"/>
          <w:szCs w:val="16"/>
          <w:color w:val="auto"/>
        </w:rPr>
      </w:pPr>
    </w:p>
    <w:p>
      <w:pPr>
        <w:spacing w:after="0" w:line="316" w:lineRule="exact"/>
        <w:rPr>
          <w:rFonts w:ascii="Times New Roman" w:cs="Times New Roman" w:eastAsia="Times New Roman" w:hAnsi="Times New Roman"/>
          <w:sz w:val="16"/>
          <w:szCs w:val="16"/>
          <w:color w:val="auto"/>
        </w:rPr>
      </w:pPr>
    </w:p>
    <w:p>
      <w:pPr>
        <w:jc w:val="both"/>
        <w:ind w:left="1400" w:right="579" w:hanging="414"/>
        <w:spacing w:after="0" w:line="248"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4" w:lineRule="exact"/>
        <w:rPr>
          <w:rFonts w:ascii="Times New Roman" w:cs="Times New Roman" w:eastAsia="Times New Roman" w:hAnsi="Times New Roman"/>
          <w:sz w:val="18"/>
          <w:szCs w:val="18"/>
          <w:color w:val="auto"/>
        </w:rPr>
      </w:pPr>
    </w:p>
    <w:p>
      <w:pPr>
        <w:jc w:val="both"/>
        <w:ind w:left="1400" w:right="579" w:hanging="414"/>
        <w:spacing w:after="0" w:line="250"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16" w:lineRule="exact"/>
        <w:rPr>
          <w:rFonts w:ascii="Times New Roman" w:cs="Times New Roman" w:eastAsia="Times New Roman" w:hAnsi="Times New Roman"/>
          <w:sz w:val="18"/>
          <w:szCs w:val="18"/>
          <w:color w:val="auto"/>
        </w:rPr>
      </w:pPr>
    </w:p>
    <w:p>
      <w:pPr>
        <w:jc w:val="both"/>
        <w:ind w:left="1400" w:right="579" w:hanging="414"/>
        <w:spacing w:after="0" w:line="253"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 We have globalized our solution from 1 to 25 languages, with a roadmap of 39 languages and 114 acoustic variations. We view opportunities for conversational Voice AI to be global in reach, and we expect our growth to be fueled across multiple geographies.</w:t>
      </w:r>
    </w:p>
    <w:p>
      <w:pPr>
        <w:spacing w:after="0" w:line="111" w:lineRule="exact"/>
        <w:rPr>
          <w:rFonts w:ascii="Times New Roman" w:cs="Times New Roman" w:eastAsia="Times New Roman" w:hAnsi="Times New Roman"/>
          <w:sz w:val="18"/>
          <w:szCs w:val="18"/>
          <w:color w:val="auto"/>
        </w:rPr>
      </w:pPr>
    </w:p>
    <w:p>
      <w:pPr>
        <w:jc w:val="both"/>
        <w:ind w:left="1400" w:right="579" w:hanging="414"/>
        <w:spacing w:after="0" w:line="248" w:lineRule="auto"/>
        <w:tabs>
          <w:tab w:leader="none" w:pos="1396"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Industry Risks. </w:t>
      </w:r>
      <w:r>
        <w:rPr>
          <w:rFonts w:ascii="Times New Roman" w:cs="Times New Roman" w:eastAsia="Times New Roman" w:hAnsi="Times New Roman"/>
          <w:sz w:val="18"/>
          <w:szCs w:val="18"/>
          <w:color w:val="auto"/>
        </w:rPr>
        <w:t>In addition to the COVID-19 pandemic as addressed herein, the military conflict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5" w:name="page156"/>
    <w:bookmarkEnd w:id="155"/>
    <w:p>
      <w:pPr>
        <w:jc w:val="both"/>
        <w:ind w:left="1400" w:right="579"/>
        <w:spacing w:after="0" w:line="248" w:lineRule="auto"/>
        <w:rPr>
          <w:sz w:val="20"/>
          <w:szCs w:val="20"/>
          <w:color w:val="auto"/>
        </w:rPr>
      </w:pPr>
      <w:r>
        <w:rPr>
          <w:rFonts w:ascii="Times New Roman" w:cs="Times New Roman" w:eastAsia="Times New Roman" w:hAnsi="Times New Roman"/>
          <w:sz w:val="18"/>
          <w:szCs w:val="18"/>
          <w:color w:val="auto"/>
        </w:rPr>
        <w:t>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nine months ended September 30, 2022 and 2021.</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1"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3" w:lineRule="exact"/>
        <w:rPr>
          <w:sz w:val="20"/>
          <w:szCs w:val="20"/>
          <w:color w:val="auto"/>
        </w:rPr>
      </w:pPr>
    </w:p>
    <w:p>
      <w:pPr>
        <w:jc w:val="both"/>
        <w:ind w:left="560" w:right="579" w:firstLine="5"/>
        <w:spacing w:after="0" w:line="244" w:lineRule="auto"/>
        <w:tabs>
          <w:tab w:leader="none" w:pos="82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25"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“Houndified Products,” meaning products of our customers that employ SoundHound AI technology, and “Houndified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82"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$23.4 million as of September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the three and nine month periods ended September 30, 2022 included elsewhere in this prospectus for more information.</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56" w:name="page157"/>
    <w:bookmarkEnd w:id="156"/>
    <w:p>
      <w:pPr>
        <w:ind w:left="5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23"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3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04"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9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1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36"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7" w:name="page158"/>
    <w:bookmarkEnd w:id="157"/>
    <w:p>
      <w:pPr>
        <w:ind w:left="560"/>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We did not record any losses on extinguishment of convertible note during the nine months ended September 30, 2022 or during the year ended December 31, 2021. The loss on extinguishment of convertible note during Fiscal 2020 was attributable to the convertible note issued in May 2020 that was converted into shares of our Series D-3 and D-3A preferred stock in August 2020 at a loss.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5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30"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tables set forth the significant components of our results of operations for the three and nine months ended September 30, 2022 and 2021 (in thousands except for %):</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6"/>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6"/>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4,028</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19,352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14,344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38,194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21,198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16,996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line="20" w:lineRule="exact"/>
              <w:rPr>
                <w:sz w:val="1"/>
                <w:szCs w:val="1"/>
                <w:color w:val="auto"/>
              </w:rPr>
            </w:pPr>
          </w:p>
        </w:tc>
      </w:tr>
      <w:tr>
        <w:trPr>
          <w:trHeight w:val="229"/>
        </w:trPr>
        <w:tc>
          <w:tcPr>
            <w:tcW w:w="3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(28,058)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(22,591)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1"/>
                <w:szCs w:val="21"/>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8" w:name="page159"/>
    <w:bookmarkEnd w:id="158"/>
    <w:tbl>
      <w:tblPr>
        <w:tblLayout w:type="fixed"/>
        <w:tblInd w:w="56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3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3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40"/>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10,364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40"/>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54,864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42,810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12,054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22,952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6"/>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98,283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62,334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35,949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9"/>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6"/>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(83,088)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(56,293)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(26,795)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1"/>
                <w:szCs w:val="21"/>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for the three and nine months ended September 30, 2022 and 2021 (in thousands except for %):</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40" w:type="dxa"/>
            <w:vAlign w:val="bottom"/>
            <w:tcBorders>
              <w:left w:val="single" w:sz="8" w:color="CCEEFF"/>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6"/>
        </w:trPr>
        <w:tc>
          <w:tcPr>
            <w:tcW w:w="3820" w:type="dxa"/>
            <w:vAlign w:val="bottom"/>
            <w:vMerge w:val="continue"/>
          </w:tcPr>
          <w:p>
            <w:pPr>
              <w:spacing w:after="0"/>
              <w:rPr>
                <w:sz w:val="20"/>
                <w:szCs w:val="20"/>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40" w:type="dxa"/>
            <w:vAlign w:val="bottom"/>
          </w:tcPr>
          <w:p>
            <w:pPr>
              <w:spacing w:after="0"/>
              <w:rPr>
                <w:sz w:val="20"/>
                <w:szCs w:val="20"/>
                <w:color w:val="auto"/>
              </w:rPr>
            </w:pPr>
          </w:p>
        </w:tc>
        <w:tc>
          <w:tcPr>
            <w:tcW w:w="240" w:type="dxa"/>
            <w:vAlign w:val="bottom"/>
            <w:gridSpan w:val="4"/>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4,028</w:t>
            </w:r>
          </w:p>
        </w:tc>
        <w:tc>
          <w:tcPr>
            <w:tcW w:w="2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tcBorders>
              <w:left w:val="single" w:sz="8" w:color="CCEEFF"/>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6"/>
        </w:trPr>
        <w:tc>
          <w:tcPr>
            <w:tcW w:w="3820" w:type="dxa"/>
            <w:vAlign w:val="bottom"/>
            <w:vMerge w:val="continue"/>
          </w:tcPr>
          <w:p>
            <w:pPr>
              <w:spacing w:after="0"/>
              <w:rPr>
                <w:sz w:val="20"/>
                <w:szCs w:val="20"/>
                <w:color w:val="auto"/>
              </w:rPr>
            </w:pP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40" w:type="dxa"/>
            <w:vAlign w:val="bottom"/>
          </w:tcPr>
          <w:p>
            <w:pPr>
              <w:spacing w:after="0"/>
              <w:rPr>
                <w:sz w:val="20"/>
                <w:szCs w:val="20"/>
                <w:color w:val="auto"/>
              </w:rPr>
            </w:pPr>
          </w:p>
        </w:tc>
        <w:tc>
          <w:tcPr>
            <w:tcW w:w="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40" w:type="dxa"/>
            <w:vAlign w:val="bottom"/>
          </w:tcPr>
          <w:p>
            <w:pPr>
              <w:spacing w:after="0"/>
              <w:rPr>
                <w:sz w:val="20"/>
                <w:szCs w:val="20"/>
                <w:color w:val="auto"/>
              </w:rPr>
            </w:pPr>
          </w:p>
        </w:tc>
        <w:tc>
          <w:tcPr>
            <w:tcW w:w="2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8"/>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160" w:type="dxa"/>
            <w:vAlign w:val="bottom"/>
            <w:gridSpan w:val="3"/>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760" w:type="dxa"/>
            <w:vAlign w:val="bottom"/>
            <w:gridSpan w:val="4"/>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4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gridSpan w:val="4"/>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gridSpan w:val="4"/>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5,431</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4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40" w:type="dxa"/>
            <w:vAlign w:val="bottom"/>
            <w:tcBorders>
              <w:left w:val="single" w:sz="8" w:color="CCEEFF"/>
            </w:tcBorders>
            <w:shd w:val="clear" w:color="auto" w:fill="CCEEFF"/>
          </w:tcPr>
          <w:p>
            <w:pPr>
              <w:spacing w:after="0"/>
              <w:rPr>
                <w:sz w:val="20"/>
                <w:szCs w:val="20"/>
                <w:color w:val="auto"/>
              </w:rPr>
            </w:pPr>
          </w:p>
        </w:tc>
        <w:tc>
          <w:tcPr>
            <w:tcW w:w="240" w:type="dxa"/>
            <w:vAlign w:val="bottom"/>
            <w:gridSpan w:val="4"/>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40" w:type="dxa"/>
            <w:vAlign w:val="bottom"/>
            <w:tcBorders>
              <w:left w:val="single" w:sz="8" w:color="CCEEFF"/>
            </w:tcBorders>
            <w:shd w:val="clear" w:color="auto" w:fill="CCEEFF"/>
          </w:tcPr>
          <w:p>
            <w:pPr>
              <w:spacing w:after="0"/>
              <w:rPr>
                <w:sz w:val="20"/>
                <w:szCs w:val="20"/>
                <w:color w:val="auto"/>
              </w:rPr>
            </w:pPr>
          </w:p>
        </w:tc>
        <w:tc>
          <w:tcPr>
            <w:tcW w:w="2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7,158</w:t>
            </w: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159" w:name="page160"/>
    <w:bookmarkEnd w:id="159"/>
    <w:tbl>
      <w:tblPr>
        <w:tblLayout w:type="fixed"/>
        <w:tblInd w:w="56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3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3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
        </w:trPr>
        <w:tc>
          <w:tcPr>
            <w:tcW w:w="3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2,897</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7,034</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40"/>
        </w:trPr>
        <w:tc>
          <w:tcPr>
            <w:tcW w:w="3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4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21,628</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16,046</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Total revenues increased by $7.2 million, or 178%, in the three months ended September 30, 2022 compared to the same period in 2021. The increase is primarily attributable to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increase in revenue is also due to a $1.7 million increase in hosted services during the three months ended September 30, 2022.</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Total revenues increased by $5.6 million, or 35%, in the nine months ended September 30, 2022, compared to the same period in 2021. The increase is primarily attributable to the $5.3 million of Houndify Edge licensing revenue and a $3.0 million increase in hosted services partially offset by a $2.7 million decrease in professional services during the nine months ended September 30, 2022. The decrease in professional services is primarily due to the recognition of $4.3 million in nonrecurring royalties revenue as a result of a contract modification to end a distinct professional service contract prior to completion with a customer in Germany during the nine months ended September 30, 2021.</w:t>
      </w:r>
    </w:p>
    <w:p>
      <w:pPr>
        <w:spacing w:after="0" w:line="124"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In addition to the revenue growth experienced in Korea due to the $5.3 million Houndify Edge licensing agreement, we benefited from growth across the United States, France and other smaller foreign regions from scaling our Houndify Products with large automotive and device makers. We experienced additional revenue growth from Houndified Products in geographic regions of France and the United States of $0.1 million and $1.4 million, and $2.0 million and $2.3 million, respectively, during the three and nine months ended September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attributable to an increase in royalties from one customer due to higher usage and hosting. Additionally, we experienced a $4.1 million decrease in revenue from Germany during the nine months ended September 30, 2022 compared to the same period in 2021. This was primarily due to a one-time contract modification to end a distinct professional service contract prior to completion during the nine months ended September 30, 2021. This customer was retained through ongoing hosting services. Revenue in both periods came principally from customers across the automotive and IoT sectors, with less significant amounts derived from other industry verticals.</w:t>
      </w:r>
    </w:p>
    <w:p>
      <w:pPr>
        <w:spacing w:after="0" w:line="3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5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Cost of revenues increased by $0.9 million, or 56%, and $2.0 million, or 40%, in the three and nine months ended September 30, 2022, respectively, compared to the same periods in 2021. The increases are primarily related to incurring additional data center and hosting costs due to system migrations in order to support our revenue growth. Gross margin increased to 77% during the three months ended September 30, 2022 compared to 59% during the same period in 2021 primarily due to increased margins on the Houndify Edge licensing agreement described above. Gross margin decreased to 68% during the nine months ended September 30, 2022 compared to 70% during the same period in 2021 primarily due to the one-time contract modification to end the distinct professional service contract prior to completion with a customer in Germany during the second quarter of 2021 offset by the increased margins on the Houndify Edge agreement described above. While our gross margin may continue to fluctuate in the near-term due to revenue contributions from varying product mixes, we expect it will stabilize as we continue to expand our revenue from subscriptions and monetization.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160" w:name="page161"/>
    <w:bookmarkEnd w:id="160"/>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increased by $5.0 million, or 35%, and $12.1 million, or 28%, in the three and nine months ended September 30, 2022, respectively, compared to the same periods in 2021. This increase in research and development expenses was primarily related to our investment in technology and engineering and increasing our full-time engineer headcount by to ensure we remain at the forefront of innovation, while also helping to develop and scale new products and services. Research and development headcount increased by 13% and was accompanied by higher salaries and compensation packages for executive hires as well as an additional $3.7 million and $6.1 million of stock-based compensation expense in the three and nine months ended September 30, 2022, respectively, compared to the same periods in 2021.</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38"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Sales and marketing expenses increased by $5.5 million, or 468%, and $10.4 million, or 318%, in the three and nine months ended September 30, 2022, respectively, compared to the same periods in 2021. This increase is due to a 184% increase in sales and marketing headcount and increased program spend to support a greater investment in go-to-market strategies and customer engagement and drive growth in our revenue from subscriptions and monetization.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1"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General and administrative costs increased by $5.6 million, or 138%, and $11.6 million, or 102%, in the three and nine months ended September 30, 2022, respectively, compared to the same periods in 2021. This increase represents investments in our human resources, finance and legal functions, including increased personnel-related expenses as we prepared and began to function as a public entity. General and administrative headcount increased by 83% and was accompanied by higher salaries and compensation packages for executive hires as well as an additional $3.1 million and $7.7 million of stock -based compensation expense in the three and nine months ended September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during the nine months ended September 30,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3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Interest expense decreased by $1.5 million, or 57%, in the three months ended September 30, 2022 compared to the same period in 2021. The decrease in interest expense was primarily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second quarter of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Interest expense decreased by a nominal amount in the nine months ended September 30, 2022 compared to the same period in 2021. The decrease in interest expense was primarily attributable to the conversion of the SNAP June 2020 Note, as described above, and largely offset by the issuance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nine months ended September 30, 2022.</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1" w:name="page162"/>
    <w:bookmarkEnd w:id="161"/>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tables summarize our other income (expense), net, by type (in thousands except for %):</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6"/>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3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2"/>
        </w:trPr>
        <w:tc>
          <w:tcPr>
            <w:tcW w:w="20" w:type="dxa"/>
            <w:vAlign w:val="bottom"/>
          </w:tcPr>
          <w:p>
            <w:pPr>
              <w:spacing w:after="0"/>
              <w:rPr>
                <w:sz w:val="16"/>
                <w:szCs w:val="16"/>
                <w:color w:val="auto"/>
              </w:rPr>
            </w:pPr>
          </w:p>
        </w:tc>
        <w:tc>
          <w:tcPr>
            <w:tcW w:w="35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Change in fair value of derivative and warrant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6"/>
        </w:trPr>
        <w:tc>
          <w:tcPr>
            <w:tcW w:w="2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6"/>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6"/>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3580" w:type="dxa"/>
            <w:vAlign w:val="bottom"/>
            <w:gridSpan w:val="2"/>
          </w:tcPr>
          <w:p>
            <w:pPr>
              <w:spacing w:after="0"/>
              <w:rPr>
                <w:sz w:val="3"/>
                <w:szCs w:val="3"/>
                <w:color w:val="auto"/>
              </w:rPr>
            </w:pPr>
          </w:p>
        </w:tc>
        <w:tc>
          <w:tcPr>
            <w:tcW w:w="460" w:type="dxa"/>
            <w:vAlign w:val="bottom"/>
            <w:gridSpan w:val="2"/>
          </w:tcPr>
          <w:p>
            <w:pPr>
              <w:spacing w:after="0"/>
              <w:rPr>
                <w:sz w:val="3"/>
                <w:szCs w:val="3"/>
                <w:color w:val="auto"/>
              </w:rPr>
            </w:pPr>
          </w:p>
        </w:tc>
        <w:tc>
          <w:tcPr>
            <w:tcW w:w="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340" w:type="dxa"/>
            <w:vAlign w:val="bottom"/>
            <w:gridSpan w:val="2"/>
          </w:tcPr>
          <w:p>
            <w:pPr>
              <w:spacing w:after="0"/>
              <w:rPr>
                <w:sz w:val="3"/>
                <w:szCs w:val="3"/>
                <w:color w:val="auto"/>
              </w:rPr>
            </w:pPr>
          </w:p>
        </w:tc>
        <w:tc>
          <w:tcPr>
            <w:tcW w:w="7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192"/>
        </w:trPr>
        <w:tc>
          <w:tcPr>
            <w:tcW w:w="20" w:type="dxa"/>
            <w:vAlign w:val="bottom"/>
          </w:tcPr>
          <w:p>
            <w:pPr>
              <w:spacing w:after="0"/>
              <w:rPr>
                <w:sz w:val="16"/>
                <w:szCs w:val="16"/>
                <w:color w:val="auto"/>
              </w:rPr>
            </w:pPr>
          </w:p>
        </w:tc>
        <w:tc>
          <w:tcPr>
            <w:tcW w:w="35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Change in fair value of derivative and warrant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0"/>
        </w:trPr>
        <w:tc>
          <w:tcPr>
            <w:tcW w:w="3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6"/>
        </w:trPr>
        <w:tc>
          <w:tcPr>
            <w:tcW w:w="2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losses attributable to the change in fair value of derivative and warrant liability decreased by $2.5 million, or 100%, and $3.2 million, or 84%, in the three and nine months ended September 30, 2022, respectively, compared to the same periods in 2021. The changes were primarily attributable to $1.8 million and $2.7 million in losses, from the change in fair value of the warrant liability during the three and nine months ended September 30, 2021, respectively, as compared to no change in the fair value of the warrant liability during the three and nine months ended September 30, 2022, due to the exercise of Series C Warrants in December 2021, which extinguished the Company’s corresponding warrant liability.</w:t>
      </w:r>
    </w:p>
    <w:p>
      <w:pPr>
        <w:spacing w:after="0" w:line="124"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balance during the nine months ended September 30, 2022 solely reflects the change in fair value of the embedded derivative from the SNAP June 2020 Note. The fair value of the derivative liability decreased by $0.6 million during the nine months ended September 30, 2022, compared to decreases of $0.7 million and $1.1 million during the three and nine months ended September 30, 2021, respectively. The changes in fair value of the derivative liability represent corresponding gains or losses on the Condensed Consolidated Statement of Operations and Comprehensive Loss due to changes in probability assumptions of a change in control or SPAC transaction.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 thousands except for %)</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7"/>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8"/>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8"/>
                <w:szCs w:val="18"/>
                <w:color w:val="auto"/>
              </w:rPr>
            </w:pPr>
          </w:p>
        </w:tc>
        <w:tc>
          <w:tcPr>
            <w:tcW w:w="1320" w:type="dxa"/>
            <w:vAlign w:val="bottom"/>
            <w:gridSpan w:val="3"/>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80" w:type="dxa"/>
            <w:vAlign w:val="bottom"/>
          </w:tcPr>
          <w:p>
            <w:pPr>
              <w:spacing w:after="0"/>
              <w:rPr>
                <w:sz w:val="18"/>
                <w:szCs w:val="18"/>
                <w:color w:val="auto"/>
              </w:rPr>
            </w:pP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460" w:type="dxa"/>
            <w:vAlign w:val="bottom"/>
          </w:tcPr>
          <w:p>
            <w:pPr>
              <w:spacing w:after="0"/>
              <w:rPr>
                <w:sz w:val="18"/>
                <w:szCs w:val="18"/>
                <w:color w:val="auto"/>
              </w:rPr>
            </w:pPr>
          </w:p>
        </w:tc>
      </w:tr>
      <w:tr>
        <w:trPr>
          <w:trHeight w:val="44"/>
        </w:trPr>
        <w:tc>
          <w:tcPr>
            <w:tcW w:w="20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5"/>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Pr>
          <w:p>
            <w:pPr>
              <w:spacing w:after="0"/>
              <w:rPr>
                <w:sz w:val="19"/>
                <w:szCs w:val="19"/>
                <w:color w:val="auto"/>
              </w:rPr>
            </w:pPr>
          </w:p>
        </w:tc>
        <w:tc>
          <w:tcPr>
            <w:tcW w:w="62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44"/>
        </w:trPr>
        <w:tc>
          <w:tcPr>
            <w:tcW w:w="20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5"/>
        </w:trPr>
        <w:tc>
          <w:tcPr>
            <w:tcW w:w="2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2" w:name="page163"/>
    <w:bookmarkEnd w:id="162"/>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 Fiscal 2021 and Fiscal 2020</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following table sets forth the significant components of our results of operations for Fiscal 2021 and</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2020 (in thousands except for %):</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54,279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9"/>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(13,757)</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29"/>
        </w:trPr>
        <w:tc>
          <w:tcPr>
            <w:tcW w:w="32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revenues by type for Fiscal 2021 and Fiscal 2020 (in thousands except for %):</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2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2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26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3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10,372</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1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1,291</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6"/>
        </w:trPr>
        <w:tc>
          <w:tcPr>
            <w:tcW w:w="2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13,017</w:t>
            </w: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8"/>
        </w:trPr>
        <w:tc>
          <w:tcPr>
            <w:tcW w:w="2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2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2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26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236"/>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1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0"/>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3,797</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0"/>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2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26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21,197</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13,017</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3" w:name="page164"/>
    <w:bookmarkEnd w:id="163"/>
    <w:p>
      <w:pPr>
        <w:jc w:val="both"/>
        <w:ind w:left="560" w:right="579"/>
        <w:spacing w:after="0" w:line="255" w:lineRule="auto"/>
        <w:rPr>
          <w:sz w:val="20"/>
          <w:szCs w:val="20"/>
          <w:color w:val="auto"/>
        </w:rPr>
      </w:pPr>
      <w:r>
        <w:rPr>
          <w:rFonts w:ascii="Times New Roman" w:cs="Times New Roman" w:eastAsia="Times New Roman" w:hAnsi="Times New Roman"/>
          <w:sz w:val="18"/>
          <w:szCs w:val="18"/>
          <w:color w:val="auto"/>
        </w:rPr>
        <w:t>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pacing w:after="0" w:line="10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increase in Service Subscriptions revenue of $0.3 million, or 22%, is primarily due to an increased number of customers with production-ready Houndified Services and increased usage by end users during Fiscal 2021.</w:t>
      </w:r>
    </w:p>
    <w:p>
      <w:pPr>
        <w:spacing w:after="0" w:line="115"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Monetization revenue decreased nominally during Fiscal 2021 due to a decrease in advertising revenue through decreased user impressions on the SoundHound music application.</w:t>
      </w:r>
    </w:p>
    <w:p>
      <w:pPr>
        <w:spacing w:after="0" w:line="104"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38"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64" w:name="page165"/>
    <w:bookmarkEnd w:id="164"/>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38"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other expenses by type that comprise the other expense, net account for Fiscal 2021 and Fiscal 2020 (in thousands except for %):</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6"/>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6"/>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r>
      <w:tr>
        <w:trPr>
          <w:trHeight w:val="44"/>
        </w:trPr>
        <w:tc>
          <w:tcPr>
            <w:tcW w:w="35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92"/>
        </w:trPr>
        <w:tc>
          <w:tcPr>
            <w:tcW w:w="20" w:type="dxa"/>
            <w:vAlign w:val="bottom"/>
          </w:tcPr>
          <w:p>
            <w:pPr>
              <w:spacing w:after="0"/>
              <w:rPr>
                <w:sz w:val="16"/>
                <w:szCs w:val="16"/>
                <w:color w:val="auto"/>
              </w:rPr>
            </w:pPr>
          </w:p>
        </w:tc>
        <w:tc>
          <w:tcPr>
            <w:tcW w:w="3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Change in fair value of derivative and warrant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40"/>
        </w:trPr>
        <w:tc>
          <w:tcPr>
            <w:tcW w:w="35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6"/>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9"/>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7"/>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expense, net</w:t>
            </w: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3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Interest income decreased by $0.2 million, or 96%, in Fiscal 2021, compared to Fiscal 2020 due to the gradual liquidation of our short-term investments throughout the prior period then ended.</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49"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3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1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had $33.4 million in cash and cash equivalents as of September 30, 2022. Although the Company has incurred recurring losses each year since its inception, the Company expects it will be able to fund its operations for at least the next twelve months. The Company may seek additional funding through debt or equity financing arrangements (including pursuant to the offering contemplated herein), implement incremental expense reduction measures or a combination thereof to continue financing its operations. Although management continues to pursue these plans, there is no assurance that the Company will be successful in obtaining sufficient funding on terms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5" w:name="page166"/>
    <w:bookmarkEnd w:id="165"/>
    <w:p>
      <w:pPr>
        <w:jc w:val="both"/>
        <w:ind w:left="560" w:right="579"/>
        <w:spacing w:after="0" w:line="248" w:lineRule="auto"/>
        <w:rPr>
          <w:sz w:val="20"/>
          <w:szCs w:val="20"/>
          <w:color w:val="auto"/>
        </w:rPr>
      </w:pPr>
      <w:r>
        <w:rPr>
          <w:rFonts w:ascii="Times New Roman" w:cs="Times New Roman" w:eastAsia="Times New Roman" w:hAnsi="Times New Roman"/>
          <w:sz w:val="18"/>
          <w:szCs w:val="18"/>
          <w:color w:val="auto"/>
        </w:rPr>
        <w:t>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38" w:lineRule="exact"/>
        <w:rPr>
          <w:sz w:val="20"/>
          <w:szCs w:val="20"/>
          <w:color w:val="auto"/>
        </w:rPr>
      </w:pPr>
    </w:p>
    <w:p>
      <w:pPr>
        <w:jc w:val="both"/>
        <w:ind w:left="560" w:right="579" w:firstLine="420"/>
        <w:spacing w:after="0" w:line="281" w:lineRule="auto"/>
        <w:rPr>
          <w:sz w:val="20"/>
          <w:szCs w:val="20"/>
          <w:color w:val="auto"/>
        </w:rPr>
      </w:pPr>
      <w:r>
        <w:rPr>
          <w:rFonts w:ascii="Times New Roman" w:cs="Times New Roman" w:eastAsia="Times New Roman" w:hAnsi="Times New Roman"/>
          <w:sz w:val="16"/>
          <w:szCs w:val="16"/>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nine month periods ended September 30, 2022 and Note 6 and Note 13 to our audited consolidated financial statements included in this prospectus for more information.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Below are our material debt agreements as of September 30, 2022:</w:t>
      </w:r>
    </w:p>
    <w:p>
      <w:pPr>
        <w:spacing w:after="0" w:line="145" w:lineRule="exact"/>
        <w:rPr>
          <w:sz w:val="20"/>
          <w:szCs w:val="20"/>
          <w:color w:val="auto"/>
        </w:rPr>
      </w:pPr>
    </w:p>
    <w:p>
      <w:pPr>
        <w:jc w:val="both"/>
        <w:ind w:left="1400" w:right="579" w:hanging="414"/>
        <w:spacing w:after="0" w:line="248" w:lineRule="auto"/>
        <w:tabs>
          <w:tab w:leader="none" w:pos="13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SVB March 2021 </w:t>
      </w:r>
      <w:r>
        <w:rPr>
          <w:rFonts w:ascii="Times New Roman" w:cs="Times New Roman" w:eastAsia="Times New Roman" w:hAnsi="Times New Roman"/>
          <w:sz w:val="18"/>
          <w:szCs w:val="18"/>
          <w:color w:val="auto"/>
        </w:rPr>
        <w:t>— In March 2021, we entered into a loan and security agreement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08" w:lineRule="exact"/>
        <w:rPr>
          <w:rFonts w:ascii="Times New Roman" w:cs="Times New Roman" w:eastAsia="Times New Roman" w:hAnsi="Times New Roman"/>
          <w:sz w:val="18"/>
          <w:szCs w:val="18"/>
          <w:color w:val="auto"/>
        </w:rPr>
      </w:pPr>
    </w:p>
    <w:p>
      <w:pPr>
        <w:jc w:val="both"/>
        <w:ind w:left="1400" w:right="579" w:hanging="414"/>
        <w:spacing w:after="0" w:line="252" w:lineRule="auto"/>
        <w:tabs>
          <w:tab w:leader="none" w:pos="13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SCI June 2021 Note </w:t>
      </w:r>
      <w:r>
        <w:rPr>
          <w:rFonts w:ascii="Times New Roman" w:cs="Times New Roman" w:eastAsia="Times New Roman" w:hAnsi="Times New Roman"/>
          <w:sz w:val="18"/>
          <w:szCs w:val="18"/>
          <w:color w:val="auto"/>
        </w:rPr>
        <w:t>— In June 2021, we issued a note pursuant to a loan and security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lender to borrow up to a commitment amount of $15.0 million in $5.0 million increments (“SCI June 2021 Note”). Through December 31, 2021, we had borrowed $15.0 million. The maturity date of the loan is May 31, 2025.</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2022 and 2021 (in thousands):</w:t>
      </w:r>
    </w:p>
    <w:p>
      <w:pPr>
        <w:spacing w:after="0" w:line="1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36195</wp:posOffset>
            </wp:positionV>
            <wp:extent cx="12757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4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3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(73,605)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(51,097)</w:t>
            </w:r>
          </w:p>
        </w:tc>
        <w:tc>
          <w:tcPr>
            <w:tcW w:w="0" w:type="dxa"/>
            <w:vAlign w:val="bottom"/>
          </w:tcPr>
          <w:p>
            <w:pPr>
              <w:spacing w:after="0"/>
              <w:rPr>
                <w:sz w:val="1"/>
                <w:szCs w:val="1"/>
                <w:color w:val="auto"/>
              </w:rPr>
            </w:pP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40"/>
        </w:trPr>
        <w:tc>
          <w:tcPr>
            <w:tcW w:w="4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85,613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6"/>
        </w:trPr>
        <w:tc>
          <w:tcPr>
            <w:tcW w:w="43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10,820</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Net cash used in operating activities was $73.6 million during the nine months ended September 30, 2022 compared to $51.1 million during the nine months ended September 30, 2021. The $22.5 million increase in cash used in operating activities was primarily due to our increased net loss, adjusted for non-cash expenses, including stock-based compensation and depreciation and amortization, as well as an increase in our contract assets balance of $6.0 million.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56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$1.2 million during the nine months ended September 30, 2022 compared to $0.2 million during the nine months ended September 30, 2021. The $1.0 million increase in cash used in investing activities was driven by purchases of property and equipment.</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36" w:lineRule="exact"/>
        <w:rPr>
          <w:sz w:val="20"/>
          <w:szCs w:val="20"/>
          <w:color w:val="auto"/>
        </w:rPr>
      </w:pPr>
    </w:p>
    <w:p>
      <w:pPr>
        <w:jc w:val="both"/>
        <w:ind w:left="560" w:right="579" w:firstLine="420"/>
        <w:spacing w:after="0" w:line="283" w:lineRule="auto"/>
        <w:rPr>
          <w:sz w:val="20"/>
          <w:szCs w:val="20"/>
          <w:color w:val="auto"/>
        </w:rPr>
      </w:pPr>
      <w:r>
        <w:rPr>
          <w:rFonts w:ascii="Times New Roman" w:cs="Times New Roman" w:eastAsia="Times New Roman" w:hAnsi="Times New Roman"/>
          <w:sz w:val="16"/>
          <w:szCs w:val="16"/>
          <w:color w:val="auto"/>
        </w:rPr>
        <w:t>Net cash provided by financing activities was $85.6 million during the nine months ended September 30, 2022 compared to $34.9 million during the nine months ended September 30, 2021. The $50.7 million increase in cash provided by financing activities was primarily due to the $90.7 million in net proceeds from the Business Combination and a $1.7 million increase in proceeds from common stock options exercised during the nine months ended September 30, 2022. This was partially offset by net proceeds of $34.9 million from the issuance of the SVB March 2021 Note and the SCI June 2021 Note during the nine months ended September 30, 2021 and payments on our notes payable of $7.5 million during the nine months ended September 30, 2022.</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We have no material changes to our commitments and contingencies as of September 30, 2022 as disclosed in the contractual obligations and commitment section in our unaudited condensed consolidated financial statements as of September 30, 2022 included elsewhere in this prospectus.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36"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49" w:lineRule="exact"/>
        <w:rPr>
          <w:sz w:val="20"/>
          <w:szCs w:val="20"/>
          <w:color w:val="auto"/>
        </w:rPr>
      </w:pPr>
    </w:p>
    <w:p>
      <w:pPr>
        <w:jc w:val="both"/>
        <w:ind w:left="560" w:right="579" w:firstLine="420"/>
        <w:spacing w:after="0" w:line="280" w:lineRule="auto"/>
        <w:rPr>
          <w:sz w:val="20"/>
          <w:szCs w:val="20"/>
          <w:color w:val="auto"/>
        </w:rPr>
      </w:pPr>
      <w:r>
        <w:rPr>
          <w:rFonts w:ascii="Times New Roman" w:cs="Times New Roman" w:eastAsia="Times New Roman" w:hAnsi="Times New Roman"/>
          <w:sz w:val="16"/>
          <w:szCs w:val="16"/>
          <w:color w:val="auto"/>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9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a discussion of our critical accounting policies, see Note 2 to the audited consolidated financial statements and unaudited condensed consolidated financial statements each included elsewhere in this prospectus.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67" w:name="page168"/>
    <w:bookmarkEnd w:id="167"/>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5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derive our revenue primarily from the following performance obligations: (1) hosted services,</w:t>
      </w:r>
    </w:p>
    <w:p>
      <w:pPr>
        <w:spacing w:after="0" w:line="21" w:lineRule="exact"/>
        <w:rPr>
          <w:sz w:val="20"/>
          <w:szCs w:val="20"/>
          <w:color w:val="auto"/>
        </w:rPr>
      </w:pPr>
    </w:p>
    <w:p>
      <w:pPr>
        <w:ind w:left="560" w:right="579" w:firstLine="5"/>
        <w:spacing w:after="0" w:line="247" w:lineRule="auto"/>
        <w:tabs>
          <w:tab w:leader="none" w:pos="8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(3) monetization, and (4) licensing. Revenue is reported net of applicable sales and use taxes that are passed through to customers.</w:t>
      </w:r>
    </w:p>
    <w:p>
      <w:pPr>
        <w:spacing w:after="0" w:line="121"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have the following performance obligations in contracts with customers: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Hosted Services</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15"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spacing w:after="0" w:line="9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21"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8" w:name="page169"/>
    <w:bookmarkEnd w:id="168"/>
    <w:p>
      <w:pPr>
        <w:ind w:left="560"/>
        <w:spacing w:after="0"/>
        <w:rPr>
          <w:sz w:val="20"/>
          <w:szCs w:val="20"/>
          <w:color w:val="auto"/>
        </w:rPr>
      </w:pPr>
      <w:r>
        <w:rPr>
          <w:rFonts w:ascii="Times New Roman" w:cs="Times New Roman" w:eastAsia="Times New Roman" w:hAnsi="Times New Roman"/>
          <w:sz w:val="18"/>
          <w:szCs w:val="18"/>
          <w:i w:val="1"/>
          <w:iCs w:val="1"/>
          <w:color w:val="auto"/>
        </w:rPr>
        <w:t>Monetization</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136"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121" w:lineRule="exact"/>
        <w:rPr>
          <w:sz w:val="20"/>
          <w:szCs w:val="20"/>
          <w:color w:val="auto"/>
        </w:rPr>
      </w:pPr>
    </w:p>
    <w:p>
      <w:pPr>
        <w:ind w:left="1400" w:hanging="414"/>
        <w:spacing w:after="0"/>
        <w:tabs>
          <w:tab w:leader="none" w:pos="1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134"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147"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14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91"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Derivative Liabilities</w:t>
      </w:r>
    </w:p>
    <w:p>
      <w:pPr>
        <w:spacing w:after="0" w:line="15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spacing w:after="0" w:line="123"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69" w:name="page170"/>
    <w:bookmarkEnd w:id="169"/>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5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3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w:t>
      </w:r>
    </w:p>
    <w:p>
      <w:pPr>
        <w:spacing w:after="0" w:line="13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As there had been no public market for our common stock prior to the Business Combination, the estimated fair value of our common stock had been determined by our Board, or compensation committee thereof,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03"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282"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10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8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70" w:name="page171"/>
    <w:bookmarkEnd w:id="170"/>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67"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addition to considering the results of these independent third-party valuations, our Board considered various objective and subjective factors to determine the fair value of our common stock as of each grant date, including:</w:t>
      </w:r>
    </w:p>
    <w:p>
      <w:pPr>
        <w:spacing w:after="0" w:line="115" w:lineRule="exact"/>
        <w:rPr>
          <w:sz w:val="20"/>
          <w:szCs w:val="20"/>
          <w:color w:val="auto"/>
        </w:rPr>
      </w:pPr>
    </w:p>
    <w:p>
      <w:pPr>
        <w:ind w:left="1400" w:right="579" w:hanging="414"/>
        <w:spacing w:after="0" w:line="267" w:lineRule="auto"/>
        <w:tabs>
          <w:tab w:leader="none" w:pos="13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preferred stock and the superior rights, preferences and privileges of our preferred stock relative to our common stock at the time of each grant;</w:t>
      </w:r>
    </w:p>
    <w:p>
      <w:pPr>
        <w:spacing w:after="0" w:line="103"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SNAP June 2020 Note, including valuation terms;</w:t>
      </w:r>
    </w:p>
    <w:p>
      <w:pPr>
        <w:spacing w:after="0" w:line="134"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outlook for the continued commercialization our business strategy;</w:t>
      </w:r>
    </w:p>
    <w:p>
      <w:pPr>
        <w:spacing w:after="0" w:line="14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and trends within the industry, including a review of the performance and metrics of guideline public companies;</w:t>
      </w:r>
    </w:p>
    <w:p>
      <w:pPr>
        <w:spacing w:after="0" w:line="103"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90"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 and</w:t>
      </w:r>
    </w:p>
    <w:p>
      <w:pPr>
        <w:spacing w:after="0" w:line="14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 SPAC transaction, or sale of our company in light of prevailing market conditions.</w:t>
      </w:r>
    </w:p>
    <w:p>
      <w:pPr>
        <w:spacing w:after="0" w:line="104"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06"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As the result of the establishment of a public trading market for our Class A Common after the consummation of the Business Combination, it is no longer necessary for our Board to estimate the fair value of our Class A Common stock in connection with our accounting for granted stock options and other such awards we may grant, as the fair value of our Class A Common Stock will be determined based on the quoted market price of our Class A Common Stock.</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36"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w:t>
      </w:r>
    </w:p>
    <w:p>
      <w:pPr>
        <w:spacing w:after="0" w:line="2" w:lineRule="exact"/>
        <w:rPr>
          <w:sz w:val="20"/>
          <w:szCs w:val="20"/>
          <w:color w:val="auto"/>
        </w:rPr>
      </w:pPr>
    </w:p>
    <w:p>
      <w:pPr>
        <w:jc w:val="both"/>
        <w:ind w:left="560" w:right="579" w:firstLine="5"/>
        <w:spacing w:after="0" w:line="245" w:lineRule="auto"/>
        <w:tabs>
          <w:tab w:leader="none" w:pos="7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1)"/>
      <w:numFmt w:val="lowerRoman"/>
      <w:start w:val="3"/>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1)"/>
      <w:numFmt w:val="decimal"/>
      <w:start w:val="2"/>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1)"/>
      <w:numFmt w:val="decimal"/>
      <w:start w:val="636"/>
    </w:lvl>
  </w:abstractNum>
  <w:abstractNum w:abstractNumId="14">
    <w:nsid w:val="D34B6A8"/>
    <w:multiLevelType w:val="hybridMultilevel"/>
    <w:lvl w:ilvl="0">
      <w:lvlJc w:val="left"/>
      <w:lvlText w:val="%1."/>
      <w:numFmt w:val="decimal"/>
      <w:start w:val="1"/>
    </w:lvl>
  </w:abstractNum>
  <w:abstractNum w:abstractNumId="15">
    <w:nsid w:val="10233C99"/>
    <w:multiLevelType w:val="hybridMultilevel"/>
    <w:lvl w:ilvl="0">
      <w:lvlJc w:val="left"/>
      <w:lvlText w:val="%1."/>
      <w:numFmt w:val="decimal"/>
      <w:start w:val="1"/>
    </w:lvl>
  </w:abstractNum>
  <w:abstractNum w:abstractNumId="16">
    <w:nsid w:val="3F6AB60F"/>
    <w:multiLevelType w:val="hybridMultilevel"/>
    <w:lvl w:ilvl="0">
      <w:lvlJc w:val="left"/>
      <w:lvlText w:val="%1."/>
      <w:numFmt w:val="decimal"/>
      <w:start w:val="2"/>
    </w:lvl>
  </w:abstractNum>
  <w:abstractNum w:abstractNumId="17">
    <w:nsid w:val="61574095"/>
    <w:multiLevelType w:val="hybridMultilevel"/>
    <w:lvl w:ilvl="0">
      <w:lvlJc w:val="left"/>
      <w:lvlText w:val="%1."/>
      <w:numFmt w:val="decimal"/>
      <w:start w:val="2"/>
    </w:lvl>
  </w:abstractNum>
  <w:abstractNum w:abstractNumId="18">
    <w:nsid w:val="7E0C57B1"/>
    <w:multiLevelType w:val="hybridMultilevel"/>
    <w:lvl w:ilvl="0">
      <w:lvlJc w:val="left"/>
      <w:lvlText w:val="%1."/>
      <w:numFmt w:val="decimal"/>
      <w:start w:val="2"/>
    </w:lvl>
  </w:abstractNum>
  <w:abstractNum w:abstractNumId="19">
    <w:nsid w:val="77AE35EB"/>
    <w:multiLevelType w:val="hybridMultilevel"/>
    <w:lvl w:ilvl="0">
      <w:lvlJc w:val="left"/>
      <w:lvlText w:val="%1."/>
      <w:numFmt w:val="decimal"/>
      <w:start w:val="2"/>
    </w:lvl>
  </w:abstractNum>
  <w:abstractNum w:abstractNumId="20">
    <w:nsid w:val="579BE4F1"/>
    <w:multiLevelType w:val="hybridMultilevel"/>
    <w:lvl w:ilvl="0">
      <w:lvlJc w:val="left"/>
      <w:lvlText w:val="(%1)"/>
      <w:numFmt w:val="lowerRoman"/>
      <w:start w:val="1"/>
    </w:lvl>
  </w:abstractNum>
  <w:abstractNum w:abstractNumId="21">
    <w:nsid w:val="310C50B3"/>
    <w:multiLevelType w:val="hybridMultilevel"/>
    <w:lvl w:ilvl="0">
      <w:lvlJc w:val="left"/>
      <w:lvlText w:val="%1."/>
      <w:numFmt w:val="decimal"/>
      <w:start w:val="2"/>
    </w:lvl>
  </w:abstractNum>
  <w:abstractNum w:abstractNumId="22">
    <w:nsid w:val="5FF87E05"/>
    <w:multiLevelType w:val="hybridMultilevel"/>
    <w:lvl w:ilvl="0">
      <w:lvlJc w:val="left"/>
      <w:lvlText w:val="%1."/>
      <w:numFmt w:val="decimal"/>
      <w:start w:val="2"/>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1."/>
      <w:numFmt w:val="decimal"/>
      <w:start w:val="2"/>
    </w:lvl>
  </w:abstractNum>
  <w:abstractNum w:abstractNumId="25">
    <w:nsid w:val="1DBABF00"/>
    <w:multiLevelType w:val="hybridMultilevel"/>
    <w:lvl w:ilvl="0">
      <w:lvlJc w:val="left"/>
      <w:lvlText w:val="(%1)"/>
      <w:numFmt w:val="lowerRoman"/>
      <w:start w:val="3"/>
    </w:lvl>
  </w:abstractNum>
  <w:abstractNum w:abstractNumId="26">
    <w:nsid w:val="4AD084E9"/>
    <w:multiLevelType w:val="hybridMultilevel"/>
    <w:lvl w:ilvl="0">
      <w:lvlJc w:val="left"/>
      <w:lvlText w:val="%1."/>
      <w:numFmt w:val="decimal"/>
      <w:start w:val="2"/>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1."/>
      <w:numFmt w:val="decimal"/>
      <w:start w:val="2"/>
    </w:lvl>
  </w:abstractNum>
  <w:abstractNum w:abstractNumId="29">
    <w:nsid w:val="5DB70AE5"/>
    <w:multiLevelType w:val="hybridMultilevel"/>
    <w:lvl w:ilvl="0">
      <w:lvlJc w:val="left"/>
      <w:lvlText w:val="%1."/>
      <w:numFmt w:val="decimal"/>
      <w:start w:val="3"/>
    </w:lvl>
  </w:abstractNum>
  <w:abstractNum w:abstractNumId="30">
    <w:nsid w:val="100F8FCA"/>
    <w:multiLevelType w:val="hybridMultilevel"/>
    <w:lvl w:ilvl="0">
      <w:lvlJc w:val="left"/>
      <w:lvlText w:val="%1."/>
      <w:numFmt w:val="decimal"/>
      <w:start w:val="3"/>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1."/>
      <w:numFmt w:val="decimal"/>
      <w:start w:val="3"/>
    </w:lvl>
    <w:lvl w:ilvl="1">
      <w:lvlJc w:val="left"/>
      <w:lvlText w:val="•"/>
      <w:numFmt w:val="bullet"/>
      <w:start w:val="1"/>
    </w:lvl>
  </w:abstractNum>
  <w:abstractNum w:abstractNumId="33">
    <w:nsid w:val="5F5E7FD0"/>
    <w:multiLevelType w:val="hybridMultilevel"/>
    <w:lvl w:ilvl="0">
      <w:lvlJc w:val="left"/>
      <w:lvlText w:val="%1."/>
      <w:numFmt w:val="decimal"/>
      <w:start w:val="3"/>
    </w:lvl>
  </w:abstractNum>
  <w:abstractNum w:abstractNumId="34">
    <w:nsid w:val="98A3148"/>
    <w:multiLevelType w:val="hybridMultilevel"/>
    <w:lvl w:ilvl="0">
      <w:lvlJc w:val="left"/>
      <w:lvlText w:val="%1."/>
      <w:numFmt w:val="decimal"/>
      <w:start w:val="5"/>
    </w:lvl>
  </w:abstractNum>
  <w:abstractNum w:abstractNumId="35">
    <w:nsid w:val="799D0247"/>
    <w:multiLevelType w:val="hybridMultilevel"/>
    <w:lvl w:ilvl="0">
      <w:lvlJc w:val="left"/>
      <w:lvlText w:val="%1."/>
      <w:numFmt w:val="decimal"/>
      <w:start w:val="6"/>
    </w:lvl>
  </w:abstractNum>
  <w:abstractNum w:abstractNumId="36">
    <w:nsid w:val="6B94764"/>
    <w:multiLevelType w:val="hybridMultilevel"/>
    <w:lvl w:ilvl="0">
      <w:lvlJc w:val="left"/>
      <w:lvlText w:val="%1."/>
      <w:numFmt w:val="decimal"/>
      <w:start w:val="6"/>
    </w:lvl>
  </w:abstractNum>
  <w:abstractNum w:abstractNumId="37">
    <w:nsid w:val="42C296BD"/>
    <w:multiLevelType w:val="hybridMultilevel"/>
    <w:lvl w:ilvl="0">
      <w:lvlJc w:val="left"/>
      <w:lvlText w:val="%1."/>
      <w:numFmt w:val="decimal"/>
      <w:start w:val="7"/>
    </w:lvl>
  </w:abstractNum>
  <w:abstractNum w:abstractNumId="38">
    <w:nsid w:val="168E121F"/>
    <w:multiLevelType w:val="hybridMultilevel"/>
    <w:lvl w:ilvl="0">
      <w:lvlJc w:val="left"/>
      <w:lvlText w:val="%1."/>
      <w:numFmt w:val="decimal"/>
      <w:start w:val="7"/>
    </w:lvl>
  </w:abstractNum>
  <w:abstractNum w:abstractNumId="39">
    <w:nsid w:val="1EBA5D23"/>
    <w:multiLevelType w:val="hybridMultilevel"/>
    <w:lvl w:ilvl="0">
      <w:lvlJc w:val="left"/>
      <w:lvlText w:val="%1."/>
      <w:numFmt w:val="decimal"/>
      <w:start w:val="8"/>
    </w:lvl>
  </w:abstractNum>
  <w:abstractNum w:abstractNumId="40">
    <w:nsid w:val="661E3F1E"/>
    <w:multiLevelType w:val="hybridMultilevel"/>
    <w:lvl w:ilvl="0">
      <w:lvlJc w:val="left"/>
      <w:lvlText w:val="\emdash "/>
      <w:numFmt w:val="bullet"/>
      <w:start w:val="1"/>
    </w:lvl>
  </w:abstractNum>
  <w:abstractNum w:abstractNumId="41">
    <w:nsid w:val="5DC79EA8"/>
    <w:multiLevelType w:val="hybridMultilevel"/>
    <w:lvl w:ilvl="0">
      <w:lvlJc w:val="left"/>
      <w:lvlText w:val="%1."/>
      <w:numFmt w:val="decimal"/>
      <w:start w:val="8"/>
    </w:lvl>
  </w:abstractNum>
  <w:abstractNum w:abstractNumId="42">
    <w:nsid w:val="540A471C"/>
    <w:multiLevelType w:val="hybridMultilevel"/>
    <w:lvl w:ilvl="0">
      <w:lvlJc w:val="left"/>
      <w:lvlText w:val="%1."/>
      <w:numFmt w:val="decimal"/>
      <w:start w:val="8"/>
    </w:lvl>
  </w:abstractNum>
  <w:abstractNum w:abstractNumId="43">
    <w:nsid w:val="7BD3EE7B"/>
    <w:multiLevelType w:val="hybridMultilevel"/>
    <w:lvl w:ilvl="0">
      <w:lvlJc w:val="left"/>
      <w:lvlText w:val="%1."/>
      <w:numFmt w:val="decimal"/>
      <w:start w:val="8"/>
    </w:lvl>
  </w:abstractNum>
  <w:abstractNum w:abstractNumId="44">
    <w:nsid w:val="51D9C564"/>
    <w:multiLevelType w:val="hybridMultilevel"/>
    <w:lvl w:ilvl="0">
      <w:lvlJc w:val="left"/>
      <w:lvlText w:val="%1."/>
      <w:numFmt w:val="decimal"/>
      <w:start w:val="9"/>
    </w:lvl>
  </w:abstractNum>
  <w:abstractNum w:abstractNumId="45">
    <w:nsid w:val="613EFDC5"/>
    <w:multiLevelType w:val="hybridMultilevel"/>
    <w:lvl w:ilvl="0">
      <w:lvlJc w:val="left"/>
      <w:lvlText w:val="%1."/>
      <w:numFmt w:val="decimal"/>
      <w:start w:val="9"/>
    </w:lvl>
  </w:abstractNum>
  <w:abstractNum w:abstractNumId="46">
    <w:nsid w:val="BF72B14"/>
    <w:multiLevelType w:val="hybridMultilevel"/>
    <w:lvl w:ilvl="0">
      <w:lvlJc w:val="left"/>
      <w:lvlText w:val="%1."/>
      <w:numFmt w:val="decimal"/>
      <w:start w:val="9"/>
    </w:lvl>
  </w:abstractNum>
  <w:abstractNum w:abstractNumId="47">
    <w:nsid w:val="11447B73"/>
    <w:multiLevelType w:val="hybridMultilevel"/>
    <w:lvl w:ilvl="0">
      <w:lvlJc w:val="left"/>
      <w:lvlText w:val="%1."/>
      <w:numFmt w:val="decimal"/>
      <w:start w:val="9"/>
    </w:lvl>
  </w:abstractNum>
  <w:abstractNum w:abstractNumId="48">
    <w:nsid w:val="42963E5A"/>
    <w:multiLevelType w:val="hybridMultilevel"/>
    <w:lvl w:ilvl="0">
      <w:lvlJc w:val="left"/>
      <w:lvlText w:val="(%1)"/>
      <w:numFmt w:val="lowerRoman"/>
      <w:start w:val="2"/>
    </w:lvl>
  </w:abstractNum>
  <w:abstractNum w:abstractNumId="49">
    <w:nsid w:val="A0382C5"/>
    <w:multiLevelType w:val="hybridMultilevel"/>
    <w:lvl w:ilvl="0">
      <w:lvlJc w:val="left"/>
      <w:lvlText w:val="(%1)"/>
      <w:numFmt w:val="lowerRoman"/>
      <w:start w:val="1"/>
    </w:lvl>
  </w:abstractNum>
  <w:abstractNum w:abstractNumId="50">
    <w:nsid w:val="8F2B15E"/>
    <w:multiLevelType w:val="hybridMultilevel"/>
    <w:lvl w:ilvl="0">
      <w:lvlJc w:val="left"/>
      <w:lvlText w:val="(%1)"/>
      <w:numFmt w:val="lowerRoman"/>
      <w:start w:val="2"/>
    </w:lvl>
  </w:abstractNum>
  <w:abstractNum w:abstractNumId="51">
    <w:nsid w:val="1A32234B"/>
    <w:multiLevelType w:val="hybridMultilevel"/>
    <w:lvl w:ilvl="0">
      <w:lvlJc w:val="left"/>
      <w:lvlText w:val="(%1)"/>
      <w:numFmt w:val="lowerRoman"/>
      <w:start w:val="2"/>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1."/>
      <w:numFmt w:val="decimal"/>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1."/>
      <w:numFmt w:val="decimal"/>
      <w:start w:val="2"/>
    </w:lvl>
  </w:abstractNum>
  <w:abstractNum w:abstractNumId="57">
    <w:nsid w:val="14330624"/>
    <w:multiLevelType w:val="hybridMultilevel"/>
    <w:lvl w:ilvl="0">
      <w:lvlJc w:val="left"/>
      <w:lvlText w:val="%1."/>
      <w:numFmt w:val="decimal"/>
      <w:start w:val="2"/>
    </w:lvl>
  </w:abstractNum>
  <w:abstractNum w:abstractNumId="58">
    <w:nsid w:val="7FFFCA11"/>
    <w:multiLevelType w:val="hybridMultilevel"/>
    <w:lvl w:ilvl="0">
      <w:lvlJc w:val="left"/>
      <w:lvlText w:val="%1."/>
      <w:numFmt w:val="decimal"/>
      <w:start w:val="2"/>
    </w:lvl>
  </w:abstractNum>
  <w:abstractNum w:abstractNumId="59">
    <w:nsid w:val="1A27709E"/>
    <w:multiLevelType w:val="hybridMultilevel"/>
    <w:lvl w:ilvl="0">
      <w:lvlJc w:val="left"/>
      <w:lvlText w:val="(%1)"/>
      <w:numFmt w:val="lowerRoman"/>
      <w:start w:val="1"/>
    </w:lvl>
  </w:abstractNum>
  <w:abstractNum w:abstractNumId="60">
    <w:nsid w:val="71EA1109"/>
    <w:multiLevelType w:val="hybridMultilevel"/>
    <w:lvl w:ilvl="0">
      <w:lvlJc w:val="left"/>
      <w:lvlText w:val="%1."/>
      <w:numFmt w:val="decimal"/>
      <w:start w:val="2"/>
    </w:lvl>
    <w:lvl w:ilvl="1">
      <w:lvlJc w:val="left"/>
      <w:lvlText w:val="(%2)"/>
      <w:numFmt w:val="lowerRoman"/>
      <w:start w:val="4"/>
    </w:lvl>
  </w:abstractNum>
  <w:abstractNum w:abstractNumId="61">
    <w:nsid w:val="100F59DC"/>
    <w:multiLevelType w:val="hybridMultilevel"/>
    <w:lvl w:ilvl="0">
      <w:lvlJc w:val="left"/>
      <w:lvlText w:val="%1."/>
      <w:numFmt w:val="decimal"/>
      <w:start w:val="2"/>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1."/>
      <w:numFmt w:val="decimal"/>
      <w:start w:val="2"/>
    </w:lvl>
  </w:abstractNum>
  <w:abstractNum w:abstractNumId="64">
    <w:nsid w:val="6F6DD9AC"/>
    <w:multiLevelType w:val="hybridMultilevel"/>
    <w:lvl w:ilvl="0">
      <w:lvlJc w:val="left"/>
      <w:lvlText w:val="%1."/>
      <w:numFmt w:val="decimal"/>
      <w:start w:val="2"/>
    </w:lvl>
  </w:abstractNum>
  <w:abstractNum w:abstractNumId="65">
    <w:nsid w:val="94211F2"/>
    <w:multiLevelType w:val="hybridMultilevel"/>
    <w:lvl w:ilvl="0">
      <w:lvlJc w:val="left"/>
      <w:lvlText w:val="(%1)"/>
      <w:numFmt w:val="lowerRoman"/>
      <w:start w:val="3"/>
    </w:lvl>
  </w:abstractNum>
  <w:abstractNum w:abstractNumId="66">
    <w:nsid w:val="885E1B"/>
    <w:multiLevelType w:val="hybridMultilevel"/>
    <w:lvl w:ilvl="0">
      <w:lvlJc w:val="left"/>
      <w:lvlText w:val="•"/>
      <w:numFmt w:val="bullet"/>
      <w:start w:val="1"/>
    </w:lvl>
    <w:lvl w:ilvl="1">
      <w:lvlJc w:val="left"/>
      <w:lvlText w:val="(%2)"/>
      <w:numFmt w:val="decimal"/>
      <w:start w:val="2"/>
    </w:lvl>
  </w:abstractNum>
  <w:abstractNum w:abstractNumId="67">
    <w:nsid w:val="76272110"/>
    <w:multiLevelType w:val="hybridMultilevel"/>
    <w:lvl w:ilvl="0">
      <w:lvlJc w:val="left"/>
      <w:lvlText w:val="%1."/>
      <w:numFmt w:val="decimal"/>
      <w:start w:val="2"/>
    </w:lvl>
  </w:abstractNum>
  <w:abstractNum w:abstractNumId="68">
    <w:nsid w:val="4C04A8AF"/>
    <w:multiLevelType w:val="hybridMultilevel"/>
    <w:lvl w:ilvl="0">
      <w:lvlJc w:val="left"/>
      <w:lvlText w:val="%1."/>
      <w:numFmt w:val="decimal"/>
      <w:start w:val="3"/>
    </w:lvl>
  </w:abstractNum>
  <w:abstractNum w:abstractNumId="69">
    <w:nsid w:val="1716703B"/>
    <w:multiLevelType w:val="hybridMultilevel"/>
    <w:lvl w:ilvl="0">
      <w:lvlJc w:val="left"/>
      <w:lvlText w:val="%1."/>
      <w:numFmt w:val="decimal"/>
      <w:start w:val="3"/>
    </w:lvl>
  </w:abstractNum>
  <w:abstractNum w:abstractNumId="70">
    <w:nsid w:val="14E17E33"/>
    <w:multiLevelType w:val="hybridMultilevel"/>
    <w:lvl w:ilvl="0">
      <w:lvlJc w:val="left"/>
      <w:lvlText w:val="%1."/>
      <w:numFmt w:val="decimal"/>
      <w:start w:val="3"/>
    </w:lvl>
  </w:abstractNum>
  <w:abstractNum w:abstractNumId="71">
    <w:nsid w:val="3222E7CD"/>
    <w:multiLevelType w:val="hybridMultilevel"/>
    <w:lvl w:ilvl="0">
      <w:lvlJc w:val="left"/>
      <w:lvlText w:val="%1."/>
      <w:numFmt w:val="decimal"/>
      <w:start w:val="4"/>
    </w:lvl>
  </w:abstractNum>
  <w:abstractNum w:abstractNumId="72">
    <w:nsid w:val="74DE0EE3"/>
    <w:multiLevelType w:val="hybridMultilevel"/>
    <w:lvl w:ilvl="0">
      <w:lvlJc w:val="left"/>
      <w:lvlText w:val="%1."/>
      <w:numFmt w:val="decimal"/>
      <w:start w:val="4"/>
    </w:lvl>
  </w:abstractNum>
  <w:abstractNum w:abstractNumId="73">
    <w:nsid w:val="68EBC550"/>
    <w:multiLevelType w:val="hybridMultilevel"/>
    <w:lvl w:ilvl="0">
      <w:lvlJc w:val="left"/>
      <w:lvlText w:val="%1."/>
      <w:numFmt w:val="decimal"/>
      <w:start w:val="4"/>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1."/>
      <w:numFmt w:val="decimal"/>
      <w:start w:val="4"/>
    </w:lvl>
  </w:abstractNum>
  <w:abstractNum w:abstractNumId="76">
    <w:nsid w:val="4A2AC315"/>
    <w:multiLevelType w:val="hybridMultilevel"/>
    <w:lvl w:ilvl="0">
      <w:lvlJc w:val="left"/>
      <w:lvlText w:val="%1."/>
      <w:numFmt w:val="decimal"/>
      <w:start w:val="4"/>
    </w:lvl>
  </w:abstractNum>
  <w:abstractNum w:abstractNumId="77">
    <w:nsid w:val="39EE015C"/>
    <w:multiLevelType w:val="hybridMultilevel"/>
    <w:lvl w:ilvl="0">
      <w:lvlJc w:val="left"/>
      <w:lvlText w:val="%1."/>
      <w:numFmt w:val="decimal"/>
      <w:start w:val="5"/>
    </w:lvl>
  </w:abstractNum>
  <w:abstractNum w:abstractNumId="78">
    <w:nsid w:val="57FC4FBB"/>
    <w:multiLevelType w:val="hybridMultilevel"/>
    <w:lvl w:ilvl="0">
      <w:lvlJc w:val="left"/>
      <w:lvlText w:val="6"/>
      <w:numFmt w:val="bullet"/>
      <w:start w:val="1"/>
    </w:lvl>
  </w:abstractNum>
  <w:abstractNum w:abstractNumId="79">
    <w:nsid w:val="CC1016F"/>
    <w:multiLevelType w:val="hybridMultilevel"/>
    <w:lvl w:ilvl="0">
      <w:lvlJc w:val="left"/>
      <w:lvlText w:val="%1."/>
      <w:numFmt w:val="decimal"/>
      <w:start w:val="7"/>
    </w:lvl>
  </w:abstractNum>
  <w:abstractNum w:abstractNumId="80">
    <w:nsid w:val="43F18422"/>
    <w:multiLevelType w:val="hybridMultilevel"/>
    <w:lvl w:ilvl="0">
      <w:lvlJc w:val="left"/>
      <w:lvlText w:val="%1."/>
      <w:numFmt w:val="decimal"/>
      <w:start w:val="8"/>
    </w:lvl>
  </w:abstractNum>
  <w:abstractNum w:abstractNumId="81">
    <w:nsid w:val="60EF0119"/>
    <w:multiLevelType w:val="hybridMultilevel"/>
    <w:lvl w:ilvl="0">
      <w:lvlJc w:val="left"/>
      <w:lvlText w:val="%1."/>
      <w:numFmt w:val="decimal"/>
      <w:start w:val="8"/>
    </w:lvl>
  </w:abstractNum>
  <w:abstractNum w:abstractNumId="82">
    <w:nsid w:val="26F324BA"/>
    <w:multiLevelType w:val="hybridMultilevel"/>
    <w:lvl w:ilvl="0">
      <w:lvlJc w:val="left"/>
      <w:lvlText w:val="%1."/>
      <w:numFmt w:val="decimal"/>
      <w:start w:val="9"/>
    </w:lvl>
  </w:abstractNum>
  <w:abstractNum w:abstractNumId="83">
    <w:nsid w:val="7F01579B"/>
    <w:multiLevelType w:val="hybridMultilevel"/>
    <w:lvl w:ilvl="0">
      <w:lvlJc w:val="left"/>
      <w:lvlText w:val="(%1)"/>
      <w:numFmt w:val="lowerLetter"/>
      <w:start w:val="2"/>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1."/>
      <w:numFmt w:val="decimal"/>
      <w:start w:val="9"/>
    </w:lvl>
  </w:abstractNum>
  <w:abstractNum w:abstractNumId="86">
    <w:nsid w:val="5FB8370B"/>
    <w:multiLevelType w:val="hybridMultilevel"/>
    <w:lvl w:ilvl="0">
      <w:lvlJc w:val="left"/>
      <w:lvlText w:val="%1."/>
      <w:numFmt w:val="decimal"/>
      <w:start w:val="9"/>
    </w:lvl>
  </w:abstractNum>
  <w:abstractNum w:abstractNumId="87">
    <w:nsid w:val="50801EE1"/>
    <w:multiLevelType w:val="hybridMultilevel"/>
    <w:lvl w:ilvl="0">
      <w:lvlJc w:val="left"/>
      <w:lvlText w:val="%1."/>
      <w:numFmt w:val="decimal"/>
      <w:start w:val="9"/>
    </w:lvl>
  </w:abstractNum>
  <w:abstractNum w:abstractNumId="88">
    <w:nsid w:val="488AC1A"/>
    <w:multiLevelType w:val="hybridMultilevel"/>
    <w:lvl w:ilvl="0">
      <w:lvlJc w:val="left"/>
      <w:lvlText w:val="(%1)"/>
      <w:numFmt w:val="lowerLetter"/>
      <w:start w:val="2"/>
    </w:lvl>
  </w:abstractNum>
  <w:abstractNum w:abstractNumId="89">
    <w:nsid w:val="5FB8011C"/>
    <w:multiLevelType w:val="hybridMultilevel"/>
    <w:lvl w:ilvl="0">
      <w:lvlJc w:val="left"/>
      <w:lvlText w:val="%1."/>
      <w:numFmt w:val="decimal"/>
      <w:start w:val="14"/>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1)"/>
      <w:numFmt w:val="lowerRoman"/>
      <w:start w:val="1"/>
    </w:lvl>
  </w:abstractNum>
  <w:abstractNum w:abstractNumId="96">
    <w:nsid w:val="73A1821B"/>
    <w:multiLevelType w:val="hybridMultilevel"/>
    <w:lvl w:ilvl="0">
      <w:lvlJc w:val="left"/>
      <w:lvlText w:val="(%1)"/>
      <w:numFmt w:val="upperLetter"/>
      <w:start w:val="1"/>
    </w:lvl>
    <w:lvl w:ilvl="1">
      <w:lvlJc w:val="left"/>
      <w:lvlText w:val="(%2)"/>
      <w:numFmt w:val="lowerLetter"/>
      <w:start w:val="1"/>
    </w:lvl>
  </w:abstractNum>
  <w:abstractNum w:abstractNumId="97">
    <w:nsid w:val="7DE67713"/>
    <w:multiLevelType w:val="hybridMultilevel"/>
    <w:lvl w:ilvl="0">
      <w:lvlJc w:val="left"/>
      <w:lvlText w:val="(%1)"/>
      <w:numFmt w:val="upperLetter"/>
      <w:start w:val="27"/>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1)"/>
      <w:numFmt w:val="decimal"/>
      <w:start w:val="3"/>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1)"/>
      <w:numFmt w:val="decimal"/>
      <w:start w:val="2"/>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
      <w:numFmt w:val="bullet"/>
      <w:start w:val="1"/>
    </w:lvl>
  </w:abstractNum>
  <w:abstractNum w:abstractNumId="105">
    <w:nsid w:val="1FBFE8E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179" Type="http://schemas.openxmlformats.org/officeDocument/2006/relationships/hyperlink" Target="http://www.sec.gov/Archives/edgar/data/1840856/000121390022011342/f10k2021_archimedes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2023-02-02T16:07:45Z</dcterms:created>
  <dcterms:modified xsi:type="dcterms:W3CDTF">2023-02-02T16:07:45Z</dcterms:modified>
</cp:coreProperties>
</file>