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UNITED STATES</w:t>
      </w:r>
    </w:p>
    <w:p>
      <w:pPr>
        <w:pStyle w:val="TextBody"/>
        <w:bidi w:val="0"/>
        <w:spacing w:lineRule="auto" w:line="288" w:before="0" w:after="0"/>
        <w:jc w:val="center"/>
        <w:rPr>
          <w:rFonts w:ascii="Times New Roman;serif" w:hAnsi="Times New Roman;serif"/>
          <w:b/>
          <w:color w:val="212529"/>
          <w:sz w:val="22"/>
        </w:rPr>
      </w:pPr>
      <w:r>
        <w:rPr>
          <w:rFonts w:ascii="Times New Roman;serif" w:hAnsi="Times New Roman;serif"/>
          <w:b/>
          <w:color w:val="212529"/>
          <w:sz w:val="22"/>
        </w:rPr>
        <w:t>SECURITIES AND EXCHANGE COMMISSION</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200" w:after="283"/>
        <w:jc w:val="center"/>
        <w:rPr>
          <w:rFonts w:ascii="Times New Roman;serif" w:hAnsi="Times New Roman;serif"/>
          <w:b/>
          <w:color w:val="212529"/>
          <w:sz w:val="24"/>
        </w:rPr>
      </w:pPr>
      <w:r>
        <w:rPr>
          <w:rFonts w:ascii="Times New Roman;serif" w:hAnsi="Times New Roman;serif"/>
          <w:b/>
          <w:color w:val="212529"/>
          <w:sz w:val="24"/>
        </w:rPr>
        <w:t>FORM 8-K/A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CURRENT REPORT</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Pursuant to Section 13 or 15(d)</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of the Securities Exchange Act of 1934</w:t>
      </w:r>
    </w:p>
    <w:p>
      <w:pPr>
        <w:pStyle w:val="TextBody"/>
        <w:bidi w:val="0"/>
        <w:spacing w:lineRule="auto" w:line="288" w:before="120" w:after="283"/>
        <w:jc w:val="center"/>
        <w:rPr/>
      </w:pPr>
      <w:r>
        <w:rPr>
          <w:rFonts w:ascii="Times New Roman;serif" w:hAnsi="Times New Roman;serif"/>
          <w:b w:val="false"/>
          <w:color w:val="212529"/>
          <w:sz w:val="20"/>
        </w:rPr>
        <w:t xml:space="preserve">Date of Report (Date of earliest event reported): </w:t>
      </w:r>
      <w:r>
        <w:rPr>
          <w:rFonts w:ascii="Times New Roman;serif" w:hAnsi="Times New Roman;serif"/>
          <w:b/>
          <w:color w:val="212529"/>
          <w:sz w:val="20"/>
        </w:rPr>
        <w:t>November 14, 2025</w:t>
      </w:r>
      <w:r>
        <w:rPr>
          <w:color w:val="212529"/>
        </w:rPr>
        <w:t> </w:t>
      </w:r>
      <w:r>
        <w:rPr>
          <w:rFonts w:ascii="Times New Roman;serif" w:hAnsi="Times New Roman;serif"/>
          <w:b w:val="false"/>
          <w:color w:val="212529"/>
          <w:sz w:val="20"/>
        </w:rPr>
        <w:t>(September 3,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SOUNDHOUND AI, INC.</w:t>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5400 Betsy Ross Drive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Registrant’s telephone number, including area code: (408) 441-3200</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212529"/>
          <w:sz w:val="20"/>
        </w:rPr>
        <w:t>Emerging growth company </w:t>
      </w:r>
      <w:r>
        <w:rPr>
          <w:color w:val="212529"/>
        </w:rPr>
        <w:t>☐</w:t>
      </w:r>
    </w:p>
    <w:p>
      <w:pPr>
        <w:pStyle w:val="TextBody"/>
        <w:bidi w:val="0"/>
        <w:spacing w:lineRule="auto" w:line="288" w:before="120" w:after="283"/>
        <w:jc w:val="both"/>
        <w:rPr/>
      </w:pPr>
      <w:r>
        <w:rPr>
          <w:rFonts w:ascii="Times New Roman;serif" w:hAnsi="Times New Roman;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lineRule="auto" w:line="288" w:before="120" w:after="283"/>
        <w:jc w:val="both"/>
        <w:rPr>
          <w:rFonts w:ascii="Times New Roman;serif" w:hAnsi="Times New Roman;serif"/>
          <w:b w:val="false"/>
          <w:color w:val="212529"/>
          <w:sz w:val="20"/>
        </w:rPr>
      </w:pPr>
      <w:r>
        <w:rPr>
          <w:rFonts w:ascii="Times New Roman;serif" w:hAnsi="Times New Roman;serif"/>
          <w:b w:val="false"/>
          <w:color w:val="212529"/>
          <w:sz w:val="20"/>
        </w:rPr>
        <w:t xml:space="preserve">On September 9, 2025, SoundHound AI, Inc. (the “Company”) filed a Current Report on Form 8-K (the “Original Form 8-K”) to report on the completion of the acquisition of all of the issued and outstanding shares of the capital stock of Interactions Corporation (“Interactions”), a Delaware corporation, pursuant to the certain Agreement and Plan of Merger (the “Merger Agreement”) dated as of September 3, 2025. </w:t>
      </w:r>
    </w:p>
    <w:p>
      <w:pPr>
        <w:pStyle w:val="TextBody"/>
        <w:bidi w:val="0"/>
        <w:spacing w:lineRule="auto" w:line="288" w:before="120" w:after="283"/>
        <w:jc w:val="both"/>
        <w:rPr>
          <w:rFonts w:ascii="Times New Roman;serif" w:hAnsi="Times New Roman;serif"/>
          <w:b w:val="false"/>
          <w:color w:val="212529"/>
          <w:sz w:val="20"/>
        </w:rPr>
      </w:pPr>
      <w:r>
        <w:rPr>
          <w:rFonts w:ascii="Times New Roman;serif" w:hAnsi="Times New Roman;serif"/>
          <w:b w:val="false"/>
          <w:color w:val="212529"/>
          <w:sz w:val="20"/>
        </w:rPr>
        <w:t>This Current Report on Form 8-K/A amends the Original Form 8-K to include the financial statements and pro forma information required by Item 9.01 of Form 8-K. Except for the filing of such financial statements and pro forma information, this Form 8-K/A does not modify or update other disclosures in, or exhibits to, the Original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88" w:before="200" w:after="283"/>
        <w:ind w:left="0" w:right="0" w:hanging="117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i/>
          <w:color w:val="000000"/>
          <w:sz w:val="20"/>
        </w:rPr>
        <w:t>Financial Statements of Businesses Acquired.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Interactions’ audited consolidated financial statements as of and for the year ended December 31, 2024 and unaudited condensed consolidated financial statements for the six months ended June 30, 2025 are attached as Exhibits 99.1 and 99.2, respectively, to this Form 8-K/A and incorporated herein by reference. Such financial statements of Interactions were prepared in accordance with U.S. generally accepted accounting principles as issued by the Financial Accounting Standards Board.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i/>
          <w:color w:val="000000"/>
          <w:sz w:val="20"/>
        </w:rPr>
        <w:t>Unaudited Pro Forma Condensed Combined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for the nine months ended September 30, 2025, and for the year ended December 31, 2024, related to the Company’s acquisition of Amelia and Interactions are attached as Exhibit 99.3 to this Form 8-K/A and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 </w:t>
      </w:r>
      <w:r>
        <w:rPr>
          <w:rFonts w:ascii="Times New Roman;serif" w:hAnsi="Times New Roman;serif"/>
          <w:b w:val="false"/>
          <w:i/>
          <w:color w:val="000000"/>
          <w:sz w:val="20"/>
        </w:rPr>
        <w:t>Exhibits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409"/>
        <w:gridCol w:w="359"/>
        <w:gridCol w:w="360"/>
        <w:gridCol w:w="109"/>
        <w:gridCol w:w="109"/>
        <w:gridCol w:w="109"/>
        <w:gridCol w:w="2589"/>
        <w:gridCol w:w="2541"/>
        <w:gridCol w:w="3620"/>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51024ex231eyconsent.htm">
              <w:r>
                <w:rPr>
                  <w:rStyle w:val="InternetLink"/>
                  <w:rFonts w:ascii="Times New Roman;serif" w:hAnsi="Times New Roman;serif"/>
                  <w:b w:val="false"/>
                  <w:color w:val="0000FF"/>
                  <w:sz w:val="20"/>
                  <w:u w:val="single"/>
                </w:rPr>
                <w:t>Consent of Ernst &amp; Young LLP</w:t>
              </w:r>
            </w:hyperlink>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oun-20251024ex991financia.htm">
              <w:r>
                <w:rPr>
                  <w:rStyle w:val="InternetLink"/>
                  <w:rFonts w:ascii="Times New Roman;serif" w:hAnsi="Times New Roman;serif"/>
                  <w:b w:val="false"/>
                  <w:color w:val="000080"/>
                  <w:sz w:val="20"/>
                  <w:u w:val="single"/>
                </w:rPr>
                <w:t xml:space="preserve">Audited consolidated </w:t>
              </w:r>
            </w:hyperlink>
            <w:hyperlink w:anchor="soun-20251024ex991financia.htm">
              <w:r>
                <w:rPr>
                  <w:rStyle w:val="InternetLink"/>
                  <w:rFonts w:ascii="Times New Roman;serif" w:hAnsi="Times New Roman;serif"/>
                  <w:b w:val="false"/>
                  <w:color w:val="000080"/>
                  <w:sz w:val="20"/>
                  <w:u w:val="single"/>
                </w:rPr>
                <w:t>financial statements of Interactions Corporation as of and for the year ended December 31, 2024</w:t>
              </w:r>
            </w:hyperlink>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oun-20251114ex992financia.htm">
              <w:r>
                <w:rPr>
                  <w:rStyle w:val="InternetLink"/>
                  <w:rFonts w:ascii="Times New Roman;serif" w:hAnsi="Times New Roman;serif"/>
                  <w:b w:val="false"/>
                  <w:color w:val="000080"/>
                  <w:sz w:val="20"/>
                  <w:u w:val="single"/>
                </w:rPr>
                <w:t>Unaudited condensed consolidated</w:t>
              </w:r>
            </w:hyperlink>
            <w:hyperlink w:anchor="soun-20251114ex992financia.htm">
              <w:r>
                <w:rPr>
                  <w:rStyle w:val="InternetLink"/>
                  <w:rFonts w:ascii="Times New Roman;serif" w:hAnsi="Times New Roman;serif"/>
                  <w:b w:val="false"/>
                  <w:color w:val="000080"/>
                  <w:sz w:val="20"/>
                  <w:u w:val="single"/>
                </w:rPr>
                <w:t xml:space="preserve"> financial statements of Interactions Corporation as of </w:t>
              </w:r>
            </w:hyperlink>
            <w:hyperlink w:anchor="soun-20251114ex992financia.htm">
              <w:r>
                <w:rPr>
                  <w:rStyle w:val="InternetLink"/>
                  <w:rFonts w:ascii="Times New Roman;serif" w:hAnsi="Times New Roman;serif"/>
                  <w:b w:val="false"/>
                  <w:color w:val="000080"/>
                  <w:sz w:val="20"/>
                  <w:u w:val="single"/>
                </w:rPr>
                <w:t xml:space="preserve">June 30, 2025 </w:t>
              </w:r>
            </w:hyperlink>
            <w:hyperlink w:anchor="soun-20251114ex992financia.htm">
              <w:r>
                <w:rPr>
                  <w:rStyle w:val="InternetLink"/>
                  <w:rFonts w:ascii="Times New Roman;serif" w:hAnsi="Times New Roman;serif"/>
                  <w:b w:val="false"/>
                  <w:color w:val="000080"/>
                  <w:sz w:val="20"/>
                  <w:u w:val="single"/>
                </w:rPr>
                <w:t>and for the six months ended June 30, 2025 and the notes related thereto</w:t>
              </w:r>
            </w:hyperlink>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oun-20251114ex993proforma.htm">
              <w:r>
                <w:rPr>
                  <w:rStyle w:val="InternetLink"/>
                  <w:rFonts w:ascii="Times New Roman;serif" w:hAnsi="Times New Roman;serif"/>
                  <w:b w:val="false"/>
                  <w:color w:val="000080"/>
                  <w:sz w:val="20"/>
                  <w:u w:val="single"/>
                </w:rPr>
                <w:t>Unaudited pro forma condensed combined financial information of the Company</w:t>
              </w:r>
            </w:hyperlink>
            <w:hyperlink w:anchor="soun-20251114ex993proforma.htm">
              <w:r>
                <w:rPr>
                  <w:rStyle w:val="InternetLink"/>
                  <w:rFonts w:ascii="Times New Roman;serif" w:hAnsi="Times New Roman;serif"/>
                  <w:b w:val="false"/>
                  <w:color w:val="000080"/>
                  <w:sz w:val="20"/>
                  <w:u w:val="single"/>
                </w:rPr>
                <w:t xml:space="preserve">, Amelia </w:t>
              </w:r>
            </w:hyperlink>
            <w:hyperlink w:anchor="soun-20251114ex993proforma.htm">
              <w:r>
                <w:rPr>
                  <w:rStyle w:val="InternetLink"/>
                  <w:rFonts w:ascii="Times New Roman;serif" w:hAnsi="Times New Roman;serif"/>
                  <w:b w:val="false"/>
                  <w:color w:val="000080"/>
                  <w:sz w:val="20"/>
                  <w:u w:val="single"/>
                </w:rPr>
                <w:t>and Interactions Corporation</w:t>
              </w:r>
            </w:hyperlink>
            <w:hyperlink w:anchor="soun-20251114ex993proforma.htm">
              <w:r>
                <w:rPr>
                  <w:rStyle w:val="InternetLink"/>
                  <w:rFonts w:ascii="Times New Roman;serif" w:hAnsi="Times New Roman;serif"/>
                  <w:b w:val="false"/>
                  <w:color w:val="000080"/>
                  <w:sz w:val="20"/>
                  <w:u w:val="single"/>
                </w:rPr>
                <w:t>s</w:t>
              </w:r>
            </w:hyperlink>
            <w:hyperlink w:anchor="soun-20251114ex993proforma.htm">
              <w:r>
                <w:rPr>
                  <w:rStyle w:val="InternetLink"/>
                  <w:rFonts w:ascii="Times New Roman;serif" w:hAnsi="Times New Roman;serif"/>
                  <w:b w:val="false"/>
                  <w:color w:val="000080"/>
                  <w:sz w:val="20"/>
                  <w:u w:val="single"/>
                </w:rPr>
                <w:t xml:space="preserve"> </w:t>
              </w:r>
            </w:hyperlink>
            <w:hyperlink w:anchor="soun-20251114ex993proforma.htm">
              <w:r>
                <w:rPr>
                  <w:rStyle w:val="InternetLink"/>
                  <w:rFonts w:ascii="Times New Roman;serif" w:hAnsi="Times New Roman;serif"/>
                  <w:b w:val="false"/>
                  <w:color w:val="000080"/>
                  <w:sz w:val="20"/>
                  <w:u w:val="single"/>
                </w:rPr>
                <w:t xml:space="preserve">for the </w:t>
              </w:r>
            </w:hyperlink>
            <w:hyperlink w:anchor="soun-20251114ex993proforma.htm">
              <w:r>
                <w:rPr>
                  <w:rStyle w:val="InternetLink"/>
                  <w:rFonts w:ascii="Times New Roman;serif" w:hAnsi="Times New Roman;serif"/>
                  <w:b w:val="false"/>
                  <w:color w:val="000080"/>
                  <w:sz w:val="20"/>
                  <w:u w:val="single"/>
                </w:rPr>
                <w:t>nine</w:t>
              </w:r>
            </w:hyperlink>
            <w:hyperlink w:anchor="soun-20251114ex993proforma.htm">
              <w:r>
                <w:rPr>
                  <w:rStyle w:val="InternetLink"/>
                  <w:rFonts w:ascii="Times New Roman;serif" w:hAnsi="Times New Roman;serif"/>
                  <w:b w:val="false"/>
                  <w:color w:val="000080"/>
                  <w:sz w:val="20"/>
                  <w:u w:val="single"/>
                </w:rPr>
                <w:t xml:space="preserve"> months ended </w:t>
              </w:r>
            </w:hyperlink>
            <w:hyperlink w:anchor="soun-20251114ex993proforma.htm">
              <w:r>
                <w:rPr>
                  <w:rStyle w:val="InternetLink"/>
                  <w:rFonts w:ascii="Times New Roman;serif" w:hAnsi="Times New Roman;serif"/>
                  <w:b w:val="false"/>
                  <w:color w:val="000080"/>
                  <w:sz w:val="20"/>
                  <w:u w:val="single"/>
                </w:rPr>
                <w:t>September</w:t>
              </w:r>
            </w:hyperlink>
            <w:hyperlink w:anchor="soun-20251114ex993proforma.htm">
              <w:r>
                <w:rPr>
                  <w:rStyle w:val="InternetLink"/>
                  <w:rFonts w:ascii="Times New Roman;serif" w:hAnsi="Times New Roman;serif"/>
                  <w:b w:val="false"/>
                  <w:color w:val="000080"/>
                  <w:sz w:val="20"/>
                  <w:u w:val="single"/>
                </w:rPr>
                <w:t xml:space="preserve"> 30, 2025 and for the year ended December 31, 2024</w:t>
              </w:r>
            </w:hyperlink>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212529"/>
          <w:sz w:val="20"/>
        </w:rPr>
      </w:pPr>
      <w:r>
        <w:rPr>
          <w:rFonts w:ascii="Times New Roman;serif" w:hAnsi="Times New Roman;serif"/>
          <w:b/>
          <w:color w:val="212529"/>
          <w:sz w:val="20"/>
        </w:rPr>
        <w:t>SIGNATURE</w:t>
      </w:r>
    </w:p>
    <w:p>
      <w:pPr>
        <w:pStyle w:val="TextBody"/>
        <w:bidi w:val="0"/>
        <w:spacing w:lineRule="auto" w:line="288" w:before="200" w:after="283"/>
        <w:jc w:val="both"/>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Current Report on Form 8-K/A to be signed on its behalf by the undersigned hereunto duly authorized.</w:t>
      </w:r>
    </w:p>
    <w:tbl>
      <w:tblPr>
        <w:tblW w:w="5781" w:type="dxa"/>
        <w:jc w:val="left"/>
        <w:tblInd w:w="0" w:type="dxa"/>
        <w:tblLayout w:type="fixed"/>
        <w:tblCellMar>
          <w:top w:w="28" w:type="dxa"/>
          <w:left w:w="28" w:type="dxa"/>
          <w:bottom w:w="28" w:type="dxa"/>
          <w:right w:w="28" w:type="dxa"/>
        </w:tblCellMar>
      </w:tblPr>
      <w:tblGrid>
        <w:gridCol w:w="835"/>
        <w:gridCol w:w="734"/>
        <w:gridCol w:w="741"/>
        <w:gridCol w:w="196"/>
        <w:gridCol w:w="196"/>
        <w:gridCol w:w="196"/>
        <w:gridCol w:w="271"/>
        <w:gridCol w:w="271"/>
        <w:gridCol w:w="271"/>
        <w:gridCol w:w="597"/>
        <w:gridCol w:w="597"/>
        <w:gridCol w:w="87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14, 2025</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AI, Inc.</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Keyvan Mohajer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Keyvan Mohajer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Consent of Independent Auditors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Registration Statements Form S-8 (Nos. 333-289498, 333-282992, 333-278547, 333-266239) and Form S-3 (Nos. 333-284534, 333-283101, 333-264972, 333-273393) of SoundHound AI, Inc. of our report dated November 14, 2025, relating to the consolidated financial statements of Interactions Corporation as of and for the year ended December 31, 2024 appearing in this Current Report on Form 8-K/A of SoundHound AI, Inc.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November 14, 2025</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Interactions Corporation</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Consolidated Financial Statements</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Year Ended December 31, 2024</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Contents</w:t>
      </w:r>
    </w:p>
    <w:p>
      <w:pPr>
        <w:pStyle w:val="TextBody"/>
        <w:bidi w:val="0"/>
        <w:spacing w:lineRule="auto" w:line="288" w:before="0" w:after="28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Report of Independent Auditors    F-2</w:t>
      </w:r>
    </w:p>
    <w:p>
      <w:pPr>
        <w:pStyle w:val="TextBody"/>
        <w:bidi w:val="0"/>
        <w:spacing w:lineRule="auto" w:line="288" w:before="240" w:after="283"/>
        <w:jc w:val="left"/>
        <w:rPr/>
      </w:pPr>
      <w:r>
        <w:rPr>
          <w:rFonts w:ascii="Times New Roman;serif" w:hAnsi="Times New Roman;serif"/>
          <w:b w:val="false"/>
          <w:color w:val="000000"/>
          <w:sz w:val="24"/>
        </w:rPr>
        <w:t>Consolidated Balance Sheet    </w:t>
      </w:r>
      <w:r>
        <w:rPr>
          <w:color w:val="000000"/>
        </w:rPr>
        <w:t xml:space="preserve"> </w:t>
      </w:r>
      <w:r>
        <w:rPr>
          <w:rFonts w:ascii="Times New Roman;serif" w:hAnsi="Times New Roman;serif"/>
          <w:b w:val="false"/>
          <w:color w:val="000000"/>
          <w:sz w:val="24"/>
        </w:rPr>
        <w:t>F-4</w:t>
      </w:r>
    </w:p>
    <w:p>
      <w:pPr>
        <w:pStyle w:val="TextBody"/>
        <w:bidi w:val="0"/>
        <w:spacing w:lineRule="auto" w:line="288" w:before="240" w:after="283"/>
        <w:jc w:val="left"/>
        <w:rPr/>
      </w:pPr>
      <w:hyperlink w:anchor="i3068ededda4c496b83414035fc21a2e8_10">
        <w:r>
          <w:rPr>
            <w:rStyle w:val="InternetLink"/>
          </w:rPr>
          <w:t>Consolidated Statement of Operations</w:t>
        </w:r>
      </w:hyperlink>
      <w:hyperlink w:anchor="i3068ededda4c496b83414035fc21a2e8_10">
        <w:r>
          <w:rPr>
            <w:rStyle w:val="InternetLink"/>
          </w:rPr>
          <w:t>    </w:t>
        </w:r>
      </w:hyperlink>
      <w:r>
        <w:rPr>
          <w:color w:val="000000"/>
        </w:rPr>
        <w:t xml:space="preserve"> </w:t>
      </w:r>
      <w:r>
        <w:rPr>
          <w:rFonts w:ascii="Times New Roman;serif" w:hAnsi="Times New Roman;serif"/>
          <w:b w:val="false"/>
          <w:color w:val="000000"/>
          <w:sz w:val="24"/>
        </w:rPr>
        <w:t>F-5</w:t>
      </w:r>
    </w:p>
    <w:p>
      <w:pPr>
        <w:pStyle w:val="TextBody"/>
        <w:bidi w:val="0"/>
        <w:spacing w:lineRule="auto" w:line="288" w:before="240" w:after="283"/>
        <w:jc w:val="left"/>
        <w:rPr/>
      </w:pPr>
      <w:hyperlink w:anchor="i3068ededda4c496b83414035fc21a2e8_13">
        <w:r>
          <w:rPr>
            <w:rStyle w:val="InternetLink"/>
          </w:rPr>
          <w:t xml:space="preserve">Consolidated Statement of Comprehensive Income </w:t>
        </w:r>
      </w:hyperlink>
      <w:hyperlink w:anchor="i3068ededda4c496b83414035fc21a2e8_13">
        <w:r>
          <w:rPr>
            <w:rStyle w:val="InternetLink"/>
          </w:rPr>
          <w:t>    </w:t>
        </w:r>
      </w:hyperlink>
      <w:r>
        <w:rPr>
          <w:color w:val="000000"/>
        </w:rPr>
        <w:t xml:space="preserve"> </w:t>
      </w:r>
      <w:r>
        <w:rPr>
          <w:rFonts w:ascii="Times New Roman;serif" w:hAnsi="Times New Roman;serif"/>
          <w:b w:val="false"/>
          <w:color w:val="000000"/>
          <w:sz w:val="24"/>
        </w:rPr>
        <w:t>F-6</w:t>
      </w:r>
    </w:p>
    <w:p>
      <w:pPr>
        <w:pStyle w:val="TextBody"/>
        <w:bidi w:val="0"/>
        <w:spacing w:lineRule="auto" w:line="288" w:before="240" w:after="283"/>
        <w:jc w:val="left"/>
        <w:rPr/>
      </w:pPr>
      <w:hyperlink w:anchor="i3068ededda4c496b83414035fc21a2e8_13">
        <w:r>
          <w:rPr>
            <w:rStyle w:val="InternetLink"/>
          </w:rPr>
          <w:t>Consolidated Statement of Changes in Redeemable Preferred Stock, Non-Controlling Interest, and Stockholders’ Deficit</w:t>
        </w:r>
      </w:hyperlink>
      <w:hyperlink w:anchor="i3068ededda4c496b83414035fc21a2e8_13">
        <w:r>
          <w:rPr>
            <w:rStyle w:val="InternetLink"/>
          </w:rPr>
          <w:t>    </w:t>
        </w:r>
      </w:hyperlink>
      <w:r>
        <w:rPr>
          <w:color w:val="000000"/>
        </w:rPr>
        <w:t xml:space="preserve"> </w:t>
      </w:r>
      <w:r>
        <w:rPr>
          <w:rFonts w:ascii="Times New Roman;serif" w:hAnsi="Times New Roman;serif"/>
          <w:b w:val="false"/>
          <w:color w:val="000000"/>
          <w:sz w:val="24"/>
        </w:rPr>
        <w:t>F-7</w:t>
      </w:r>
    </w:p>
    <w:p>
      <w:pPr>
        <w:pStyle w:val="TextBody"/>
        <w:bidi w:val="0"/>
        <w:spacing w:lineRule="auto" w:line="288" w:before="240" w:after="283"/>
        <w:jc w:val="left"/>
        <w:rPr/>
      </w:pPr>
      <w:r>
        <w:rPr>
          <w:rFonts w:ascii="Times New Roman;serif" w:hAnsi="Times New Roman;serif"/>
          <w:b w:val="false"/>
          <w:color w:val="000000"/>
          <w:sz w:val="24"/>
        </w:rPr>
        <w:t>Consolidated Statement of Cash Flows    </w:t>
      </w:r>
      <w:r>
        <w:rPr>
          <w:color w:val="000000"/>
        </w:rPr>
        <w:t xml:space="preserve"> </w:t>
      </w:r>
      <w:r>
        <w:rPr>
          <w:rFonts w:ascii="Times New Roman;serif" w:hAnsi="Times New Roman;serif"/>
          <w:b w:val="false"/>
          <w:color w:val="000000"/>
          <w:sz w:val="24"/>
        </w:rPr>
        <w:t>F-8</w:t>
      </w:r>
    </w:p>
    <w:p>
      <w:pPr>
        <w:pStyle w:val="TextBody"/>
        <w:bidi w:val="0"/>
        <w:spacing w:lineRule="auto" w:line="288" w:before="240" w:after="283"/>
        <w:jc w:val="left"/>
        <w:rPr/>
      </w:pPr>
      <w:hyperlink w:anchor="i3068ededda4c496b83414035fc21a2e8_19">
        <w:r>
          <w:rPr>
            <w:rStyle w:val="InternetLink"/>
          </w:rPr>
          <w:t>Notes to Consolidated Financial Statements</w:t>
        </w:r>
      </w:hyperlink>
      <w:hyperlink w:anchor="i3068ededda4c496b83414035fc21a2e8_19">
        <w:r>
          <w:rPr>
            <w:rStyle w:val="InternetLink"/>
          </w:rPr>
          <w:t>    </w:t>
        </w:r>
      </w:hyperlink>
      <w:r>
        <w:rPr>
          <w:color w:val="000000"/>
        </w:rPr>
        <w:t xml:space="preserve"> </w:t>
      </w:r>
      <w:r>
        <w:rPr>
          <w:rFonts w:ascii="Times New Roman;serif" w:hAnsi="Times New Roman;serif"/>
          <w:b w:val="false"/>
          <w:color w:val="000000"/>
          <w:sz w:val="24"/>
        </w:rPr>
        <w:t>F-9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838200" cy="8858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838200" cy="885825"/>
                    </a:xfrm>
                    <a:prstGeom prst="rect">
                      <a:avLst/>
                    </a:prstGeom>
                  </pic:spPr>
                </pic:pic>
              </a:graphicData>
            </a:graphic>
          </wp:inline>
        </w:drawing>
      </w:r>
      <w:r>
        <w:rPr>
          <w:color w:val="000000"/>
        </w:rPr>
        <w:t xml:space="preserve"> </w:t>
      </w:r>
      <w:r>
        <w:rPr/>
        <w:drawing>
          <wp:inline distT="0" distB="0" distL="0" distR="0">
            <wp:extent cx="2266950" cy="7524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266950" cy="752475"/>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5325"/>
                <wp:effectExtent l="0" t="0" r="0" b="0"/>
                <wp:wrapNone/>
                <wp:docPr id="7" name="Frame5"/>
                <a:graphic xmlns:a="http://schemas.openxmlformats.org/drawingml/2006/main">
                  <a:graphicData uri="http://schemas.microsoft.com/office/word/2010/wordprocessingShape">
                    <wps:wsp>
                      <wps:cNvSpPr txBox="1"/>
                      <wps:spPr>
                        <a:xfrm>
                          <a:off x="0" y="0"/>
                          <a:ext cx="6480175" cy="695325"/>
                        </a:xfrm>
                        <a:prstGeom prst="rect"/>
                        <a:solidFill>
                          <a:srgbClr val="FFFFFF"/>
                        </a:solidFill>
                      </wps:spPr>
                      <wps:txbx>
                        <w:txbxContent>
                          <w:p>
                            <w:pPr>
                              <w:pStyle w:val="TextBody"/>
                              <w:bidi w:val="0"/>
                              <w:spacing w:before="280" w:after="283"/>
                              <w:jc w:val="left"/>
                              <w:rPr/>
                            </w:pPr>
                            <w:r>
                              <w:rPr/>
                            </w:r>
                            <w:r>
                              <w:br w:type="page"/>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80" w:after="283"/>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F-1</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Report of Independent Auditors</w:t>
      </w:r>
    </w:p>
    <w:p>
      <w:pPr>
        <w:pStyle w:val="TextBody"/>
        <w:bidi w:val="0"/>
        <w:spacing w:lineRule="auto" w:line="288" w:before="0" w:after="24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 the Shareholders of Interactions Corporation</w:t>
      </w:r>
    </w:p>
    <w:p>
      <w:pPr>
        <w:pStyle w:val="TextBody"/>
        <w:bidi w:val="0"/>
        <w:spacing w:lineRule="auto" w:line="288" w:before="0" w:after="240"/>
        <w:ind w:left="0" w:right="0" w:hanging="187"/>
        <w:jc w:val="left"/>
        <w:rPr>
          <w:rFonts w:ascii="Times New Roman;serif" w:hAnsi="Times New Roman;serif"/>
          <w:b/>
          <w:color w:val="000000"/>
          <w:sz w:val="24"/>
        </w:rPr>
      </w:pPr>
      <w:r>
        <w:rPr>
          <w:rFonts w:ascii="Times New Roman;serif" w:hAnsi="Times New Roman;serif"/>
          <w:b/>
          <w:color w:val="000000"/>
          <w:sz w:val="24"/>
        </w:rPr>
        <w:t>Opinion</w: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We have audited the consolidated financial statements of Interactions Corporation (the Company), which comprise the consolidated balance sheet as of December 31, 2024, and the related consolidated statements of operations, comprehensive income, changes in redeemable preferred stock, non-controlling interest and stockholders’ deficit, and cash flows for the year ended December 31, 2024, and the related notes (collectively referred to as the “financial statements”). </w: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 our opinion, the accompanying financial statements present fairly, in all material respects, the financial position of the Company at December 31, 2024, and the results of its operations and its cash flows for the year then ended in accordance with accounting principles generally accepted in the United States of America.</w:t>
      </w:r>
    </w:p>
    <w:p>
      <w:pPr>
        <w:pStyle w:val="TextBody"/>
        <w:bidi w:val="0"/>
        <w:spacing w:lineRule="auto" w:line="288" w:before="0" w:after="240"/>
        <w:ind w:left="0" w:right="0" w:hanging="187"/>
        <w:jc w:val="left"/>
        <w:rPr>
          <w:rFonts w:ascii="Times New Roman;serif" w:hAnsi="Times New Roman;serif"/>
          <w:b/>
          <w:color w:val="000000"/>
          <w:sz w:val="24"/>
        </w:rPr>
      </w:pPr>
      <w:r>
        <w:rPr>
          <w:rFonts w:ascii="Times New Roman;serif" w:hAnsi="Times New Roman;serif"/>
          <w:b/>
          <w:color w:val="000000"/>
          <w:sz w:val="24"/>
        </w:rPr>
        <w:t>Basis for Opinion</w: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lineRule="auto" w:line="288" w:before="0" w:after="2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Responsibilities of Management for the Financial Statements</w:t>
      </w:r>
    </w:p>
    <w:p>
      <w:pPr>
        <w:pStyle w:val="TextBody"/>
        <w:bidi w:val="0"/>
        <w:spacing w:lineRule="auto" w:line="288" w:before="0" w:after="28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pStyle w:val="TextBody"/>
        <w:bidi w:val="0"/>
        <w:spacing w:lineRule="auto" w:line="288" w:before="0" w:after="28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 preparing the financial statements, management is required to evaluate whether there are conditions or events, considered in the aggregate, which raise substantial doubt about the Company’s ability to continue as a going concern for one year after the date that the financial statements are available to be issued.</w:t>
      </w:r>
    </w:p>
    <w:p>
      <w:pPr>
        <w:pStyle w:val="TextBody"/>
        <w:bidi w:val="0"/>
        <w:spacing w:before="0" w:after="2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09905"/>
                <wp:effectExtent l="0" t="0" r="0" b="0"/>
                <wp:wrapNone/>
                <wp:docPr id="8" name="Frame6"/>
                <a:graphic xmlns:a="http://schemas.openxmlformats.org/drawingml/2006/main">
                  <a:graphicData uri="http://schemas.microsoft.com/office/word/2010/wordprocessingShape">
                    <wps:wsp>
                      <wps:cNvSpPr txBox="1"/>
                      <wps:spPr>
                        <a:xfrm>
                          <a:off x="0" y="0"/>
                          <a:ext cx="6480175" cy="509905"/>
                        </a:xfrm>
                        <a:prstGeom prst="rect"/>
                        <a:solidFill>
                          <a:srgbClr val="FFFFFF"/>
                        </a:solidFill>
                      </wps:spPr>
                      <wps:txbx>
                        <w:txbxContent>
                          <w:tbl>
                            <w:tblPr>
                              <w:tblW w:w="2459" w:type="dxa"/>
                              <w:jc w:val="left"/>
                              <w:tblInd w:w="0" w:type="dxa"/>
                              <w:tblLayout w:type="fixed"/>
                              <w:tblCellMar>
                                <w:top w:w="28" w:type="dxa"/>
                                <w:left w:w="28" w:type="dxa"/>
                                <w:bottom w:w="28" w:type="dxa"/>
                                <w:right w:w="28" w:type="dxa"/>
                              </w:tblCellMar>
                            </w:tblPr>
                            <w:tblGrid>
                              <w:gridCol w:w="785"/>
                              <w:gridCol w:w="692"/>
                              <w:gridCol w:w="982"/>
                            </w:tblGrid>
                            <w:tr>
                              <w:trPr/>
                              <w:tc>
                                <w:tcPr>
                                  <w:tcW w:w="785" w:type="dxa"/>
                                  <w:tcBorders/>
                                  <w:vAlign w:val="center"/>
                                </w:tcPr>
                                <w:p>
                                  <w:pPr>
                                    <w:pStyle w:val="TableContents"/>
                                    <w:bidi w:val="0"/>
                                    <w:spacing w:before="0" w:after="283"/>
                                    <w:jc w:val="left"/>
                                    <w:rPr>
                                      <w:sz w:val="4"/>
                                      <w:szCs w:val="4"/>
                                    </w:rPr>
                                  </w:pPr>
                                  <w:r>
                                    <w:rPr>
                                      <w:sz w:val="4"/>
                                      <w:szCs w:val="4"/>
                                    </w:rPr>
                                  </w:r>
                                  <w:r>
                                    <w:br w:type="page"/>
                                  </w:r>
                                </w:p>
                              </w:tc>
                              <w:tc>
                                <w:tcPr>
                                  <w:tcW w:w="69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tLeast" w:line="142" w:before="0" w:after="0"/>
                                    <w:jc w:val="left"/>
                                    <w:rPr>
                                      <w:rFonts w:ascii="Arial;sans-serif" w:hAnsi="Arial;sans-serif"/>
                                      <w:b w:val="false"/>
                                      <w:color w:val="747480"/>
                                      <w:sz w:val="11"/>
                                    </w:rPr>
                                  </w:pPr>
                                  <w:r>
                                    <w:rPr>
                                      <w:rFonts w:ascii="Arial;sans-serif" w:hAnsi="Arial;sans-serif"/>
                                      <w:b w:val="false"/>
                                      <w:color w:val="747480"/>
                                      <w:sz w:val="11"/>
                                    </w:rPr>
                                    <w:t>A member firm of Ernst &amp; Young Global Limited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15pt;mso-wrap-distance-left:0pt;mso-wrap-distance-right:0pt;mso-wrap-distance-top:0pt;mso-wrap-distance-bottom:0pt;margin-top:0pt;mso-position-vertical:top;mso-position-vertical-relative:text;margin-left:0pt;mso-position-horizontal:left;mso-position-horizontal-relative:text">
                <v:textbox>
                  <w:txbxContent>
                    <w:tbl>
                      <w:tblPr>
                        <w:tblW w:w="2459" w:type="dxa"/>
                        <w:jc w:val="left"/>
                        <w:tblInd w:w="0" w:type="dxa"/>
                        <w:tblLayout w:type="fixed"/>
                        <w:tblCellMar>
                          <w:top w:w="28" w:type="dxa"/>
                          <w:left w:w="28" w:type="dxa"/>
                          <w:bottom w:w="28" w:type="dxa"/>
                          <w:right w:w="28" w:type="dxa"/>
                        </w:tblCellMar>
                      </w:tblPr>
                      <w:tblGrid>
                        <w:gridCol w:w="785"/>
                        <w:gridCol w:w="692"/>
                        <w:gridCol w:w="982"/>
                      </w:tblGrid>
                      <w:tr>
                        <w:trPr/>
                        <w:tc>
                          <w:tcPr>
                            <w:tcW w:w="7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tLeast" w:line="142" w:before="0" w:after="0"/>
                              <w:jc w:val="left"/>
                              <w:rPr>
                                <w:rFonts w:ascii="Arial;sans-serif" w:hAnsi="Arial;sans-serif"/>
                                <w:b w:val="false"/>
                                <w:color w:val="747480"/>
                                <w:sz w:val="11"/>
                              </w:rPr>
                            </w:pPr>
                            <w:r>
                              <w:rPr>
                                <w:rFonts w:ascii="Arial;sans-serif" w:hAnsi="Arial;sans-serif"/>
                                <w:b w:val="false"/>
                                <w:color w:val="747480"/>
                                <w:sz w:val="11"/>
                              </w:rPr>
                              <w:t>A member firm of Ernst &amp; Young Global Limited</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80"/>
        <w:ind w:left="0" w:right="0" w:hanging="187"/>
        <w:jc w:val="left"/>
        <w:rPr>
          <w:rFonts w:ascii="Times New Roman;serif" w:hAnsi="Times New Roman;serif"/>
          <w:b/>
          <w:color w:val="000000"/>
          <w:sz w:val="24"/>
        </w:rPr>
      </w:pPr>
      <w:r>
        <w:rPr>
          <w:rFonts w:ascii="Times New Roman;serif" w:hAnsi="Times New Roman;serif"/>
          <w:b/>
          <w:color w:val="000000"/>
          <w:sz w:val="24"/>
        </w:rPr>
        <w:t>Auditor’s Responsibilities for the Audit of the Financial Statements</w:t>
      </w:r>
    </w:p>
    <w:p>
      <w:pPr>
        <w:pStyle w:val="TextBody"/>
        <w:bidi w:val="0"/>
        <w:spacing w:lineRule="auto" w:line="288" w:before="0" w:after="28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lineRule="auto" w:line="288" w:before="0" w:after="28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 performing an audit in accordance with GAAS, we:</w:t>
      </w:r>
    </w:p>
    <w:p>
      <w:pPr>
        <w:pStyle w:val="TextBody"/>
        <w:bidi w:val="0"/>
        <w:spacing w:lineRule="auto" w:line="240" w:before="0" w:after="280"/>
        <w:ind w:left="0" w:right="0" w:hanging="360"/>
        <w:jc w:val="both"/>
        <w:rPr/>
      </w:pPr>
      <w:r>
        <w:rPr>
          <w:color w:val="000000"/>
        </w:rPr>
        <w:t>•</w:t>
      </w:r>
      <w:r>
        <w:rPr>
          <w:rFonts w:ascii="Times New Roman;serif" w:hAnsi="Times New Roman;serif"/>
          <w:b w:val="false"/>
          <w:color w:val="000000"/>
          <w:sz w:val="24"/>
          <w:shd w:fill="FFFFFF" w:val="clear"/>
        </w:rPr>
        <w:t>Exercise professional judgment and maintain professional skepticism throughout the audit.</w:t>
      </w:r>
    </w:p>
    <w:p>
      <w:pPr>
        <w:pStyle w:val="TextBody"/>
        <w:bidi w:val="0"/>
        <w:spacing w:lineRule="auto" w:line="240" w:before="0" w:after="280"/>
        <w:ind w:left="0" w:right="0" w:hanging="360"/>
        <w:jc w:val="both"/>
        <w:rPr/>
      </w:pPr>
      <w:r>
        <w:rPr>
          <w:color w:val="000000"/>
        </w:rPr>
        <w:t>•</w:t>
      </w:r>
      <w:r>
        <w:rPr>
          <w:rFonts w:ascii="Times New Roman;serif" w:hAnsi="Times New Roman;serif"/>
          <w:b w:val="false"/>
          <w:color w:val="000000"/>
          <w:sz w:val="24"/>
          <w:shd w:fill="FFFFFF" w:val="clea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bidi w:val="0"/>
        <w:spacing w:lineRule="auto" w:line="240" w:before="0" w:after="280"/>
        <w:ind w:left="0" w:right="0" w:hanging="360"/>
        <w:jc w:val="both"/>
        <w:rPr/>
      </w:pPr>
      <w:r>
        <w:rPr>
          <w:color w:val="000000"/>
        </w:rPr>
        <w:t>•</w:t>
      </w:r>
      <w:r>
        <w:rPr>
          <w:rFonts w:ascii="Times New Roman;serif" w:hAnsi="Times New Roman;serif"/>
          <w:b w:val="false"/>
          <w:color w:val="000000"/>
          <w:sz w:val="24"/>
          <w:shd w:fill="FFFFFF" w:val="clea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lineRule="auto" w:line="240" w:before="0" w:after="280"/>
        <w:ind w:left="0" w:right="0" w:hanging="360"/>
        <w:jc w:val="both"/>
        <w:rPr/>
      </w:pPr>
      <w:r>
        <w:rPr>
          <w:color w:val="000000"/>
        </w:rPr>
        <w:t>•</w:t>
      </w:r>
      <w:r>
        <w:rPr>
          <w:rFonts w:ascii="Times New Roman;serif" w:hAnsi="Times New Roman;serif"/>
          <w:b w:val="false"/>
          <w:color w:val="000000"/>
          <w:sz w:val="24"/>
          <w:shd w:fill="FFFFFF" w:val="clear"/>
        </w:rPr>
        <w:t>Evaluate the appropriateness of accounting policies used and the reasonableness of significant accounting estimates made by management, as well as evaluate the overall presentation of the financial statements.</w:t>
      </w:r>
    </w:p>
    <w:p>
      <w:pPr>
        <w:pStyle w:val="TextBody"/>
        <w:bidi w:val="0"/>
        <w:spacing w:lineRule="auto" w:line="240" w:before="0" w:after="280"/>
        <w:ind w:left="0" w:right="0" w:hanging="360"/>
        <w:jc w:val="both"/>
        <w:rPr/>
      </w:pPr>
      <w:r>
        <w:rPr>
          <w:color w:val="000000"/>
        </w:rPr>
        <w:t>•</w:t>
      </w:r>
      <w:r>
        <w:rPr>
          <w:rFonts w:ascii="Times New Roman;serif" w:hAnsi="Times New Roman;serif"/>
          <w:b w:val="false"/>
          <w:color w:val="000000"/>
          <w:sz w:val="24"/>
          <w:shd w:fill="FFFFFF" w:val="clear"/>
        </w:rPr>
        <w:t>Conclude whether, in our judgment, there are conditions or events considered in the aggregate, which raise substantial doubt about the Company’s ability to continue as a going concern for a reasonable period of time.</w:t>
      </w:r>
    </w:p>
    <w:p>
      <w:pPr>
        <w:pStyle w:val="TextBody"/>
        <w:bidi w:val="0"/>
        <w:spacing w:lineRule="auto" w:line="288" w:before="0" w:after="28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November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09905"/>
                <wp:effectExtent l="0" t="0" r="0" b="0"/>
                <wp:wrapNone/>
                <wp:docPr id="9" name="Frame7"/>
                <a:graphic xmlns:a="http://schemas.openxmlformats.org/drawingml/2006/main">
                  <a:graphicData uri="http://schemas.microsoft.com/office/word/2010/wordprocessingShape">
                    <wps:wsp>
                      <wps:cNvSpPr txBox="1"/>
                      <wps:spPr>
                        <a:xfrm>
                          <a:off x="0" y="0"/>
                          <a:ext cx="6480175" cy="509905"/>
                        </a:xfrm>
                        <a:prstGeom prst="rect"/>
                        <a:solidFill>
                          <a:srgbClr val="FFFFFF"/>
                        </a:solidFill>
                      </wps:spPr>
                      <wps:txbx>
                        <w:txbxContent>
                          <w:tbl>
                            <w:tblPr>
                              <w:tblW w:w="2459" w:type="dxa"/>
                              <w:jc w:val="left"/>
                              <w:tblInd w:w="0" w:type="dxa"/>
                              <w:tblLayout w:type="fixed"/>
                              <w:tblCellMar>
                                <w:top w:w="28" w:type="dxa"/>
                                <w:left w:w="28" w:type="dxa"/>
                                <w:bottom w:w="28" w:type="dxa"/>
                                <w:right w:w="28" w:type="dxa"/>
                              </w:tblCellMar>
                            </w:tblPr>
                            <w:tblGrid>
                              <w:gridCol w:w="785"/>
                              <w:gridCol w:w="692"/>
                              <w:gridCol w:w="982"/>
                            </w:tblGrid>
                            <w:tr>
                              <w:trPr/>
                              <w:tc>
                                <w:tcPr>
                                  <w:tcW w:w="785" w:type="dxa"/>
                                  <w:tcBorders/>
                                  <w:vAlign w:val="center"/>
                                </w:tcPr>
                                <w:p>
                                  <w:pPr>
                                    <w:pStyle w:val="TableContents"/>
                                    <w:bidi w:val="0"/>
                                    <w:spacing w:before="0" w:after="283"/>
                                    <w:jc w:val="left"/>
                                    <w:rPr>
                                      <w:sz w:val="4"/>
                                      <w:szCs w:val="4"/>
                                    </w:rPr>
                                  </w:pPr>
                                  <w:r>
                                    <w:rPr>
                                      <w:sz w:val="4"/>
                                      <w:szCs w:val="4"/>
                                    </w:rPr>
                                  </w:r>
                                  <w:r>
                                    <w:br w:type="page"/>
                                  </w:r>
                                </w:p>
                              </w:tc>
                              <w:tc>
                                <w:tcPr>
                                  <w:tcW w:w="69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tLeast" w:line="142" w:before="0" w:after="0"/>
                                    <w:jc w:val="left"/>
                                    <w:rPr>
                                      <w:rFonts w:ascii="Arial;sans-serif" w:hAnsi="Arial;sans-serif"/>
                                      <w:b w:val="false"/>
                                      <w:color w:val="747480"/>
                                      <w:sz w:val="11"/>
                                    </w:rPr>
                                  </w:pPr>
                                  <w:r>
                                    <w:rPr>
                                      <w:rFonts w:ascii="Arial;sans-serif" w:hAnsi="Arial;sans-serif"/>
                                      <w:b w:val="false"/>
                                      <w:color w:val="747480"/>
                                      <w:sz w:val="11"/>
                                    </w:rPr>
                                    <w:t>A member firm of Ernst &amp; Young Global Limited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15pt;mso-wrap-distance-left:0pt;mso-wrap-distance-right:0pt;mso-wrap-distance-top:0pt;mso-wrap-distance-bottom:0pt;margin-top:0pt;mso-position-vertical:top;mso-position-vertical-relative:text;margin-left:0pt;mso-position-horizontal:left;mso-position-horizontal-relative:text">
                <v:textbox>
                  <w:txbxContent>
                    <w:tbl>
                      <w:tblPr>
                        <w:tblW w:w="2459" w:type="dxa"/>
                        <w:jc w:val="left"/>
                        <w:tblInd w:w="0" w:type="dxa"/>
                        <w:tblLayout w:type="fixed"/>
                        <w:tblCellMar>
                          <w:top w:w="28" w:type="dxa"/>
                          <w:left w:w="28" w:type="dxa"/>
                          <w:bottom w:w="28" w:type="dxa"/>
                          <w:right w:w="28" w:type="dxa"/>
                        </w:tblCellMar>
                      </w:tblPr>
                      <w:tblGrid>
                        <w:gridCol w:w="785"/>
                        <w:gridCol w:w="692"/>
                        <w:gridCol w:w="982"/>
                      </w:tblGrid>
                      <w:tr>
                        <w:trPr/>
                        <w:tc>
                          <w:tcPr>
                            <w:tcW w:w="7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tLeast" w:line="142" w:before="0" w:after="0"/>
                              <w:jc w:val="left"/>
                              <w:rPr>
                                <w:rFonts w:ascii="Arial;sans-serif" w:hAnsi="Arial;sans-serif"/>
                                <w:b w:val="false"/>
                                <w:color w:val="747480"/>
                                <w:sz w:val="11"/>
                              </w:rPr>
                            </w:pPr>
                            <w:r>
                              <w:rPr>
                                <w:rFonts w:ascii="Arial;sans-serif" w:hAnsi="Arial;sans-serif"/>
                                <w:b w:val="false"/>
                                <w:color w:val="747480"/>
                                <w:sz w:val="11"/>
                              </w:rPr>
                              <w:t>A member firm of Ernst &amp; Young Global Limited</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Interactions Corporation</w:t>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Consolidated Balance Sheet</w:t>
      </w:r>
    </w:p>
    <w:p>
      <w:pPr>
        <w:pStyle w:val="TextBody"/>
        <w:bidi w:val="0"/>
        <w:spacing w:lineRule="auto" w:line="319" w:before="40" w:after="200"/>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150"/>
        <w:gridCol w:w="2563"/>
        <w:gridCol w:w="2607"/>
        <w:gridCol w:w="109"/>
        <w:gridCol w:w="109"/>
        <w:gridCol w:w="109"/>
        <w:gridCol w:w="259"/>
        <w:gridCol w:w="158"/>
        <w:gridCol w:w="151"/>
        <w:gridCol w:w="391"/>
        <w:gridCol w:w="392"/>
        <w:gridCol w:w="207"/>
      </w:tblGrid>
      <w:tr>
        <w:trPr/>
        <w:tc>
          <w:tcPr>
            <w:tcW w:w="3150"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c>
          <w:tcPr>
            <w:tcW w:w="155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December 31</w:t>
            </w:r>
          </w:p>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6"/>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gridSpan w:val="4"/>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7,176 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(including accounts receivable from related party of $428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9,636 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 (including receivables from related party of $5,137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5,720 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3,928 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Prepaid expense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1,174</w:t>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left"/>
              <w:rPr/>
            </w:pPr>
            <w:r>
              <w:rPr/>
            </w:r>
          </w:p>
        </w:tc>
        <w:tc>
          <w:tcPr>
            <w:tcW w:w="9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27,634</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Property, equipment, and improvements,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16,616</w:t>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1,215</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contract cost,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7,061</w:t>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307</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85,719</w:t>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Other assets, noncurrent (including receivables from related party of $5,864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6,105</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144,657 </w:t>
            </w:r>
          </w:p>
        </w:tc>
        <w:tc>
          <w:tcPr>
            <w:tcW w:w="20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1558" w:type="dxa"/>
            <w:gridSpan w:val="6"/>
            <w:tcBorders>
              <w:top w:val="single" w:sz="12" w:space="0" w:color="000000"/>
            </w:tcBorders>
            <w:shd w:fill="FFFFFF" w:val="clear"/>
            <w:tcMar>
              <w:left w:w="0" w:type="dxa"/>
              <w:bottom w:w="0" w:type="dxa"/>
              <w:right w:w="0" w:type="dxa"/>
            </w:tcMar>
            <w:vAlign w:val="center"/>
          </w:tcPr>
          <w:p>
            <w:pPr>
              <w:pStyle w:val="TableContents"/>
              <w:bidi w:val="0"/>
              <w:spacing w:before="0" w:after="200"/>
              <w:jc w:val="right"/>
              <w:rPr/>
            </w:pPr>
            <w:r>
              <w:rPr/>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1558" w:type="dxa"/>
            <w:gridSpan w:val="6"/>
            <w:tcBorders/>
            <w:shd w:fill="CCEEFF" w:val="clear"/>
            <w:tcMar>
              <w:top w:w="0" w:type="dxa"/>
              <w:left w:w="0" w:type="dxa"/>
              <w:bottom w:w="0" w:type="dxa"/>
              <w:right w:w="0" w:type="dxa"/>
            </w:tcMar>
            <w:vAlign w:val="center"/>
          </w:tcPr>
          <w:p>
            <w:pPr>
              <w:pStyle w:val="TableContents"/>
              <w:bidi w:val="0"/>
              <w:spacing w:before="0" w:after="200"/>
              <w:jc w:val="right"/>
              <w:rPr/>
            </w:pPr>
            <w:r>
              <w:rPr/>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Accounts payable (including amounts due to related party of $42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3,516</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5,321</w:t>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511</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1,911</w:t>
            </w:r>
          </w:p>
        </w:tc>
      </w:tr>
      <w:tr>
        <w:trPr/>
        <w:tc>
          <w:tcPr>
            <w:tcW w:w="83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11,259</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9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5,273</w:t>
            </w:r>
          </w:p>
        </w:tc>
      </w:tr>
      <w:tr>
        <w:trPr/>
        <w:tc>
          <w:tcPr>
            <w:tcW w:w="83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40,391</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898</w:t>
            </w:r>
          </w:p>
        </w:tc>
      </w:tr>
      <w:tr>
        <w:trPr/>
        <w:tc>
          <w:tcPr>
            <w:tcW w:w="83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6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4,931</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2,153</w:t>
            </w:r>
          </w:p>
        </w:tc>
      </w:tr>
      <w:tr>
        <w:trPr/>
        <w:tc>
          <w:tcPr>
            <w:tcW w:w="83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c>
          <w:tcPr>
            <w:tcW w:w="783"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64,905 </w:t>
            </w:r>
          </w:p>
        </w:tc>
        <w:tc>
          <w:tcPr>
            <w:tcW w:w="20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58" w:type="dxa"/>
            <w:gridSpan w:val="6"/>
            <w:tcBorders>
              <w:top w:val="single" w:sz="4" w:space="0" w:color="000000"/>
            </w:tcBorders>
            <w:shd w:fill="CCEEFF" w:val="clear"/>
            <w:tcMar>
              <w:left w:w="0" w:type="dxa"/>
              <w:bottom w:w="0" w:type="dxa"/>
              <w:right w:w="0" w:type="dxa"/>
            </w:tcMar>
            <w:vAlign w:val="center"/>
          </w:tcPr>
          <w:p>
            <w:pPr>
              <w:pStyle w:val="TableContents"/>
              <w:bidi w:val="0"/>
              <w:spacing w:before="0" w:after="200"/>
              <w:jc w:val="right"/>
              <w:rPr/>
            </w:pPr>
            <w:r>
              <w:rPr/>
            </w:r>
          </w:p>
        </w:tc>
      </w:tr>
      <w:tr>
        <w:trPr/>
        <w:tc>
          <w:tcPr>
            <w:tcW w:w="83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Redeemable preferred stock $0.0001 par value; 300,715,923 shares authorized, 271,882,549 shares issued and outstanding; Aggregate liquidation preference of $479,400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1558" w:type="dxa"/>
            <w:gridSpan w:val="6"/>
            <w:tcBorders/>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389,120</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1558" w:type="dxa"/>
            <w:gridSpan w:val="6"/>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77,948</w:t>
            </w:r>
          </w:p>
        </w:tc>
      </w:tr>
      <w:tr>
        <w:trPr/>
        <w:tc>
          <w:tcPr>
            <w:tcW w:w="83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1558" w:type="dxa"/>
            <w:gridSpan w:val="6"/>
            <w:tcBorders/>
            <w:tcMar>
              <w:top w:w="0" w:type="dxa"/>
              <w:left w:w="0" w:type="dxa"/>
              <w:bottom w:w="0" w:type="dxa"/>
              <w:right w:w="0" w:type="dxa"/>
            </w:tcMar>
            <w:vAlign w:val="center"/>
          </w:tcPr>
          <w:p>
            <w:pPr>
              <w:pStyle w:val="TableContents"/>
              <w:bidi w:val="0"/>
              <w:spacing w:before="0" w:after="200"/>
              <w:jc w:val="left"/>
              <w:rPr/>
            </w:pPr>
            <w:r>
              <w:rPr/>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115,000,000 share authorized, and 5,341,096 shares issued and 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(387,314)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00"/>
              <w:jc w:val="left"/>
              <w:rPr/>
            </w:pPr>
            <w:r>
              <w:rPr/>
            </w:r>
          </w:p>
        </w:tc>
        <w:tc>
          <w:tcPr>
            <w:tcW w:w="7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(387,317)</w:t>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0"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18"/>
              </w:rPr>
            </w:pPr>
            <w:r>
              <w:rPr>
                <w:rFonts w:ascii="Times New Roman;serif" w:hAnsi="Times New Roman;serif"/>
                <w:b/>
                <w:color w:val="000000"/>
                <w:sz w:val="18"/>
              </w:rPr>
              <w:t>Total liabilities, redeemable preferred stock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8"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144,657</w:t>
            </w:r>
          </w:p>
        </w:tc>
      </w:tr>
    </w:tbl>
    <w:p>
      <w:pPr>
        <w:pStyle w:val="TextBody"/>
        <w:bidi w:val="0"/>
        <w:spacing w:before="40" w:after="200"/>
        <w:jc w:val="center"/>
        <w:rPr/>
      </w:pPr>
      <w:r>
        <w:rPr/>
      </w:r>
    </w:p>
    <w:p>
      <w:pPr>
        <w:pStyle w:val="TextBody"/>
        <w:bidi w:val="0"/>
        <w:spacing w:lineRule="auto" w:line="319" w:before="40" w:after="20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4960"/>
                <wp:effectExtent l="0" t="0" r="0" b="0"/>
                <wp:wrapNone/>
                <wp:docPr id="10" name="Frame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F-4</w:t>
                      </w:r>
                    </w:p>
                  </w:txbxContent>
                </v:textbox>
                <w10:wrap type="none"/>
              </v:rect>
            </w:pict>
          </mc:Fallback>
        </mc:AlternateContent>
      </w:r>
    </w:p>
    <w:p>
      <w:pPr>
        <w:pStyle w:val="TextBody"/>
        <w:bidi w:val="0"/>
        <w:spacing w:lineRule="auto" w:line="319" w:before="40" w:after="283"/>
        <w:jc w:val="center"/>
        <w:rPr>
          <w:rFonts w:ascii="Times New Roman;serif" w:hAnsi="Times New Roman;serif"/>
          <w:b/>
          <w:color w:val="000000"/>
          <w:sz w:val="22"/>
        </w:rPr>
      </w:pPr>
      <w:r>
        <w:rPr>
          <w:rFonts w:ascii="Times New Roman;serif" w:hAnsi="Times New Roman;serif"/>
          <w:b/>
          <w:color w:val="000000"/>
          <w:sz w:val="22"/>
        </w:rPr>
        <w:t>Interactions Corporation</w:t>
      </w:r>
    </w:p>
    <w:p>
      <w:pPr>
        <w:pStyle w:val="TextBody"/>
        <w:bidi w:val="0"/>
        <w:spacing w:lineRule="auto" w:line="319" w:before="40" w:after="283"/>
        <w:jc w:val="center"/>
        <w:rPr>
          <w:rFonts w:ascii="Times New Roman;serif" w:hAnsi="Times New Roman;serif"/>
          <w:b/>
          <w:color w:val="000000"/>
          <w:sz w:val="22"/>
        </w:rPr>
      </w:pPr>
      <w:r>
        <w:rPr>
          <w:rFonts w:ascii="Times New Roman;serif" w:hAnsi="Times New Roman;serif"/>
          <w:b/>
          <w:color w:val="000000"/>
          <w:sz w:val="22"/>
        </w:rPr>
        <w:t>Consolidated Statement of Operations</w:t>
      </w:r>
    </w:p>
    <w:p>
      <w:pPr>
        <w:pStyle w:val="TextBody"/>
        <w:bidi w:val="0"/>
        <w:spacing w:lineRule="auto" w:line="319" w:before="4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bl>
      <w:tblPr>
        <w:tblW w:w="9358" w:type="dxa"/>
        <w:jc w:val="center"/>
        <w:tblInd w:w="0" w:type="dxa"/>
        <w:tblLayout w:type="fixed"/>
        <w:tblCellMar>
          <w:top w:w="28" w:type="dxa"/>
          <w:left w:w="28" w:type="dxa"/>
          <w:bottom w:w="28" w:type="dxa"/>
          <w:right w:w="28" w:type="dxa"/>
        </w:tblCellMar>
      </w:tblPr>
      <w:tblGrid>
        <w:gridCol w:w="2913"/>
        <w:gridCol w:w="2566"/>
        <w:gridCol w:w="2575"/>
        <w:gridCol w:w="580"/>
        <w:gridCol w:w="299"/>
        <w:gridCol w:w="425"/>
      </w:tblGrid>
      <w:tr>
        <w:trPr/>
        <w:tc>
          <w:tcPr>
            <w:tcW w:w="2913"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805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304"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Year Ended</w:t>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December 31,</w:t>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05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Revenues (including related party sales of $9,866 for the year ended December 31, 2024)</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82,058</w:t>
            </w:r>
          </w:p>
        </w:tc>
      </w:tr>
      <w:tr>
        <w:trPr/>
        <w:tc>
          <w:tcPr>
            <w:tcW w:w="805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805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Costs and expenses, excluding depreciation and amortization:</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80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(including related party purchases of $878 for the year ended December 31, 2024)</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29,280</w:t>
            </w:r>
          </w:p>
        </w:tc>
      </w:tr>
      <w:tr>
        <w:trPr/>
        <w:tc>
          <w:tcPr>
            <w:tcW w:w="805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5,387</w:t>
            </w:r>
          </w:p>
        </w:tc>
      </w:tr>
      <w:tr>
        <w:trPr/>
        <w:tc>
          <w:tcPr>
            <w:tcW w:w="80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18,968</w:t>
            </w:r>
          </w:p>
        </w:tc>
      </w:tr>
      <w:tr>
        <w:trPr/>
        <w:tc>
          <w:tcPr>
            <w:tcW w:w="805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14,241</w:t>
            </w:r>
          </w:p>
        </w:tc>
      </w:tr>
      <w:tr>
        <w:trPr/>
        <w:tc>
          <w:tcPr>
            <w:tcW w:w="80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3,198</w:t>
            </w:r>
          </w:p>
        </w:tc>
      </w:tr>
      <w:tr>
        <w:trPr/>
        <w:tc>
          <w:tcPr>
            <w:tcW w:w="805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71,074</w:t>
            </w:r>
          </w:p>
        </w:tc>
      </w:tr>
      <w:tr>
        <w:trPr/>
        <w:tc>
          <w:tcPr>
            <w:tcW w:w="805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center"/>
              <w:rPr/>
            </w:pPr>
            <w:r>
              <w:rPr/>
            </w:r>
          </w:p>
        </w:tc>
      </w:tr>
      <w:tr>
        <w:trPr/>
        <w:tc>
          <w:tcPr>
            <w:tcW w:w="805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10,984</w:t>
            </w:r>
          </w:p>
        </w:tc>
      </w:tr>
      <w:tr>
        <w:trPr/>
        <w:tc>
          <w:tcPr>
            <w:tcW w:w="80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(293)</w:t>
            </w:r>
          </w:p>
        </w:tc>
      </w:tr>
      <w:tr>
        <w:trPr/>
        <w:tc>
          <w:tcPr>
            <w:tcW w:w="805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(6,165)</w:t>
            </w:r>
          </w:p>
        </w:tc>
      </w:tr>
      <w:tr>
        <w:trPr/>
        <w:tc>
          <w:tcPr>
            <w:tcW w:w="80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4,526</w:t>
            </w:r>
          </w:p>
        </w:tc>
      </w:tr>
      <w:tr>
        <w:trPr/>
        <w:tc>
          <w:tcPr>
            <w:tcW w:w="805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r>
      <w:tr>
        <w:trPr/>
        <w:tc>
          <w:tcPr>
            <w:tcW w:w="80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5,160</w:t>
            </w:r>
          </w:p>
        </w:tc>
      </w:tr>
      <w:tr>
        <w:trPr/>
        <w:tc>
          <w:tcPr>
            <w:tcW w:w="805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1,023</w:t>
            </w:r>
          </w:p>
        </w:tc>
      </w:tr>
      <w:tr>
        <w:trPr/>
        <w:tc>
          <w:tcPr>
            <w:tcW w:w="80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Interactions Corporation</w:t>
            </w:r>
          </w:p>
        </w:tc>
        <w:tc>
          <w:tcPr>
            <w:tcW w:w="580"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4,137</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right"/>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22960"/>
                <wp:effectExtent l="0" t="0" r="0" b="0"/>
                <wp:wrapNone/>
                <wp:docPr id="11" name="Frame9"/>
                <a:graphic xmlns:a="http://schemas.openxmlformats.org/drawingml/2006/main">
                  <a:graphicData uri="http://schemas.microsoft.com/office/word/2010/wordprocessingShape">
                    <wps:wsp>
                      <wps:cNvSpPr txBox="1"/>
                      <wps:spPr>
                        <a:xfrm>
                          <a:off x="0" y="0"/>
                          <a:ext cx="6480175" cy="822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F-5</w:t>
                            </w:r>
                            <w:r>
                              <w:br w:type="page"/>
                            </w:r>
                          </w:p>
                          <w:p>
                            <w:pPr>
                              <w:pStyle w:val="TextBody"/>
                              <w:bidi w:val="0"/>
                              <w:spacing w:before="24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F-5</w:t>
                      </w:r>
                    </w:p>
                    <w:p>
                      <w:pPr>
                        <w:pStyle w:val="TextBody"/>
                        <w:bidi w:val="0"/>
                        <w:spacing w:before="240" w:after="200"/>
                        <w:jc w:val="both"/>
                        <w:rPr/>
                      </w:pPr>
                      <w:r>
                        <w:rPr/>
                      </w:r>
                    </w:p>
                  </w:txbxContent>
                </v:textbox>
                <w10:wrap type="none"/>
              </v:rect>
            </w:pict>
          </mc:Fallback>
        </mc:AlternateContent>
      </w:r>
    </w:p>
    <w:p>
      <w:pPr>
        <w:pStyle w:val="TextBody"/>
        <w:bidi w:val="0"/>
        <w:spacing w:lineRule="auto" w:line="319" w:before="40" w:after="283"/>
        <w:jc w:val="center"/>
        <w:rPr>
          <w:rFonts w:ascii="Times New Roman;serif" w:hAnsi="Times New Roman;serif"/>
          <w:b/>
          <w:color w:val="000000"/>
          <w:sz w:val="22"/>
        </w:rPr>
      </w:pPr>
      <w:r>
        <w:rPr>
          <w:rFonts w:ascii="Times New Roman;serif" w:hAnsi="Times New Roman;serif"/>
          <w:b/>
          <w:color w:val="000000"/>
          <w:sz w:val="22"/>
        </w:rPr>
        <w:t>Interactions Corporation</w:t>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Consolidated Statement of Comprehensive Income</w:t>
      </w:r>
    </w:p>
    <w:p>
      <w:pPr>
        <w:pStyle w:val="TextBody"/>
        <w:bidi w:val="0"/>
        <w:spacing w:lineRule="auto" w:line="288" w:before="4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before="0" w:after="200"/>
        <w:jc w:val="left"/>
        <w:rPr/>
      </w:pPr>
      <w:r>
        <w:rPr/>
      </w:r>
    </w:p>
    <w:tbl>
      <w:tblPr>
        <w:tblW w:w="6702" w:type="dxa"/>
        <w:jc w:val="center"/>
        <w:tblInd w:w="0" w:type="dxa"/>
        <w:tblLayout w:type="fixed"/>
        <w:tblCellMar>
          <w:top w:w="28" w:type="dxa"/>
          <w:left w:w="28" w:type="dxa"/>
          <w:bottom w:w="28" w:type="dxa"/>
          <w:right w:w="28" w:type="dxa"/>
        </w:tblCellMar>
      </w:tblPr>
      <w:tblGrid>
        <w:gridCol w:w="1406"/>
        <w:gridCol w:w="1236"/>
        <w:gridCol w:w="1242"/>
        <w:gridCol w:w="227"/>
        <w:gridCol w:w="227"/>
        <w:gridCol w:w="227"/>
        <w:gridCol w:w="227"/>
        <w:gridCol w:w="227"/>
        <w:gridCol w:w="227"/>
        <w:gridCol w:w="227"/>
        <w:gridCol w:w="227"/>
        <w:gridCol w:w="227"/>
        <w:gridCol w:w="227"/>
        <w:gridCol w:w="227"/>
        <w:gridCol w:w="321"/>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p>
        </w:tc>
        <w:tc>
          <w:tcPr>
            <w:tcW w:w="2818" w:type="dxa"/>
            <w:gridSpan w:val="12"/>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w:t>
            </w:r>
          </w:p>
        </w:tc>
        <w:tc>
          <w:tcPr>
            <w:tcW w:w="1362" w:type="dxa"/>
            <w:gridSpan w:val="6"/>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5,160</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(Gain) loss on translation of foreign subsidiary</w:t>
            </w:r>
          </w:p>
        </w:tc>
        <w:tc>
          <w:tcPr>
            <w:tcW w:w="1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00"/>
              <w:jc w:val="left"/>
              <w:rPr/>
            </w:pPr>
            <w:r>
              <w:rPr/>
            </w:r>
          </w:p>
        </w:tc>
        <w:tc>
          <w:tcPr>
            <w:tcW w:w="1456" w:type="dxa"/>
            <w:gridSpan w:val="6"/>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362" w:type="dxa"/>
            <w:gridSpan w:val="6"/>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00"/>
              <w:jc w:val="left"/>
              <w:rPr/>
            </w:pPr>
            <w:r>
              <w:rPr/>
            </w:r>
          </w:p>
        </w:tc>
        <w:tc>
          <w:tcPr>
            <w:tcW w:w="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00"/>
              <w:jc w:val="left"/>
              <w:rPr/>
            </w:pPr>
            <w:r>
              <w:rPr/>
            </w:r>
          </w:p>
        </w:tc>
        <w:tc>
          <w:tcPr>
            <w:tcW w:w="7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5,155</w:t>
            </w:r>
          </w:p>
        </w:tc>
      </w:tr>
      <w:tr>
        <w:trPr/>
        <w:tc>
          <w:tcPr>
            <w:tcW w:w="388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Less: Attributable to non-controlling interest</w:t>
            </w:r>
          </w:p>
        </w:tc>
        <w:tc>
          <w:tcPr>
            <w:tcW w:w="1362" w:type="dxa"/>
            <w:gridSpan w:val="6"/>
            <w:tcBorders>
              <w:top w:val="single" w:sz="4" w:space="0" w:color="000000"/>
              <w:bottom w:val="single" w:sz="4" w:space="0" w:color="000000"/>
            </w:tcBorders>
            <w:tcMar>
              <w:left w:w="0" w:type="dxa"/>
              <w:right w:w="0" w:type="dxa"/>
            </w:tcMar>
            <w:vAlign w:val="center"/>
          </w:tcPr>
          <w:p>
            <w:pPr>
              <w:pStyle w:val="TableContents"/>
              <w:bidi w:val="0"/>
              <w:spacing w:before="0" w:after="0"/>
              <w:jc w:val="left"/>
              <w:rPr/>
            </w:pPr>
            <w:r>
              <w:rPr/>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7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1,023</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362" w:type="dxa"/>
            <w:gridSpan w:val="6"/>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4,132</w:t>
            </w:r>
          </w:p>
        </w:tc>
      </w:tr>
    </w:tbl>
    <w:p>
      <w:pPr>
        <w:pStyle w:val="TextBody"/>
        <w:bidi w:val="0"/>
        <w:spacing w:before="0" w:after="200"/>
        <w:jc w:val="left"/>
        <w:rPr/>
      </w:pPr>
      <w:r>
        <w:rPr/>
      </w:r>
    </w:p>
    <w:p>
      <w:pPr>
        <w:pStyle w:val="TextBody"/>
        <w:bidi w:val="0"/>
        <w:spacing w:lineRule="auto" w:line="288" w:before="2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4960"/>
                <wp:effectExtent l="0" t="0" r="0" b="0"/>
                <wp:wrapNone/>
                <wp:docPr id="12" name="Frame1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Interactions Corporation</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Consolidated Statement of Changes in Redeemable Preferred Stock, Non-Controlling Interest, and Stockholders’ Deficit</w:t>
      </w:r>
    </w:p>
    <w:p>
      <w:pPr>
        <w:pStyle w:val="TextBody"/>
        <w:bidi w:val="0"/>
        <w:spacing w:lineRule="auto" w:line="288" w:before="0" w:after="0"/>
        <w:jc w:val="center"/>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(in thousands, except share amounts and par value)</w:t>
      </w:r>
    </w:p>
    <w:p>
      <w:pPr>
        <w:pStyle w:val="TextBody"/>
        <w:bidi w:val="0"/>
        <w:spacing w:before="0" w:after="0"/>
        <w:jc w:val="center"/>
        <w:rPr/>
      </w:pPr>
      <w:r>
        <w:rPr/>
      </w:r>
    </w:p>
    <w:tbl>
      <w:tblPr>
        <w:tblW w:w="11602" w:type="dxa"/>
        <w:jc w:val="left"/>
        <w:tblInd w:w="0" w:type="dxa"/>
        <w:tblLayout w:type="fixed"/>
        <w:tblCellMar>
          <w:top w:w="28" w:type="dxa"/>
          <w:left w:w="28" w:type="dxa"/>
          <w:bottom w:w="28" w:type="dxa"/>
          <w:right w:w="28" w:type="dxa"/>
        </w:tblCellMar>
      </w:tblPr>
      <w:tblGrid>
        <w:gridCol w:w="697"/>
        <w:gridCol w:w="244"/>
        <w:gridCol w:w="245"/>
        <w:gridCol w:w="521"/>
        <w:gridCol w:w="242"/>
        <w:gridCol w:w="243"/>
        <w:gridCol w:w="445"/>
        <w:gridCol w:w="343"/>
        <w:gridCol w:w="348"/>
        <w:gridCol w:w="315"/>
        <w:gridCol w:w="315"/>
        <w:gridCol w:w="316"/>
        <w:gridCol w:w="365"/>
        <w:gridCol w:w="299"/>
        <w:gridCol w:w="302"/>
        <w:gridCol w:w="282"/>
        <w:gridCol w:w="282"/>
        <w:gridCol w:w="262"/>
        <w:gridCol w:w="216"/>
        <w:gridCol w:w="199"/>
        <w:gridCol w:w="141"/>
        <w:gridCol w:w="440"/>
        <w:gridCol w:w="245"/>
        <w:gridCol w:w="246"/>
        <w:gridCol w:w="533"/>
        <w:gridCol w:w="437"/>
        <w:gridCol w:w="314"/>
        <w:gridCol w:w="618"/>
        <w:gridCol w:w="343"/>
        <w:gridCol w:w="345"/>
        <w:gridCol w:w="554"/>
        <w:gridCol w:w="442"/>
        <w:gridCol w:w="309"/>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42" w:type="dxa"/>
            <w:gridSpan w:val="6"/>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Redeemable Preferred Stock</w:t>
            </w:r>
          </w:p>
        </w:tc>
        <w:tc>
          <w:tcPr>
            <w:tcW w:w="1912" w:type="dxa"/>
            <w:gridSpan w:val="6"/>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1382" w:type="dxa"/>
            <w:gridSpan w:val="6"/>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93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3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11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9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Preferred Units in LLC Subsidiary</w:t>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8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5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Par Value</w:t>
            </w:r>
          </w:p>
        </w:tc>
        <w:tc>
          <w:tcPr>
            <w:tcW w:w="931"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1305"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Stockholders’ Deficit</w:t>
            </w:r>
          </w:p>
        </w:tc>
        <w:tc>
          <w:tcPr>
            <w:tcW w:w="154" w:type="dxa"/>
            <w:tcBorders/>
          </w:tcPr>
          <w:p>
            <w:pPr>
              <w:pStyle w:val="TableContents"/>
              <w:bidi w:val="0"/>
              <w:spacing w:before="0" w:after="283"/>
              <w:jc w:val="left"/>
              <w:rPr>
                <w:sz w:val="4"/>
                <w:szCs w:val="4"/>
              </w:rPr>
            </w:pPr>
            <w:r>
              <w:rPr>
                <w:sz w:val="4"/>
                <w:szCs w:val="4"/>
              </w:rPr>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1305"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1305"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Balance, December 31, 2023</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271,882,549</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379,475</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15,152,630</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76,925</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5,340,159</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(382,283)</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(382,281)</w:t>
            </w:r>
          </w:p>
        </w:tc>
        <w:tc>
          <w:tcPr>
            <w:tcW w:w="154" w:type="dxa"/>
            <w:tcBorders/>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54" w:type="dxa"/>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Stock option exercise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937</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preferred stock to redemption value (dividends)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9,645</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(618)</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(9,027)</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(9,645)</w:t>
            </w:r>
          </w:p>
        </w:tc>
        <w:tc>
          <w:tcPr>
            <w:tcW w:w="154" w:type="dxa"/>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1,023</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4,138</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4,138</w:t>
            </w:r>
          </w:p>
        </w:tc>
        <w:tc>
          <w:tcPr>
            <w:tcW w:w="154" w:type="dxa"/>
            <w:tcBorders/>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54" w:type="dxa"/>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100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271,882,549</w:t>
            </w:r>
          </w:p>
        </w:tc>
        <w:tc>
          <w:tcPr>
            <w:tcW w:w="4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389,120</w:t>
            </w:r>
          </w:p>
        </w:tc>
        <w:tc>
          <w:tcPr>
            <w:tcW w:w="9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15,152,630</w:t>
            </w:r>
          </w:p>
        </w:tc>
        <w:tc>
          <w:tcPr>
            <w:tcW w:w="3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77,948</w:t>
            </w:r>
          </w:p>
        </w:tc>
        <w:tc>
          <w:tcPr>
            <w:tcW w:w="8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5,341,096</w:t>
            </w:r>
          </w:p>
        </w:tc>
        <w:tc>
          <w:tcPr>
            <w:tcW w:w="5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4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color w:val="000000"/>
              </w:rPr>
            </w:pPr>
            <w:r>
              <w:rPr>
                <w:color w:val="000000"/>
              </w:rPr>
              <w:t>—</w:t>
            </w:r>
          </w:p>
        </w:tc>
        <w:tc>
          <w:tcPr>
            <w:tcW w:w="5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(387,314)</w:t>
            </w:r>
          </w:p>
        </w:tc>
        <w:tc>
          <w:tcPr>
            <w:tcW w:w="6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(387,317)</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22960"/>
                <wp:effectExtent l="0" t="0" r="0" b="0"/>
                <wp:wrapNone/>
                <wp:docPr id="13" name="Frame11"/>
                <a:graphic xmlns:a="http://schemas.openxmlformats.org/drawingml/2006/main">
                  <a:graphicData uri="http://schemas.microsoft.com/office/word/2010/wordprocessingShape">
                    <wps:wsp>
                      <wps:cNvSpPr txBox="1"/>
                      <wps:spPr>
                        <a:xfrm>
                          <a:off x="0" y="0"/>
                          <a:ext cx="6480175" cy="822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F-7</w:t>
                            </w:r>
                            <w:r>
                              <w:br w:type="page"/>
                            </w:r>
                          </w:p>
                          <w:p>
                            <w:pPr>
                              <w:pStyle w:val="TextBody"/>
                              <w:bidi w:val="0"/>
                              <w:spacing w:before="24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F-7</w:t>
                      </w:r>
                    </w:p>
                    <w:p>
                      <w:pPr>
                        <w:pStyle w:val="TextBody"/>
                        <w:bidi w:val="0"/>
                        <w:spacing w:before="240" w:after="200"/>
                        <w:jc w:val="both"/>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Interactions Corporation</w:t>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Consolidated Statement of Cash Flows</w:t>
      </w:r>
    </w:p>
    <w:p>
      <w:pPr>
        <w:pStyle w:val="TextBody"/>
        <w:bidi w:val="0"/>
        <w:spacing w:lineRule="auto" w:line="319"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bl>
      <w:tblPr>
        <w:tblW w:w="7820" w:type="dxa"/>
        <w:jc w:val="center"/>
        <w:tblInd w:w="0" w:type="dxa"/>
        <w:tblLayout w:type="fixed"/>
        <w:tblCellMar>
          <w:top w:w="28" w:type="dxa"/>
          <w:left w:w="28" w:type="dxa"/>
          <w:bottom w:w="28" w:type="dxa"/>
          <w:right w:w="28" w:type="dxa"/>
        </w:tblCellMar>
      </w:tblPr>
      <w:tblGrid>
        <w:gridCol w:w="1977"/>
        <w:gridCol w:w="1738"/>
        <w:gridCol w:w="1744"/>
        <w:gridCol w:w="109"/>
        <w:gridCol w:w="109"/>
        <w:gridCol w:w="109"/>
        <w:gridCol w:w="216"/>
        <w:gridCol w:w="216"/>
        <w:gridCol w:w="216"/>
        <w:gridCol w:w="216"/>
        <w:gridCol w:w="216"/>
        <w:gridCol w:w="216"/>
        <w:gridCol w:w="216"/>
        <w:gridCol w:w="216"/>
        <w:gridCol w:w="306"/>
      </w:tblGrid>
      <w:tr>
        <w:trPr/>
        <w:tc>
          <w:tcPr>
            <w:tcW w:w="197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034"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034" w:type="dxa"/>
            <w:gridSpan w:val="9"/>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6" w:type="dxa"/>
            <w:gridSpan w:val="6"/>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5,160</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96" w:type="dxa"/>
            <w:gridSpan w:val="6"/>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3,143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Revaluation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93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617</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153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640</w:t>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provision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0" w:type="dxa"/>
            <w:gridSpan w:val="5"/>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(793)</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3,878</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Unbilled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(2,892)</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Deferred contract costs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2,712</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1,312</w:t>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0" w:type="dxa"/>
            <w:gridSpan w:val="5"/>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(4,114)</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0" w:type="dxa"/>
            <w:gridSpan w:val="5"/>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(1,742)</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(1,552)</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742</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386" w:type="dxa"/>
            <w:gridSpan w:val="6"/>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7,792</w:t>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96" w:type="dxa"/>
            <w:gridSpan w:val="6"/>
            <w:tcBorders>
              <w:top w:val="single" w:sz="4" w:space="0" w:color="000000"/>
            </w:tcBorders>
            <w:tcMar>
              <w:left w:w="0" w:type="dxa"/>
              <w:bottom w:w="0" w:type="dxa"/>
              <w:right w:w="0" w:type="dxa"/>
            </w:tcMar>
            <w:vAlign w:val="center"/>
          </w:tcPr>
          <w:p>
            <w:pPr>
              <w:pStyle w:val="TableContents"/>
              <w:bidi w:val="0"/>
              <w:spacing w:before="0" w:after="0"/>
              <w:jc w:val="right"/>
              <w:rPr/>
            </w:pPr>
            <w:r>
              <w:rPr/>
            </w:r>
          </w:p>
        </w:tc>
        <w:tc>
          <w:tcPr>
            <w:tcW w:w="738"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Capitalized internal-use software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0" w:type="dxa"/>
            <w:gridSpan w:val="5"/>
            <w:tcBorders>
              <w:bottom w:val="single" w:sz="4" w:space="0" w:color="000000"/>
            </w:tcBorders>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(3,612)</w:t>
            </w:r>
          </w:p>
        </w:tc>
        <w:tc>
          <w:tcPr>
            <w:tcW w:w="30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080" w:type="dxa"/>
            <w:gridSpan w:val="5"/>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(3,951)</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96" w:type="dxa"/>
            <w:gridSpan w:val="6"/>
            <w:tcBorders>
              <w:top w:val="single" w:sz="4" w:space="0" w:color="000000"/>
            </w:tcBorders>
            <w:tcMar>
              <w:left w:w="0" w:type="dxa"/>
              <w:bottom w:w="0" w:type="dxa"/>
              <w:right w:w="0" w:type="dxa"/>
            </w:tcMar>
            <w:vAlign w:val="center"/>
          </w:tcPr>
          <w:p>
            <w:pPr>
              <w:pStyle w:val="TableContents"/>
              <w:bidi w:val="0"/>
              <w:spacing w:before="0" w:after="0"/>
              <w:jc w:val="right"/>
              <w:rPr/>
            </w:pPr>
            <w:r>
              <w:rPr/>
            </w:r>
          </w:p>
        </w:tc>
        <w:tc>
          <w:tcPr>
            <w:tcW w:w="738"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Payment on capital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080" w:type="dxa"/>
            <w:gridSpan w:val="5"/>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(752)</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080" w:type="dxa"/>
            <w:gridSpan w:val="5"/>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3,086</w:t>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4,090</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6" w:type="dxa"/>
            <w:gridSpan w:val="6"/>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7,176</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034" w:type="dxa"/>
            <w:gridSpan w:val="9"/>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545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gridSpan w:val="5"/>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6,147 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6" w:type="dxa"/>
            <w:gridSpan w:val="6"/>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Supplemental disclosures of 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96" w:type="dxa"/>
            <w:gridSpan w:val="6"/>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Accretion of preferred stock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6" w:type="dxa"/>
            <w:gridSpan w:val="6"/>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9,645</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purchased not yet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6" w:type="dxa"/>
            <w:gridSpan w:val="6"/>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lineRule="auto" w:line="319" w:before="0" w:after="20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4960"/>
                <wp:effectExtent l="0" t="0" r="0" b="0"/>
                <wp:wrapNone/>
                <wp:docPr id="14" name="Frame1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Interactions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2024</w:t>
      </w:r>
    </w:p>
    <w:p>
      <w:pPr>
        <w:pStyle w:val="TextBody"/>
        <w:bidi w:val="0"/>
        <w:spacing w:before="0" w:after="0"/>
        <w:jc w:val="center"/>
        <w:rPr/>
      </w:pPr>
      <w:r>
        <w:rPr/>
      </w:r>
    </w:p>
    <w:p>
      <w:pPr>
        <w:pStyle w:val="TextBody"/>
        <w:bidi w:val="0"/>
        <w:spacing w:lineRule="auto" w:line="288" w:before="0" w:after="280"/>
        <w:jc w:val="left"/>
        <w:rPr>
          <w:rFonts w:ascii="Times New Roman;serif" w:hAnsi="Times New Roman;serif"/>
          <w:b/>
          <w:color w:val="000000"/>
          <w:sz w:val="20"/>
        </w:rPr>
      </w:pPr>
      <w:r>
        <w:rPr>
          <w:rFonts w:ascii="Times New Roman;serif" w:hAnsi="Times New Roman;serif"/>
          <w:b/>
          <w:color w:val="000000"/>
          <w:sz w:val="20"/>
        </w:rPr>
        <w:t xml:space="preserve">1. Nature of Business and Organization </w:t>
      </w:r>
    </w:p>
    <w:p>
      <w:pPr>
        <w:pStyle w:val="TextBody"/>
        <w:bidi w:val="0"/>
        <w:spacing w:lineRule="auto" w:line="288" w:before="0" w:after="280"/>
        <w:ind w:left="0" w:right="0" w:hanging="187"/>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2014, Interactions Corporation (“the Company”), which was originally incorporated in March 2005 in the State of Delaware, executed a corporate reorganization (the “Reorganization”), forming a holding company and merging the business into Interactions LLC (the “LLC”), a controlled subsidiary. Following the Reorganization, the Company became a holding corporation whose sole material asset is the controlling equity interest in the LLC, which became the operating entity. In July 2019, the Company established Interactions Virtual Assistant India LLP (“IVAI LLP”), which is a subsidiary of and operated by the LLC. As the managing member of the LLC, the Company operates and controls all of the business and affairs of the LLC. </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a leading provider of conversational Virtual Assistance applications. The Company’s applications enable companies to automate and manage their customer interactions and overall customer care, while decreasing their costs, through a combination of an advanced automation platform, advanced speech recognition technology, human assisted understanding and workflow management. The Company’s Virtual Assistant applications significantly improve self-service for customer-care. The Company provides customers with an unobstructed path to easily accomplish their goals allowing businesses to realize the full economic benefits of self-service. The result is a significantly improved customer experience, an increase in customer loyalty and significant reduction in overall costs.</w:t>
      </w:r>
    </w:p>
    <w:p>
      <w:pPr>
        <w:pStyle w:val="TextBody"/>
        <w:bidi w:val="0"/>
        <w:spacing w:lineRule="auto" w:line="288" w:before="0" w:after="280"/>
        <w:ind w:left="0" w:right="0" w:hanging="187"/>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80"/>
        <w:ind w:left="0" w:right="0" w:hanging="187"/>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including the accounts of the Company and its wholly owned subsidiaries, have been prepared in conformity with accounting principles generally accepted in the United States of America ("U.S. GAAP"). All intercompany balances and transactions have been eliminated in consolidation.</w:t>
      </w:r>
    </w:p>
    <w:p>
      <w:pPr>
        <w:pStyle w:val="TextBody"/>
        <w:bidi w:val="0"/>
        <w:spacing w:lineRule="auto" w:line="288" w:before="0" w:after="280"/>
        <w:ind w:left="0" w:right="0" w:hanging="187"/>
        <w:jc w:val="left"/>
        <w:rPr>
          <w:rFonts w:ascii="Times New Roman;serif" w:hAnsi="Times New Roman;serif"/>
          <w:b/>
          <w:color w:val="000000"/>
          <w:sz w:val="20"/>
        </w:rPr>
      </w:pPr>
      <w:r>
        <w:rPr>
          <w:rFonts w:ascii="Times New Roman;serif" w:hAnsi="Times New Roman;serif"/>
          <w:b/>
          <w:color w:val="000000"/>
          <w:sz w:val="20"/>
        </w:rPr>
        <w:t>Consolidation</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the Company, the LLC, and its wholly owned subsidiary in India (IVAI LLP). </w:t>
      </w:r>
    </w:p>
    <w:p>
      <w:pPr>
        <w:pStyle w:val="TextBody"/>
        <w:bidi w:val="0"/>
        <w:spacing w:lineRule="auto" w:line="288" w:before="0" w:after="2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80"/>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accounting principles generally accepted in the United States requires management to make significant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assumptions by management affect the Company’s revenue recognition for application set up fees, certain accrued expenses, income taxes and related valuation allowances, Company’s common stock options and preferred stock warrants and </w:t>
      </w:r>
    </w:p>
    <w:p>
      <w:pPr>
        <w:pStyle w:val="TextBody"/>
        <w:bidi w:val="0"/>
        <w:spacing w:before="0" w:after="2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93420"/>
                <wp:effectExtent l="0" t="0" r="0" b="0"/>
                <wp:wrapNone/>
                <wp:docPr id="15" name="Frame13"/>
                <a:graphic xmlns:a="http://schemas.openxmlformats.org/drawingml/2006/main">
                  <a:graphicData uri="http://schemas.microsoft.com/office/word/2010/wordprocessingShape">
                    <wps:wsp>
                      <wps:cNvSpPr txBox="1"/>
                      <wps:spPr>
                        <a:xfrm>
                          <a:off x="0" y="0"/>
                          <a:ext cx="6480175" cy="6934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80"/>
        <w:jc w:val="both"/>
        <w:rPr>
          <w:rFonts w:ascii="Times New Roman;serif" w:hAnsi="Times New Roman;serif"/>
          <w:b w:val="false"/>
          <w:color w:val="000000"/>
          <w:sz w:val="20"/>
        </w:rPr>
      </w:pPr>
      <w:r>
        <w:rPr>
          <w:rFonts w:ascii="Times New Roman;serif" w:hAnsi="Times New Roman;serif"/>
          <w:b w:val="false"/>
          <w:color w:val="000000"/>
          <w:sz w:val="20"/>
        </w:rPr>
        <w:t>Company’s useful lives of intangible assets and property and equipment and valuation of intangible assets and goodwill. These estimates are based on information available as of the date of the consolidated financial statements. On a regular basis, management evaluates these estimates and assumptions. Actual results may differ from these estimates and such difference could be material to consolidated financial statements.</w:t>
      </w:r>
    </w:p>
    <w:p>
      <w:pPr>
        <w:pStyle w:val="TextBody"/>
        <w:bidi w:val="0"/>
        <w:spacing w:lineRule="auto" w:line="288" w:before="0" w:after="280"/>
        <w:ind w:left="0" w:right="0" w:hanging="187"/>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an original maturity date, when purchased, of three months or less to be cash equivalents. Cash equivalents at December 31, 2024 are comprised of money market funds that are readily convertible into cash. The Company maintains its cash in bank deposit accounts which, at times, may exceed federally insured limits. There were no restrictions on cash as of December 31, 2024. Refer to Note 6 for discussion on the minimum amount of cash and cash equivalents required to be maintained as part of the Term Loan debt agreement. </w:t>
      </w:r>
    </w:p>
    <w:p>
      <w:pPr>
        <w:pStyle w:val="TextBody"/>
        <w:bidi w:val="0"/>
        <w:spacing w:lineRule="auto" w:line="288" w:before="0" w:after="280"/>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carries its accounts receivable at invoiced amounts less an allowance for doubtful accounts and estimated sales discounts, if necessary. On a periodic basis, the Company evaluates its accounts receivable for collectability and, if necessary, establishes an allowance for doubtful accounts based on probable credit losses and current credit conditions. The Company does not require collateral or accrue interest on accounts receivable. The Company established an allowance for doubtful account at December 31, 2024 of $0.2 million. </w:t>
      </w:r>
    </w:p>
    <w:p>
      <w:pPr>
        <w:pStyle w:val="TextBody"/>
        <w:bidi w:val="0"/>
        <w:spacing w:lineRule="auto" w:line="288" w:before="0" w:after="280"/>
        <w:ind w:left="0" w:right="0" w:hanging="187"/>
        <w:jc w:val="left"/>
        <w:rPr>
          <w:rFonts w:ascii="Times New Roman;serif" w:hAnsi="Times New Roman;serif"/>
          <w:b/>
          <w:color w:val="000000"/>
          <w:sz w:val="20"/>
        </w:rPr>
      </w:pPr>
      <w:r>
        <w:rPr>
          <w:rFonts w:ascii="Times New Roman;serif" w:hAnsi="Times New Roman;serif"/>
          <w:b/>
          <w:color w:val="000000"/>
          <w:sz w:val="20"/>
        </w:rPr>
        <w:t>Property, Equipment and Improvements, net</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equipment and improvements, net is stated at cost less accumulated depreciation and amortization. Major improvements that extend the life, capacity or efficiency are capitalized, while maintenance and repairs are expensed as incurred.</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are calculated using the straight-line method over the estimated useful lives of the assets, as follows:</w:t>
      </w:r>
    </w:p>
    <w:tbl>
      <w:tblPr>
        <w:tblW w:w="8996" w:type="dxa"/>
        <w:jc w:val="center"/>
        <w:tblInd w:w="0" w:type="dxa"/>
        <w:tblLayout w:type="fixed"/>
        <w:tblCellMar>
          <w:top w:w="28" w:type="dxa"/>
          <w:left w:w="28" w:type="dxa"/>
          <w:bottom w:w="28" w:type="dxa"/>
          <w:right w:w="28" w:type="dxa"/>
        </w:tblCellMar>
      </w:tblPr>
      <w:tblGrid>
        <w:gridCol w:w="1037"/>
        <w:gridCol w:w="911"/>
        <w:gridCol w:w="917"/>
        <w:gridCol w:w="109"/>
        <w:gridCol w:w="109"/>
        <w:gridCol w:w="109"/>
        <w:gridCol w:w="1696"/>
        <w:gridCol w:w="1696"/>
        <w:gridCol w:w="2412"/>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804"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Computers and related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8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Shorter of the estimated useful life or the life of the original lease term</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retirement or sale, the cost of assets disposed of and the related accumulated depreciation are removed from the accounts and any resulting gain or loss is credited or charged to income. Repairs and maintenance costs are expensed as incurred.</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property and equipment assets for impairment whenever events or changes in circumstances indicate that the carrying amount of such assets may not be recoverable. Recoverability of the asset or </w:t>
      </w:r>
    </w:p>
    <w:p>
      <w:pPr>
        <w:pStyle w:val="TextBody"/>
        <w:bidi w:val="0"/>
        <w:spacing w:before="0" w:after="2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F-10</w:t>
                      </w:r>
                    </w:p>
                  </w:txbxContent>
                </v:textbox>
                <w10:wrap type="none"/>
              </v:rect>
            </w:pict>
          </mc:Fallback>
        </mc:AlternateContent>
      </w:r>
    </w:p>
    <w:p>
      <w:pPr>
        <w:pStyle w:val="TextBody"/>
        <w:bidi w:val="0"/>
        <w:spacing w:lineRule="auto" w:line="288" w:before="0" w:after="280"/>
        <w:jc w:val="both"/>
        <w:rPr>
          <w:rFonts w:ascii="Times New Roman;serif" w:hAnsi="Times New Roman;serif"/>
          <w:b w:val="false"/>
          <w:color w:val="000000"/>
          <w:sz w:val="20"/>
        </w:rPr>
      </w:pPr>
      <w:r>
        <w:rPr>
          <w:rFonts w:ascii="Times New Roman;serif" w:hAnsi="Times New Roman;serif"/>
          <w:b w:val="false"/>
          <w:color w:val="000000"/>
          <w:sz w:val="20"/>
        </w:rPr>
        <w:t>asset group is evaluated based on the undiscounted future cash flows the assets are expected to generate, and the Company recognizes an impairment loss when estimated undiscounted future cash flows expected to result from the use of the assets plus net proceeds expected from disposition of the assets, if any, are less than the carrying value of the assets. If an asset or asset group is deemed to be impaired, the amount of the impairment loss, if any, represents the excess of the asset or asset group’s carrying value compared to its estimated fair value.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Capitalized Internal-Use Software Costs</w:t>
      </w:r>
    </w:p>
    <w:p>
      <w:pPr>
        <w:pStyle w:val="TextBody"/>
        <w:bidi w:val="0"/>
        <w:spacing w:lineRule="auto" w:line="312" w:before="12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certain costs incurred during the application development stage in connection with software development. Costs related to the preliminary project stage and post-implementation stage are expensed as incurred. The Company also capitalizes costs related to specific upgrades and enhancements when it is probable the expenditure will result in additional functionality. Maintenance and training costs are expensed as incurred. Capitalized internal-use software costs are included in property and equipment, net in the Company's consolidated balance sheets and are amortized on a straight-line basis over its estimated useful life into cost of revenue within the consolidated statements of operations. The Company capitalized internal-use software costs of $3.6 million for the fiscal year ended December 31, 2024. Amortization expense of capitalized internal-use software for the fiscal year ended December 31, 2024 was $1.8 million.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mainly consist of customer relationships, acquired technology and trade name/trademark resulting from the Company's acquisitions. Acquired intangible assets are stated at fair value at the acquisition date and are amortized on a straight-line basis over their estimated useful lives, unless a method that better reflects the pattern in which the economic benefits of the intangible asset are consumed or otherwise used up can be reliably determined. </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provides for depreciation and amortization using the straight-line method over the following useful lives:</w:t>
      </w:r>
    </w:p>
    <w:tbl>
      <w:tblPr>
        <w:tblW w:w="4360" w:type="dxa"/>
        <w:jc w:val="left"/>
        <w:tblInd w:w="0" w:type="dxa"/>
        <w:tblLayout w:type="fixed"/>
        <w:tblCellMar>
          <w:top w:w="28" w:type="dxa"/>
          <w:left w:w="28" w:type="dxa"/>
          <w:bottom w:w="28" w:type="dxa"/>
          <w:right w:w="28" w:type="dxa"/>
        </w:tblCellMar>
      </w:tblPr>
      <w:tblGrid>
        <w:gridCol w:w="749"/>
        <w:gridCol w:w="659"/>
        <w:gridCol w:w="661"/>
        <w:gridCol w:w="109"/>
        <w:gridCol w:w="109"/>
        <w:gridCol w:w="109"/>
        <w:gridCol w:w="574"/>
        <w:gridCol w:w="574"/>
        <w:gridCol w:w="816"/>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12 years</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3.4 years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Trade Name/Trademark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4.3 years</w:t>
            </w:r>
          </w:p>
        </w:tc>
      </w:tr>
    </w:tbl>
    <w:p>
      <w:pPr>
        <w:pStyle w:val="TextBody"/>
        <w:bidi w:val="0"/>
        <w:spacing w:before="0" w:after="200"/>
        <w:jc w:val="both"/>
        <w:rPr/>
      </w:pPr>
      <w:r>
        <w:rPr/>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reviews intangible assets subject to amortization to determine if any adverse conditions exist, or a change in circumstances has occurred that would indicate impairment or a change in the remaining useful life. If the carrying value of an asset or asset group exceeds its undiscounted cash flows, the Company will write-down the carrying value of the intangible asset to its fair value in the period identified. In assessing fair value, the Company makes assumptions regarding estimated future cash flows and discount rates. If these estimates or related assumptions change in the future, we may be required to record impairment charges. The Company generally calculates fair value as the present value of estimated future cash flows to be generated by the asset or asset group using a risk-adjusted discount rate. If the estimate of an intangible asset’s remaining useful life is changed, the Company will amortize the remaining carrying value of the intangible asset prospectively over the revised remaining useful life. The Company conducts its impairment assessment during the fourth quarter of each year. The Company did not recognize any impairment of indefinite-lived intangible assets in the period presented in the consolidated financial statements.</w:t>
      </w:r>
    </w:p>
    <w:p>
      <w:pPr>
        <w:pStyle w:val="TextBody"/>
        <w:bidi w:val="0"/>
        <w:spacing w:before="0" w:after="2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F-11</w:t>
                      </w:r>
                    </w:p>
                  </w:txbxContent>
                </v:textbox>
                <w10:wrap type="none"/>
              </v:rect>
            </w:pict>
          </mc:Fallback>
        </mc:AlternateContent>
      </w:r>
    </w:p>
    <w:p>
      <w:pPr>
        <w:pStyle w:val="TextBody"/>
        <w:bidi w:val="0"/>
        <w:spacing w:lineRule="auto" w:line="288" w:before="0" w:after="120"/>
        <w:ind w:left="0" w:right="0" w:hanging="187"/>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the Company operates as one segment, the Company has considered whether that segment contains multiple reporting units. The Company has concluded that there is a single reporting unit as the Company does not have segment managers and discrete financial information below consolidated results is not reviewed on a regular basis. Based on this conclusion, goodwill was tested for impairment at the enterprise level. The Company performs an annual goodwill impairment test in the fourth quarter of each year unless interim indicators of impairment exist. The Company has the option to first assess the qualitative factors to determine whether it is more likely than not that the fair value of its sole reporting unit is less than its carrying amount. This qualitative analysis is used as a basis for determining whether it is necessary to perform a quantitative assessment. If the Company determines that it is more likely than not that its fair value is less than its carrying amount, then a quantitative analysis will be performed. If the reporting unit’s carrying value exceeds its fair value, the Company would record an impairment loss to the extent that the carrying value of the reporting unit exceeds its fair value. There was no impairment of goodwill during the year presented.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76"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provides for income taxes using the asset and liability method, which requires the recognition of deferred tax assets and liabilities at the date of the financial statements based on differences between the financial statement and tax bases of assets and liabilities using enacted tax rates. A valuation allowance against deferred tax assets is recorded if, based on the weight of the available evidence, it is more likely than not that some or all of the deferred tax assets will not be realized.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Non-Controlling Interest</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Non-Controlling Interest represents a related party’s equity interest in the LLC which was issued in connection with a business combination in December 2014. The initial carrying value of the Non-Controlling Interest was based on the fair value of the Series G-2 Preferred Stock in Interactions Corporation and Series G-1 Preferred Units in the LLC received by the related party in exchange for the speech language technology assets purchased by the Company in December 2014. Conversion rights allow the holder of the Series G-1 Preferred Units in the LLC to convert those units into Series G-1 Preferred Stock in Interactions Corporation which has certain liquidation and redemption preferences. Conversion rights are effective at the option of the holder at any time or automatically upon certain liquidity events. Net income of approximately $1.0 million was allocated to the Non-Controlling Interest in the year ended December 31, 2024. </w:t>
      </w:r>
    </w:p>
    <w:p>
      <w:pPr>
        <w:pStyle w:val="TextBody"/>
        <w:bidi w:val="0"/>
        <w:spacing w:lineRule="auto" w:line="288" w:before="0" w:after="280"/>
        <w:ind w:left="0" w:right="0" w:hanging="187"/>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280"/>
        <w:ind w:left="0" w:right="0" w:firstLine="540"/>
        <w:jc w:val="both"/>
        <w:rPr/>
      </w:pPr>
      <w:r>
        <w:rPr>
          <w:rFonts w:ascii="Times New Roman;serif" w:hAnsi="Times New Roman;serif"/>
          <w:b w:val="false"/>
          <w:color w:val="000000"/>
          <w:sz w:val="20"/>
        </w:rPr>
        <w:t>At December 31, 2024, the Company had an accumulated deficit of $387.3 million and in the year then ended, the Company generated net income of $5.2 million which includes $3.2 million of depreciation and amortization. The Company generated $7.8 million from operating activities and used $4.0 million and $0.8 million of cash flows from its investing and financing activities, respectively. At December 31, 2024, the Company held $7.2 million in cash and cash equivalents. The Company expects that cash and cash equivalents at December 31, 2024, along with forecasted cash flows from operations, will be sufficient to fund current operating plans and capital expenditure requirements for at least twelve months from the date of issuance of the financial statements</w:t>
      </w:r>
      <w:r>
        <w:rPr>
          <w:rFonts w:ascii="Times New Roman;serif" w:hAnsi="Times New Roman;serif"/>
          <w:b/>
          <w:color w:val="000000"/>
          <w:sz w:val="20"/>
        </w:rPr>
        <w:t xml:space="preserve">. </w:t>
      </w:r>
      <w:r>
        <w:rPr>
          <w:rFonts w:ascii="Times New Roman;serif" w:hAnsi="Times New Roman;serif"/>
          <w:b w:val="false"/>
          <w:color w:val="000000"/>
          <w:sz w:val="20"/>
        </w:rPr>
        <w:t xml:space="preserve">As discussed in Note 6, the Company also has certain financial and non-financial covenants associated with their outstanding debt and the Company’s ongoing compliance with these covenants is important to future liquidity. The Company expects to be in compliance with all debt covenants for at least twelve months from the date of issuance of the financial statements. </w:t>
      </w:r>
    </w:p>
    <w:p>
      <w:pPr>
        <w:pStyle w:val="TextBody"/>
        <w:bidi w:val="0"/>
        <w:spacing w:before="0" w:after="20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F-12</w:t>
                      </w:r>
                    </w:p>
                  </w:txbxContent>
                </v:textbox>
                <w10:wrap type="none"/>
              </v:rect>
            </w:pict>
          </mc:Fallback>
        </mc:AlternateContent>
      </w:r>
    </w:p>
    <w:p>
      <w:pPr>
        <w:pStyle w:val="TextBody"/>
        <w:bidi w:val="0"/>
        <w:spacing w:lineRule="auto" w:line="288" w:before="0" w:after="280"/>
        <w:ind w:left="0" w:right="0" w:hanging="187"/>
        <w:jc w:val="left"/>
        <w:rPr>
          <w:rFonts w:ascii="Times New Roman;serif" w:hAnsi="Times New Roman;serif"/>
          <w:b/>
          <w:color w:val="000000"/>
          <w:sz w:val="20"/>
        </w:rPr>
      </w:pPr>
      <w:r>
        <w:rPr>
          <w:rFonts w:ascii="Times New Roman;serif" w:hAnsi="Times New Roman;serif"/>
          <w:b/>
          <w:color w:val="000000"/>
          <w:sz w:val="20"/>
        </w:rPr>
        <w:t>Concentrations of Credit Risk and Off-Balance Sheet Risk</w:t>
      </w:r>
    </w:p>
    <w:p>
      <w:pPr>
        <w:pStyle w:val="TextBody"/>
        <w:bidi w:val="0"/>
        <w:spacing w:lineRule="auto" w:line="288" w:before="0" w:after="280"/>
        <w:ind w:left="0" w:right="0" w:firstLine="540"/>
        <w:jc w:val="both"/>
        <w:rPr/>
      </w:pPr>
      <w:r>
        <w:rPr>
          <w:rFonts w:ascii="Times New Roman;serif" w:hAnsi="Times New Roman;serif"/>
          <w:b w:val="false"/>
          <w:color w:val="000000"/>
          <w:sz w:val="20"/>
        </w:rPr>
        <w:t>Financial instruments that potentially subject the Company to credit risk primarily consist of cash and cash equivalents and accounts receivable. The Company maintains its cash and cash equivalents with high-quality financial institutions and such funds at times may exceed federally insured limits. The Company has not experienced any losses in such accounts. In 2024, two customers accounting for more than 10% of overall revenue representing 29%</w:t>
      </w:r>
      <w:r>
        <w:rPr>
          <w:color w:val="FF0000"/>
        </w:rPr>
        <w:t xml:space="preserve"> </w:t>
      </w:r>
      <w:r>
        <w:rPr>
          <w:rFonts w:ascii="Times New Roman;serif" w:hAnsi="Times New Roman;serif"/>
          <w:b w:val="false"/>
          <w:color w:val="000000"/>
          <w:sz w:val="20"/>
        </w:rPr>
        <w:t>of total revenue, were as follows:</w:t>
      </w:r>
    </w:p>
    <w:tbl>
      <w:tblPr>
        <w:tblW w:w="2849" w:type="dxa"/>
        <w:jc w:val="left"/>
        <w:tblInd w:w="0" w:type="dxa"/>
        <w:tblLayout w:type="fixed"/>
        <w:tblCellMar>
          <w:top w:w="28" w:type="dxa"/>
          <w:left w:w="28" w:type="dxa"/>
          <w:bottom w:w="28" w:type="dxa"/>
          <w:right w:w="28" w:type="dxa"/>
        </w:tblCellMar>
      </w:tblPr>
      <w:tblGrid>
        <w:gridCol w:w="391"/>
        <w:gridCol w:w="344"/>
        <w:gridCol w:w="345"/>
        <w:gridCol w:w="517"/>
        <w:gridCol w:w="517"/>
        <w:gridCol w:w="73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2024, four customers accounting for more than 10% of total account receivables, were as follows:</w:t>
      </w:r>
    </w:p>
    <w:tbl>
      <w:tblPr>
        <w:tblW w:w="3003" w:type="dxa"/>
        <w:jc w:val="left"/>
        <w:tblInd w:w="0" w:type="dxa"/>
        <w:tblLayout w:type="fixed"/>
        <w:tblCellMar>
          <w:top w:w="28" w:type="dxa"/>
          <w:left w:w="28" w:type="dxa"/>
          <w:bottom w:w="28" w:type="dxa"/>
          <w:right w:w="28" w:type="dxa"/>
        </w:tblCellMar>
      </w:tblPr>
      <w:tblGrid>
        <w:gridCol w:w="391"/>
        <w:gridCol w:w="344"/>
        <w:gridCol w:w="345"/>
        <w:gridCol w:w="126"/>
        <w:gridCol w:w="126"/>
        <w:gridCol w:w="126"/>
        <w:gridCol w:w="126"/>
        <w:gridCol w:w="126"/>
        <w:gridCol w:w="126"/>
        <w:gridCol w:w="126"/>
        <w:gridCol w:w="126"/>
        <w:gridCol w:w="126"/>
        <w:gridCol w:w="202"/>
        <w:gridCol w:w="204"/>
        <w:gridCol w:w="38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923" w:type="dxa"/>
            <w:gridSpan w:val="12"/>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756"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756"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3" w:type="dxa"/>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756"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sans-serif" w:hAnsi="sans-serif"/>
                <w:b w:val="false"/>
                <w:color w:val="000000"/>
                <w:sz w:val="20"/>
              </w:rPr>
            </w:pPr>
            <w:r>
              <w:rPr>
                <w:rFonts w:ascii="sans-serif" w:hAnsi="sans-serif"/>
                <w:b w:val="false"/>
                <w:color w:val="000000"/>
                <w:sz w:val="20"/>
              </w:rPr>
              <w:t>11 </w:t>
            </w:r>
          </w:p>
        </w:tc>
        <w:tc>
          <w:tcPr>
            <w:tcW w:w="38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sans-serif" w:hAnsi="sans-serif"/>
                <w:b w:val="false"/>
                <w:color w:val="000000"/>
                <w:sz w:val="20"/>
              </w:rPr>
            </w:pPr>
            <w:r>
              <w:rPr>
                <w:rFonts w:ascii="sans-serif" w:hAnsi="sans-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1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sans-serif" w:hAnsi="sans-serif"/>
                <w:b w:val="false"/>
                <w:color w:val="000000"/>
                <w:sz w:val="20"/>
              </w:rPr>
            </w:pPr>
            <w:r>
              <w:rPr>
                <w:rFonts w:ascii="sans-serif" w:hAnsi="sans-serif"/>
                <w:b w:val="false"/>
                <w:color w:val="000000"/>
                <w:sz w:val="20"/>
              </w:rPr>
              <w:t>11 </w:t>
            </w:r>
          </w:p>
        </w:tc>
        <w:tc>
          <w:tcPr>
            <w:tcW w:w="383" w:type="dxa"/>
            <w:tcBorders/>
            <w:tcMar>
              <w:top w:w="0" w:type="dxa"/>
              <w:left w:w="0" w:type="dxa"/>
              <w:bottom w:w="0" w:type="dxa"/>
              <w:right w:w="0" w:type="dxa"/>
            </w:tcMar>
            <w:vAlign w:val="center"/>
          </w:tcPr>
          <w:p>
            <w:pPr>
              <w:pStyle w:val="TableContents"/>
              <w:bidi w:val="0"/>
              <w:spacing w:lineRule="auto" w:line="319"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provides credit in the normal course of business and performs ongoing evaluations of its customers’ financial condition.</w:t>
      </w:r>
    </w:p>
    <w:p>
      <w:pPr>
        <w:pStyle w:val="TextBody"/>
        <w:bidi w:val="0"/>
        <w:spacing w:lineRule="auto" w:line="288" w:before="0" w:after="200"/>
        <w:ind w:left="0" w:right="0" w:hanging="187"/>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revenue primarily from application enabled services wherein the customer uses Company hosted software and direct support services to automate and manage their customer interactions. The Company’s revenue generating arrangements contain various contractual promises consisting of a term-based service contract and set-up and implementation services. </w:t>
      </w:r>
    </w:p>
    <w:p>
      <w:pPr>
        <w:pStyle w:val="TextBody"/>
        <w:bidi w:val="0"/>
        <w:spacing w:lineRule="auto" w:line="288" w:before="0" w:after="200"/>
        <w:ind w:left="0" w:right="0" w:firstLine="540"/>
        <w:jc w:val="both"/>
        <w:rPr/>
      </w:pPr>
      <w:r>
        <w:rPr>
          <w:rFonts w:ascii="Times New Roman;serif" w:hAnsi="Times New Roman;serif"/>
          <w:b w:val="false"/>
          <w:color w:val="000000"/>
          <w:sz w:val="20"/>
        </w:rPr>
        <w:t>The Company accounts for revenue recognition in accordance with FASB ASC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In accordance with ASC 606, the Company recognizes revenue to depict the transfer of promised goods and services to customers in an amount that reflects the consideration to which we expect to be entitled in exchange for those goods using a five-step model. The most critical judgments and estimates we make in the implementation of this model relate to identifying the performance obligations in the contract and allocation the transaction price to the performance obligations. The transaction price is the amount of consideration to which an entity expects to be entitled in exchange for transferring promised goods or services to a customer. In determining the transaction price related to a contract, the Company also determines whether the amount promised in a contract includes a variable amount (variable consideration). The Company allocates the transaction price of the arrangement based on the relative estimated standalone selling price ("SSP") of each distinct performance obligation. </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SSP, the Company maximizes observable inputs and considers a number of data points, including: the pricing of standalone sales (in the instances where available); the pricing established by management when setting prices for deliverables that are intended to be sold on a standalone basis; contractually stated prices for deliverables that are intended to be sold on a standalone basis; and other pricing factors, such as expected discounts based on the customer size and type. The Company only includes estimated amounts of variable consideration in the </w:t>
      </w:r>
    </w:p>
    <w:p>
      <w:pPr>
        <w:pStyle w:val="TextBody"/>
        <w:bidi w:val="0"/>
        <w:spacing w:before="0" w:after="20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F-13</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price to the extent it is probable that a significant reversal of cumulative revenue recognized will not occur when the uncertainty associated with the variable consideration is resolved. The Company reduces transaction prices for estimated discounts and other allowances that represent variable consideration under ASC 606. Other forms of contingent revenue or variable consideration are infrequent. </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these products and services is transferred to our customers, in an amount that reflects the consideration the Company expects to be entitled to in exchange for those services. Hosted virtual assistant application revenues recognized monthly as usage occurs approximated $58.7 million in revenues in the year ended December 31, 2024. Professional services including amortization of deferred set up fees approximated $8.7 million in revenues in the year ended December 31, 2024. License revenue, which is recognized at a point in time, approximated $7.9 million in the year ended December 31, 2024. Other revenues generally recognized over time approximated $6.8 million in revenues in the year ended December 31, 2024.</w:t>
      </w:r>
    </w:p>
    <w:p>
      <w:pPr>
        <w:pStyle w:val="TextBody"/>
        <w:bidi w:val="0"/>
        <w:spacing w:lineRule="auto" w:line="288" w:before="0" w:after="20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Hosted Virtual Assistant Applications</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its revenue from the provision of application enabled services wherein the customer uses Company hosted software and direct support services to automate and manage their customer interactions. The application is provided on a usage basis as consumed along with an upfront implementation fee. Fees for the implementation services are based on fixed fee or time and material arrangements negotiated with the customers. Fees payable to the Company for the ongoing use of the application (i.e. call handling services) are usage based and the term for ongoing usage is generally month to month. </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concluded that these application enabled services arrangements qualify as Software as a Service arrangements versus being treated as a transfer of a license of intellectual property as the customer cannot take possession of the software contractually and the application is not transferrable to arrangements with other service providers. Furthermore the Company concluded that the implementation services and ongoing use of the hosted application are not distinct performance obligations as the implementation services are highly customized for each customer and only sold by the Company, the customer cannot use the application until the implementation services are complete and the implementation services do not provide benefit to the customer without the ongoing use of the hosted application service provided by the Company which is not a readily available resource.</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nonrefundable upfront implementation fees are determined to provide the customer a material right during the period of use of the hosted application service and get recognized over the expected period of benefit, which is typically the estimated application life. The Company recognizes revenue for providing services delivered through the application as services over time. The revenue recognized in providing application-enabled services to the customer is recognized based on actual usage as each distinct day of service is completed. The Company does not consider set-up fees nor other upfront fees paid by our customers to be a significant financing component and consistent with industry practice.</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Professional services which are incurred after the application implementation process is complete are evaluated as to whether they enhance the functionality or extend the economic life of the application they relate to. Professional services incurred are recorded as deferred revenue and added to unamortized implementation services and amortized over the remaining expected useful life of the application. Other professional services are recognized as performed.</w:t>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On-Premise Software Arrangements</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certain arrangements to provide on premise software licenses of Interaction’s technology. The license revenue is recognized at the point in time when the software is made available to the customer and control is transferred. In connection with the license arrangements, the Company offers professional services </w:t>
      </w:r>
    </w:p>
    <w:p>
      <w:pPr>
        <w:pStyle w:val="TextBody"/>
        <w:bidi w:val="0"/>
        <w:spacing w:before="0" w:after="20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F-14</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towards the customization and development of the software. Revenue from distinct professional services, including training, is recognized over time based on the labor hours incurred to date. </w:t>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Social Media Software and Support</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provides customers social media monitoring software and support services. The contract terms are one year or less. The license revenue is recognized at the point in time when the software is made available to the customer and control is transferred. Social Media platform customers receive professional services from a social media team that provides social media and software support from a business analyst. Revenue for the services is recognized over time based on the labor hours incurred to date.</w:t>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 Acquisition Costs</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certain contract acquisition costs. The capitalized costs relate to paid commissions and other direct, incremental costs to acquire customer contracts. Sales commissions paid on renewal support are not commensurate with sales commissions paid on the initial contract. Contract acquisition costs are deferred and amortized on a straight-line basis over the period of benefit, which typically approximates 5 years. The period of benefit was determined based on customer contract term, expected contract renewals, as well as application useful life. Contract acquisition costs are classified as current or noncurrent assets based on when the expense will be recognized. The Company had $0.4 million of current contract acquisition costs and $0.4 million of noncurrent contract acquisition costs, as of December 31, 2024, which are classified within deferred contract costs on the consolidated balance sheet. The Company had amortization expense of $0.6 million related to contract acquisition costs for the year ended December 31, 2024. Commission expense is included in the sales and marketing expense on the consolidated statements of operations. There was no impairment related to commission costs capitalized. </w:t>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 Fulfillment Costs</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prior periods, the Company capitalizes incremental costs incurred to fulfill our contracts that (1) relate directly to the contract, (2) are expected to generate resources that will be used to satisfy our performance obligation under the contract, and (3) are expected to be recovered through revenue generated under the contract. These costs are incurred to satisfy our stand-ready obligation to provide access to our connected offerings. The contract costs are expensed to costs of revenue as we satisfy our stand-ready obligation over the expected period of benefit, which is the longer of the contract life or expected life of the customer application. </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advance payments and costs of implementation services reported in the accompanying balance sheets as deferred revenue and deferred contract costs, respectively, are deferred until the setup is complete and the application hosting service commences.</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the outset of an agreement and on a quarterly basis, the Company performs an assessment to ensure the recoverability of net margin costs on an application by application basis.</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Factors to be considered when performing this ongoing quarterly assessment includes (1) the terms of the contractual arrangement with the customer (2) the amount of nonrefundable deferred revenue, if any, recorded in connection with the transaction and (3) the estimated future call revenues associated with this customer application. Capitalized costs that are less than or equal to an amount of deferred revenue recorded for professional services “set-up” fees are generally considered recoverable through the future recognition of the deferred professional service set-up fee revenue.</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When capitalized costs exceed deferred revenue a more detailed recoverability analysis is performed. In order to conclude these capitalized costs can be recovered, the Company considers the following additional factors:</w:t>
      </w:r>
    </w:p>
    <w:p>
      <w:pPr>
        <w:pStyle w:val="TextBody"/>
        <w:bidi w:val="0"/>
        <w:spacing w:before="0" w:after="20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F-15</w:t>
                      </w:r>
                    </w:p>
                  </w:txbxContent>
                </v:textbox>
                <w10:wrap type="none"/>
              </v:rect>
            </w:pict>
          </mc:Fallback>
        </mc:AlternateConten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a)Whether a legally enforceable contractual arrangement exists and whether management would have the ability and intent to enforce collection of any deferred costs;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b)Whether objective evidence exists supporting the premise that net revenue less related direct costs of future revenues will exceed the amount of net costs then capitalized based on the terms of the contractual arrangement and life of the customer application. Future operating margins may consider revenue and related costs in excess of contractual minimums if those revenue and costs are probable of occurring, reliably estimable and are objectively supportable;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actual call volumes and revenue received to date for call processing transaction fees, and whether actual revenue experience supports future estimated revenue assumptions and thus continue to support the recoverability of deferred costs.</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instances where there are concerns as to the recoverability of capitalized net deferred costs, the Company’s policy is to expense these costs as incurred and write-down net deferred contract costs within the period the concern as to recoverability first became known. In instances where there are contractual terminations, the Company recognizes any deferred application revenue and writes off any deferred contract costs in the period the termination occurred. The Company recognized deferred application revenue of $0.2 million for the year ended December 31, 2024, to revenue upon contract terminations. The Company recognized deferred contract costs of $0.6 million for the year ended December 31, 2024, to cost of services provided, upon contract terminations or issues related to recoverability of previously capitalized deferred contract costs.</w:t>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Deferred Revenue</w:t>
      </w:r>
    </w:p>
    <w:p>
      <w:pPr>
        <w:pStyle w:val="TextBody"/>
        <w:bidi w:val="0"/>
        <w:spacing w:lineRule="auto" w:line="276" w:before="0" w:after="200"/>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Deferred revenue, which is a contract liability, consists primarily of payments received and accounts receivable recorded in advance of revenue recognition under the Company’s contracts with customers and is recognized as the revenue recognition criteria are met. Deferred revenue balance was $7.2 million and $8.5 million as of December 31, 2024 and 2023, respectively, and were recorded on the consolidated balance sheet.</w:t>
      </w:r>
    </w:p>
    <w:p>
      <w:pPr>
        <w:pStyle w:val="TextBody"/>
        <w:bidi w:val="0"/>
        <w:spacing w:lineRule="auto" w:line="276" w:before="0" w:after="200"/>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During 2024, the Company recognized revenue of $4.1 million that was included in the deferred revenue balance at the beginning of the year.</w:t>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Unbilled Receivables</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Unbilled receivables, which includes contract assets, primarily represent revenues recognized for performance obligations that have been satisfied but for which amounts have not been billed. Unbilled receivable totaled $5.7 million and $2.8 million as of December 31, 2024 and 2023, respectively, and were recorded on the consolidated balance sheet.</w:t>
      </w:r>
    </w:p>
    <w:p>
      <w:pPr>
        <w:pStyle w:val="TextBody"/>
        <w:bidi w:val="0"/>
        <w:spacing w:before="0" w:after="0"/>
        <w:ind w:left="0" w:right="0" w:firstLine="540"/>
        <w:jc w:val="left"/>
        <w:rPr/>
      </w:pPr>
      <w:r>
        <w:rPr/>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Remaining Performance Obligations</w:t>
      </w:r>
    </w:p>
    <w:p>
      <w:pPr>
        <w:pStyle w:val="TextBody"/>
        <w:bidi w:val="0"/>
        <w:spacing w:lineRule="auto" w:line="276"/>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aggregate amount of the transaction price allocated to remaining performance obligations of the contracts with the customers is $7.0 million. The Company expects to recognize 25.0% of the remaining performance obligations as revenue within one year, and 75.0% between two to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pStyle w:val="TextBody"/>
        <w:bidi w:val="0"/>
        <w:spacing w:before="0" w:after="20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the Black-Scholes option-pricing model to determine the weighted-average fair value of options and recognizes stock-based compensation expense on a straight-line basis over the requisite service period of the award. Total stock-based compensation expense in the year ended December 31, 2024 was $0.6 million. </w:t>
      </w:r>
    </w:p>
    <w:p>
      <w:pPr>
        <w:pStyle w:val="TextBody"/>
        <w:bidi w:val="0"/>
        <w:spacing w:lineRule="auto" w:line="288" w:before="0" w:after="280"/>
        <w:ind w:left="0" w:right="0" w:hanging="187"/>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319" w:before="120" w:after="200"/>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Research and development costs consist primarily of employee compensation related costs associated with new product development and enhancements to existing software products.</w:t>
      </w:r>
    </w:p>
    <w:p>
      <w:pPr>
        <w:pStyle w:val="TextBody"/>
        <w:bidi w:val="0"/>
        <w:spacing w:lineRule="auto" w:line="288" w:before="0" w:after="280"/>
        <w:ind w:left="0" w:right="0" w:hanging="187"/>
        <w:jc w:val="left"/>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charges the costs of advertising to operating expenses as incurred. Advertising expenses were $1.8 million for the year ended December 31, 2024.</w:t>
      </w:r>
    </w:p>
    <w:p>
      <w:pPr>
        <w:pStyle w:val="TextBody"/>
        <w:bidi w:val="0"/>
        <w:spacing w:lineRule="auto" w:line="288" w:before="0" w:after="280"/>
        <w:jc w:val="both"/>
        <w:rPr>
          <w:rFonts w:ascii="Times New Roman;serif" w:hAnsi="Times New Roman;serif"/>
          <w:b/>
          <w:i/>
          <w:color w:val="000000"/>
          <w:sz w:val="20"/>
        </w:rPr>
      </w:pPr>
      <w:r>
        <w:rPr>
          <w:rFonts w:ascii="Times New Roman;serif" w:hAnsi="Times New Roman;serif"/>
          <w:b/>
          <w:i/>
          <w:color w:val="000000"/>
          <w:sz w:val="20"/>
        </w:rPr>
        <w:t>Restructuring costs</w:t>
      </w:r>
    </w:p>
    <w:p>
      <w:pPr>
        <w:pStyle w:val="TextBody"/>
        <w:bidi w:val="0"/>
        <w:spacing w:lineRule="auto" w:line="288" w:before="0" w:after="280"/>
        <w:ind w:left="0" w:right="0" w:firstLine="540"/>
        <w:jc w:val="both"/>
        <w:rPr/>
      </w:pPr>
      <w:r>
        <w:rPr>
          <w:rFonts w:ascii="Times New Roman;serif" w:hAnsi="Times New Roman;serif"/>
          <w:b w:val="false"/>
          <w:color w:val="000000"/>
          <w:sz w:val="20"/>
        </w:rPr>
        <w:t>During 2024, the Company announced a cost efficiency plan, including a reduction in force which impacted approximately 49 employees, or 19% of the workforce. The Company recorded $0.7 million</w:t>
      </w:r>
      <w:r>
        <w:rPr>
          <w:color w:val="FF0000"/>
        </w:rPr>
        <w:t xml:space="preserve"> </w:t>
      </w:r>
      <w:r>
        <w:rPr>
          <w:rFonts w:ascii="Times New Roman;serif" w:hAnsi="Times New Roman;serif"/>
          <w:b w:val="false"/>
          <w:color w:val="000000"/>
          <w:sz w:val="20"/>
        </w:rPr>
        <w:t xml:space="preserve">in expense for severance provided to terminated employees for the year ended December 31, 2024. Amounts expensed in this year which had not been paid as of period end were $0.2 million. The Company expects to pay the severance accrued as of December 31, 2024 in the first quarter of 2025 and does not expect to incur any further material charges related to this workforce reduction. The charges consisted primarily of one-time employee severance and benefit costs and are recorded within the consolidated statement of operations. </w:t>
      </w:r>
    </w:p>
    <w:p>
      <w:pPr>
        <w:pStyle w:val="TextBody"/>
        <w:bidi w:val="0"/>
        <w:spacing w:lineRule="auto" w:line="288" w:before="0" w:after="280"/>
        <w:ind w:left="0" w:right="0" w:hanging="187"/>
        <w:jc w:val="left"/>
        <w:rPr>
          <w:rFonts w:ascii="Times New Roman;serif" w:hAnsi="Times New Roman;serif"/>
          <w:b/>
          <w:i/>
          <w:color w:val="000000"/>
          <w:sz w:val="20"/>
        </w:rPr>
      </w:pPr>
      <w:r>
        <w:rPr>
          <w:rFonts w:ascii="Times New Roman;serif" w:hAnsi="Times New Roman;serif"/>
          <w:b/>
          <w:i/>
          <w:color w:val="000000"/>
          <w:sz w:val="20"/>
        </w:rPr>
        <w:t>Accounts Receivable Securitization</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an accounts receivable facility with a financial institution to sell accounts receivable under a non-recourse agreement. These transactions are treated as a transfer and are accounted for as a reduction in accounts receivable because the agreements transfer effective control over and risk related to the receivables to the buyers. Thus, cash proceeds from these arrangements are reflected as operating activities, including the change of accounts receivable in our statement of cash flows each period. The Company does not service any accounts after the transfer has occurred. The Company does not have any servicing assets or liabilities. </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the Company has ongoing service obligations related to the invoices which were transferred, the proceeds received when those invoices are sold to the financial institution are recorded as borrowings on the Company’s balance sheet and treated like a financing activity for cash flow purposes until such services are completed or payment is received at the financing institution by the customer. The aggregate gross amount transferred under these facilities was $7.0 million for the year ended December 31, 2024. The Company’s loss on these transactions, the cost of transferring such accounts receivable, is reflected in the accompanying consolidated statements of operations as an operating expense. The cost of transferring such accounts receivable for the year ended December 31, 2024 was $0.1 million. At December 31, 2024, there were no outstanding receivables accounted for as financings. </w:t>
      </w:r>
    </w:p>
    <w:p>
      <w:pPr>
        <w:pStyle w:val="TextBody"/>
        <w:bidi w:val="0"/>
        <w:spacing w:before="0" w:after="20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F-17</w:t>
                      </w:r>
                    </w:p>
                  </w:txbxContent>
                </v:textbox>
                <w10:wrap type="none"/>
              </v:rect>
            </w:pict>
          </mc:Fallback>
        </mc:AlternateContent>
      </w:r>
    </w:p>
    <w:p>
      <w:pPr>
        <w:pStyle w:val="TextBody"/>
        <w:bidi w:val="0"/>
        <w:spacing w:lineRule="auto" w:line="288" w:before="0" w:after="280"/>
        <w:ind w:left="0" w:right="0" w:hanging="187"/>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319" w:before="12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For entities other than public business entities, the new guidance requires qualitative disclosure of specific categories of reconciling items and individual jurisdictions that result in a significant difference between the statutory tax rate and the effective tax rate, as well as additional information on income taxes paid. The guidance is effective for the Company on January 1, 2026. Early adoption is permitted for annual financial statements that have not yet been issued or made available for issuance. The Company is currently evaluating the impact of this standard on its consolidated financial statements.</w:t>
      </w:r>
    </w:p>
    <w:p>
      <w:pPr>
        <w:pStyle w:val="TextBody"/>
        <w:bidi w:val="0"/>
        <w:spacing w:lineRule="auto" w:line="319" w:before="12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 Reporting Comprehensive Income - Expense Disaggregation Disclosures (Topic 220): Disaggregation of Income Statement Expenses, which requires disclosure of additional information about specific expense categories underlying certain income statement expense line items. Additionally, in January 2025, the FASB issued ASU 2025-01 to clarify the effective date of ASU 2024-03. This standard is effective for annual periods beginning after December 15, 2026, and requires either prospective or retrospective application. The Company is currently evaluating the impact of this standard on its consolidated financial statements.</w:t>
      </w:r>
    </w:p>
    <w:p>
      <w:pPr>
        <w:pStyle w:val="TextBody"/>
        <w:bidi w:val="0"/>
        <w:spacing w:lineRule="auto" w:line="319" w:before="12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Financial Instruments—Credit Losses (Topic 326): Measurement of Credit Losses for Accounts Receivable and Contract Assets. This amendment introduces a practical expedient for the application of the current expected credit loss (“CECL”) model to current accounts receivable and contract assets. The amendment is effective for annual and interim reporting periods beginning after December 15, 2025, on a prospective basis, with early adoption permitted. The Company is currently evaluating the impact of this standard on its consolidated financial statements.</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issued Accounting Standards Update No. 2025-06. The standard modernizes the accounting for internal-use software costs by increasing the operability of the recognition guidance considering different methods of software development. ASU 2025-06, which can be applied prospectively, retrospectively, or with a modified transition approach, is effective for annual reporting beginning after December 15, 2027, and interim reporting periods within those annual reporting periods. Early adoption is permitted. The Company is currently evaluating the impact that the adoption of this standard will have on its consolidated financial statements and disclosures.</w:t>
      </w:r>
    </w:p>
    <w:p>
      <w:pPr>
        <w:pStyle w:val="TextBody"/>
        <w:bidi w:val="0"/>
        <w:spacing w:lineRule="auto" w:line="319" w:before="120" w:after="200"/>
        <w:jc w:val="left"/>
        <w:rPr>
          <w:rFonts w:ascii="Times New Roman;serif" w:hAnsi="Times New Roman;serif"/>
          <w:b/>
          <w:color w:val="000000"/>
          <w:sz w:val="20"/>
        </w:rPr>
      </w:pPr>
      <w:r>
        <w:rPr>
          <w:rFonts w:ascii="Times New Roman;serif" w:hAnsi="Times New Roman;serif"/>
          <w:b/>
          <w:color w:val="000000"/>
          <w:sz w:val="20"/>
        </w:rPr>
        <w:t>3. Fair Value of Financial Assets and Liabilities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primarily consist of cash equivalents, accounts receivable, accounts payable, warrants (Note 8) and debt (Note 6). At December 31, 2024, the carrying amounts of the Company’s cash equivalents, accounts receivable and accounts payable approximate fair value due to the short-term nature of these instruments. The Company’s notes payable carry a variable rate of interest based on current market rates which is established at the time borrowings are made and a fixed margin which the Company believes is consistent with what it could obtain in the current debt markets. As of December 31, 2024, the carrying amounts of these instruments approximate their fair values. The estimated fair values have been determined from information obtained from market sources and management estimates.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discloses the level of subjectivity used in measuring assets and liabilities at fair value under a hierarchical framework as follows:</w:t>
      </w:r>
    </w:p>
    <w:p>
      <w:pPr>
        <w:pStyle w:val="TextBody"/>
        <w:bidi w:val="0"/>
        <w:spacing w:before="0" w:after="20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F-18</w:t>
                      </w:r>
                    </w:p>
                  </w:txbxContent>
                </v:textbox>
                <w10:wrap type="none"/>
              </v:rect>
            </w:pict>
          </mc:Fallback>
        </mc:AlternateContent>
      </w:r>
    </w:p>
    <w:p>
      <w:pPr>
        <w:pStyle w:val="TextBody"/>
        <w:bidi w:val="0"/>
        <w:spacing w:lineRule="auto" w:line="288" w:before="0" w:after="280"/>
        <w:ind w:left="0" w:right="0" w:hanging="360"/>
        <w:jc w:val="both"/>
        <w:rPr/>
      </w:pPr>
      <w:r>
        <w:rPr>
          <w:color w:val="000000"/>
        </w:rPr>
        <w:t>•</w:t>
      </w:r>
      <w:r>
        <w:rPr>
          <w:rFonts w:ascii="Times New Roman;serif" w:hAnsi="Times New Roman;serif"/>
          <w:b w:val="false"/>
          <w:color w:val="000000"/>
          <w:sz w:val="20"/>
        </w:rPr>
        <w:t>Level 1: Quoted prices in active markets for identical assets as of the reporting date.</w:t>
      </w:r>
    </w:p>
    <w:p>
      <w:pPr>
        <w:pStyle w:val="TextBody"/>
        <w:bidi w:val="0"/>
        <w:spacing w:lineRule="auto" w:line="288" w:before="0" w:after="280"/>
        <w:ind w:left="0" w:right="0" w:hanging="360"/>
        <w:jc w:val="both"/>
        <w:rPr/>
      </w:pPr>
      <w:r>
        <w:rPr>
          <w:color w:val="000000"/>
        </w:rPr>
        <w:t>•</w:t>
      </w:r>
      <w:r>
        <w:rPr>
          <w:rFonts w:ascii="Times New Roman;serif" w:hAnsi="Times New Roman;serif"/>
          <w:b w:val="false"/>
          <w:color w:val="000000"/>
          <w:sz w:val="20"/>
        </w:rPr>
        <w:t>Level 2: Pricing inputs other than quoted prices in active markets which are either directly or indirectly observable as of the reporting date. These include quoted prices for similar assets or liabilities in active markets, and quoted prices for identical or similar assets or liabilities in markets that are not active.</w:t>
      </w:r>
    </w:p>
    <w:p>
      <w:pPr>
        <w:pStyle w:val="TextBody"/>
        <w:bidi w:val="0"/>
        <w:spacing w:lineRule="auto" w:line="288" w:before="0" w:after="280"/>
        <w:ind w:left="0" w:right="0" w:hanging="360"/>
        <w:jc w:val="both"/>
        <w:rPr/>
      </w:pPr>
      <w:r>
        <w:rPr>
          <w:color w:val="000000"/>
        </w:rPr>
        <w:t>•</w:t>
      </w:r>
      <w:r>
        <w:rPr>
          <w:rFonts w:ascii="Times New Roman;serif" w:hAnsi="Times New Roman;serif"/>
          <w:b w:val="false"/>
          <w:color w:val="000000"/>
          <w:sz w:val="20"/>
        </w:rPr>
        <w:t>Level 3: Unobservable inputs that reflect the Company’s assumptions about the assumptions that market participants would use in pricing the asset or liability. Unobservable inputs shall be used to measure fair value to the extent that observable inputs are not available.</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measured at fair value on a recurring basis at December 31, 2024 (in thousands):</w:t>
      </w:r>
    </w:p>
    <w:tbl>
      <w:tblPr>
        <w:tblW w:w="6774"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92"/>
        <w:gridCol w:w="284"/>
        <w:gridCol w:w="287"/>
        <w:gridCol w:w="392"/>
        <w:gridCol w:w="202"/>
        <w:gridCol w:w="202"/>
        <w:gridCol w:w="392"/>
        <w:gridCol w:w="202"/>
        <w:gridCol w:w="202"/>
        <w:gridCol w:w="392"/>
        <w:gridCol w:w="1145"/>
        <w:gridCol w:w="286"/>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78" w:type="dxa"/>
            <w:gridSpan w:val="12"/>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Fair Value Measurements at December 31, 2024</w:t>
            </w:r>
          </w:p>
        </w:tc>
      </w:tr>
      <w:tr>
        <w:trPr/>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Total</w:t>
            </w:r>
          </w:p>
        </w:tc>
        <w:tc>
          <w:tcPr>
            <w:tcW w:w="79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u w:val="single"/>
              </w:rPr>
            </w:pPr>
            <w:r>
              <w:rPr>
                <w:rFonts w:ascii="Times New Roman;serif" w:hAnsi="Times New Roman;serif"/>
                <w:b/>
                <w:color w:val="000000"/>
                <w:sz w:val="20"/>
                <w:u w:val="single"/>
              </w:rPr>
              <w:t>Level 1</w:t>
            </w:r>
          </w:p>
        </w:tc>
        <w:tc>
          <w:tcPr>
            <w:tcW w:w="79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u w:val="single"/>
              </w:rPr>
            </w:pPr>
            <w:r>
              <w:rPr>
                <w:rFonts w:ascii="Times New Roman;serif" w:hAnsi="Times New Roman;serif"/>
                <w:b/>
                <w:color w:val="000000"/>
                <w:sz w:val="20"/>
                <w:u w:val="single"/>
              </w:rPr>
              <w:t>Level 2</w:t>
            </w:r>
          </w:p>
        </w:tc>
        <w:tc>
          <w:tcPr>
            <w:tcW w:w="182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u w:val="single"/>
              </w:rPr>
            </w:pPr>
            <w:r>
              <w:rPr>
                <w:rFonts w:ascii="Times New Roman;serif" w:hAnsi="Times New Roman;serif"/>
                <w:b/>
                <w:color w:val="000000"/>
                <w:sz w:val="20"/>
                <w:u w:val="single"/>
              </w:rPr>
              <w:t>Level 3</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warrants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2"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392"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gridSpan w:val="2"/>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92"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gridSpan w:val="2"/>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92"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color w:val="000000"/>
              </w:rPr>
            </w:pPr>
            <w:r>
              <w:rPr>
                <w:color w:val="000000"/>
              </w:rPr>
              <w:t>      </w:t>
            </w:r>
            <w:r>
              <w:rPr>
                <w:rFonts w:ascii="Times New Roman;serif" w:hAnsi="Times New Roman;serif"/>
                <w:b w:val="false"/>
                <w:color w:val="000000"/>
                <w:sz w:val="20"/>
              </w:rPr>
              <w:t>192</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82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206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2"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392"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gridSpan w:val="2"/>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color w:val="000000"/>
              </w:rPr>
            </w:pPr>
            <w:r>
              <w:rPr>
                <w:color w:val="000000"/>
              </w:rPr>
              <w:t>—</w:t>
            </w:r>
          </w:p>
        </w:tc>
        <w:tc>
          <w:tcPr>
            <w:tcW w:w="392"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gridSpan w:val="2"/>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color w:val="000000"/>
              </w:rPr>
            </w:pPr>
            <w:r>
              <w:rPr>
                <w:color w:val="000000"/>
              </w:rPr>
              <w:t>—</w:t>
            </w:r>
          </w:p>
        </w:tc>
        <w:tc>
          <w:tcPr>
            <w:tcW w:w="392"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28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the fair value are summarized below (in thousands):</w:t>
      </w:r>
    </w:p>
    <w:tbl>
      <w:tblPr>
        <w:tblW w:w="8194" w:type="dxa"/>
        <w:jc w:val="left"/>
        <w:tblInd w:w="0" w:type="dxa"/>
        <w:tblLayout w:type="fixed"/>
        <w:tblCellMar>
          <w:top w:w="28" w:type="dxa"/>
          <w:left w:w="28" w:type="dxa"/>
          <w:bottom w:w="28" w:type="dxa"/>
          <w:right w:w="28" w:type="dxa"/>
        </w:tblCellMar>
      </w:tblPr>
      <w:tblGrid>
        <w:gridCol w:w="1021"/>
        <w:gridCol w:w="896"/>
        <w:gridCol w:w="902"/>
        <w:gridCol w:w="211"/>
        <w:gridCol w:w="616"/>
        <w:gridCol w:w="109"/>
        <w:gridCol w:w="500"/>
        <w:gridCol w:w="1461"/>
        <w:gridCol w:w="258"/>
        <w:gridCol w:w="563"/>
        <w:gridCol w:w="1245"/>
        <w:gridCol w:w="41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22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Preferred stock warrants</w:t>
            </w:r>
          </w:p>
        </w:tc>
        <w:tc>
          <w:tcPr>
            <w:tcW w:w="22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Common stock warrants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25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1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consisting of the warrants to purchase preferred and common stock are valued based on Level 3 inputs (see assumptions at Note 8). </w:t>
      </w:r>
    </w:p>
    <w:p>
      <w:pPr>
        <w:pStyle w:val="TextBody"/>
        <w:bidi w:val="0"/>
        <w:spacing w:lineRule="auto" w:line="288" w:before="0" w:after="280"/>
        <w:ind w:left="0" w:right="0" w:firstLine="540"/>
        <w:jc w:val="both"/>
        <w:rPr/>
      </w:pPr>
      <w:r>
        <w:rPr>
          <w:rFonts w:ascii="Times New Roman;serif" w:hAnsi="Times New Roman;serif"/>
          <w:b w:val="false"/>
          <w:color w:val="000000"/>
          <w:sz w:val="20"/>
        </w:rPr>
        <w:t>The unrealized gains from the change in fair value of the Level 3 financial liabilities of $0.1</w:t>
      </w:r>
      <w:r>
        <w:rPr>
          <w:color w:val="FF0000"/>
        </w:rPr>
        <w:t xml:space="preserve"> </w:t>
      </w:r>
      <w:r>
        <w:rPr>
          <w:rFonts w:ascii="Times New Roman;serif" w:hAnsi="Times New Roman;serif"/>
          <w:b w:val="false"/>
          <w:color w:val="000000"/>
          <w:sz w:val="20"/>
        </w:rPr>
        <w:t>million for the year ended December 31, 2024 was recorded as a component of other income (expense) in the consolidated statements of operations.</w:t>
      </w:r>
    </w:p>
    <w:p>
      <w:pPr>
        <w:pStyle w:val="TextBody"/>
        <w:bidi w:val="0"/>
        <w:spacing w:lineRule="auto" w:line="288" w:before="0" w:after="280"/>
        <w:jc w:val="both"/>
        <w:rPr>
          <w:rFonts w:ascii="Times New Roman;serif" w:hAnsi="Times New Roman;serif"/>
          <w:b/>
          <w:color w:val="000000"/>
          <w:sz w:val="20"/>
        </w:rPr>
      </w:pPr>
      <w:r>
        <w:rPr>
          <w:rFonts w:ascii="Times New Roman;serif" w:hAnsi="Times New Roman;serif"/>
          <w:b/>
          <w:color w:val="000000"/>
          <w:sz w:val="20"/>
        </w:rPr>
        <w:t>4. Intangible Assets and Goodwill</w:t>
      </w:r>
    </w:p>
    <w:p>
      <w:pPr>
        <w:pStyle w:val="TextBody"/>
        <w:bidi w:val="0"/>
        <w:spacing w:lineRule="auto" w:line="288" w:before="0" w:after="280"/>
        <w:ind w:left="0" w:right="0" w:firstLine="540"/>
        <w:jc w:val="both"/>
        <w:rPr/>
      </w:pPr>
      <w:r>
        <w:rPr>
          <w:rFonts w:ascii="Times New Roman;serif" w:hAnsi="Times New Roman;serif"/>
          <w:b w:val="false"/>
          <w:color w:val="000000"/>
          <w:sz w:val="20"/>
        </w:rPr>
        <w:t xml:space="preserve">On December 15, 2014, the Company acquired speech language technology (“SLT”) from a related party. The aggregate consideration for the acquisition was $95.4 million. The acquisition of the speech language technology was accounted for as a business combination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Accordingly, the financial results of the acquired business have been included in the Company’s consolidated financial statements since the date of acquisition. As part of the purchase price allocation, the Company determined that separately identifiable intangible assets were customer relationships and existing technology. The Company amortizes these intangible assets over their estimated useful lives using a method that is based on estimated future cash flows when </w:t>
      </w:r>
    </w:p>
    <w:p>
      <w:pPr>
        <w:pStyle w:val="TextBody"/>
        <w:bidi w:val="0"/>
        <w:spacing w:before="0" w:after="20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F-19</w:t>
                      </w:r>
                    </w:p>
                  </w:txbxContent>
                </v:textbox>
                <w10:wrap type="none"/>
              </v:rect>
            </w:pict>
          </mc:Fallback>
        </mc:AlternateContent>
      </w:r>
    </w:p>
    <w:p>
      <w:pPr>
        <w:pStyle w:val="TextBody"/>
        <w:bidi w:val="0"/>
        <w:spacing w:lineRule="auto" w:line="288" w:before="0" w:after="280"/>
        <w:jc w:val="both"/>
        <w:rPr>
          <w:rFonts w:ascii="Times New Roman;serif" w:hAnsi="Times New Roman;serif"/>
          <w:b w:val="false"/>
          <w:color w:val="000000"/>
          <w:sz w:val="20"/>
        </w:rPr>
      </w:pPr>
      <w:r>
        <w:rPr>
          <w:rFonts w:ascii="Times New Roman;serif" w:hAnsi="Times New Roman;serif"/>
          <w:b w:val="false"/>
          <w:color w:val="000000"/>
          <w:sz w:val="20"/>
        </w:rPr>
        <w:t>reliably determinable, which best approximates the pattern in which the economic benefits of the assets will be received, or where we have concluded that the cash flows were not reliably determinable, on a straight-line basis. The majority of the Company’s intangible assets arose from this business combination, and the 2017 acquisition of Digital Roots. The following table presents the details of intangible assets at December 31, 2024 (in thousands):</w:t>
      </w:r>
    </w:p>
    <w:tbl>
      <w:tblPr>
        <w:tblW w:w="10205" w:type="dxa"/>
        <w:jc w:val="left"/>
        <w:tblInd w:w="0" w:type="dxa"/>
        <w:tblLayout w:type="fixed"/>
        <w:tblCellMar>
          <w:top w:w="28" w:type="dxa"/>
          <w:left w:w="28" w:type="dxa"/>
          <w:bottom w:w="28" w:type="dxa"/>
          <w:right w:w="28" w:type="dxa"/>
        </w:tblCellMar>
      </w:tblPr>
      <w:tblGrid>
        <w:gridCol w:w="717"/>
        <w:gridCol w:w="590"/>
        <w:gridCol w:w="591"/>
        <w:gridCol w:w="808"/>
        <w:gridCol w:w="483"/>
        <w:gridCol w:w="419"/>
        <w:gridCol w:w="1001"/>
        <w:gridCol w:w="548"/>
        <w:gridCol w:w="520"/>
        <w:gridCol w:w="736"/>
        <w:gridCol w:w="379"/>
        <w:gridCol w:w="382"/>
        <w:gridCol w:w="956"/>
        <w:gridCol w:w="956"/>
        <w:gridCol w:w="958"/>
        <w:gridCol w:w="161"/>
      </w:tblGrid>
      <w:tr>
        <w:trPr/>
        <w:tc>
          <w:tcPr>
            <w:tcW w:w="7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898"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2069"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497"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Net Carrying Value</w:t>
            </w:r>
          </w:p>
        </w:tc>
        <w:tc>
          <w:tcPr>
            <w:tcW w:w="2870"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Weighted Average Remaining Life (Years)</w:t>
            </w:r>
          </w:p>
        </w:tc>
        <w:tc>
          <w:tcPr>
            <w:tcW w:w="161" w:type="dxa"/>
            <w:tcBorders/>
          </w:tcPr>
          <w:p>
            <w:pPr>
              <w:pStyle w:val="TableContents"/>
              <w:bidi w:val="0"/>
              <w:spacing w:before="0" w:after="283"/>
              <w:jc w:val="left"/>
              <w:rPr>
                <w:sz w:val="4"/>
                <w:szCs w:val="4"/>
              </w:rPr>
            </w:pPr>
            <w:r>
              <w:rPr>
                <w:sz w:val="4"/>
                <w:szCs w:val="4"/>
              </w:rPr>
            </w:r>
          </w:p>
        </w:tc>
      </w:tr>
      <w:tr>
        <w:trPr/>
        <w:tc>
          <w:tcPr>
            <w:tcW w:w="1898" w:type="dxa"/>
            <w:gridSpan w:val="3"/>
            <w:vMerge w:val="continue"/>
            <w:tcBorders/>
            <w:tcMar>
              <w:top w:w="0" w:type="dxa"/>
              <w:left w:w="0" w:type="dxa"/>
              <w:bottom w:w="0" w:type="dxa"/>
              <w:right w:w="0" w:type="dxa"/>
            </w:tcMar>
            <w:vAlign w:val="center"/>
          </w:tcPr>
          <w:p>
            <w:pPr>
              <w:pStyle w:val="Normal"/>
              <w:bidi w:val="0"/>
              <w:jc w:val="left"/>
              <w:rPr/>
            </w:pPr>
            <w:r>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1497" w:type="dxa"/>
            <w:gridSpan w:val="3"/>
            <w:vMerge w:val="continue"/>
            <w:tcBorders/>
            <w:tcMar>
              <w:top w:w="0" w:type="dxa"/>
              <w:left w:w="0" w:type="dxa"/>
              <w:bottom w:w="0" w:type="dxa"/>
              <w:right w:w="0" w:type="dxa"/>
            </w:tcMar>
            <w:vAlign w:val="center"/>
          </w:tcPr>
          <w:p>
            <w:pPr>
              <w:pStyle w:val="Normal"/>
              <w:bidi w:val="0"/>
              <w:jc w:val="left"/>
              <w:rPr/>
            </w:pPr>
            <w:r>
              <w:rPr/>
            </w:r>
          </w:p>
        </w:tc>
        <w:tc>
          <w:tcPr>
            <w:tcW w:w="2870"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Existing Technology</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46,674</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(46,674)</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71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20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497"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287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61" w:type="dxa"/>
            <w:tcBorders/>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Trade Name/ Trademark</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91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9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Non-Compete Agreement</w:t>
            </w:r>
          </w:p>
        </w:tc>
        <w:tc>
          <w:tcPr>
            <w:tcW w:w="171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0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497"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912" w:type="dxa"/>
            <w:gridSpan w:val="2"/>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9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Interactions Domain</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87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161" w:type="dxa"/>
            <w:tcBorders/>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IP Address</w:t>
            </w:r>
          </w:p>
        </w:tc>
        <w:tc>
          <w:tcPr>
            <w:tcW w:w="171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0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497"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2870"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61" w:type="dxa"/>
            <w:tcBorders/>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08"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47,657</w:t>
            </w:r>
          </w:p>
        </w:tc>
        <w:tc>
          <w:tcPr>
            <w:tcW w:w="10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(47,350)</w:t>
            </w:r>
          </w:p>
        </w:tc>
        <w:tc>
          <w:tcPr>
            <w:tcW w:w="73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2870"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0"/>
              <w:jc w:val="left"/>
              <w:rPr/>
            </w:pPr>
            <w:r>
              <w:rPr/>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the year ended December 31, 2024 was $0.1 million. </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estimated future amortization expense related to current intangible assets in each of the five succeeding fiscal years is expected to be as follows (in thousands):</w:t>
      </w:r>
    </w:p>
    <w:tbl>
      <w:tblPr>
        <w:tblW w:w="1951" w:type="dxa"/>
        <w:jc w:val="left"/>
        <w:tblInd w:w="0" w:type="dxa"/>
        <w:tblLayout w:type="fixed"/>
        <w:tblCellMar>
          <w:top w:w="28" w:type="dxa"/>
          <w:left w:w="28" w:type="dxa"/>
          <w:bottom w:w="28" w:type="dxa"/>
          <w:right w:w="28" w:type="dxa"/>
        </w:tblCellMar>
      </w:tblPr>
      <w:tblGrid>
        <w:gridCol w:w="407"/>
        <w:gridCol w:w="357"/>
        <w:gridCol w:w="361"/>
        <w:gridCol w:w="240"/>
        <w:gridCol w:w="410"/>
        <w:gridCol w:w="176"/>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Year Ended</w:t>
            </w:r>
          </w:p>
        </w:tc>
        <w:tc>
          <w:tcPr>
            <w:tcW w:w="826"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color w:val="000000"/>
                <w:sz w:val="20"/>
              </w:rPr>
            </w:pPr>
            <w:r>
              <w:rPr>
                <w:rFonts w:ascii="Times New Roman;serif" w:hAnsi="Times New Roman;serif"/>
                <w:b/>
                <w:color w:val="000000"/>
                <w:sz w:val="20"/>
              </w:rPr>
              <w:t>Amount</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112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12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gridSpan w:val="2"/>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r>
    </w:tbl>
    <w:p>
      <w:pPr>
        <w:pStyle w:val="TextBody"/>
        <w:bidi w:val="0"/>
        <w:spacing w:before="0" w:after="200"/>
        <w:jc w:val="both"/>
        <w:rPr/>
      </w:pPr>
      <w:r>
        <w:rPr/>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net identifiable tangible and intangible assets acquired. There have been no changes to the goodwill balance for the period presented. Accumulated impairment for goodwill is $0 at December 31, 2024.</w:t>
      </w:r>
    </w:p>
    <w:p>
      <w:pPr>
        <w:pStyle w:val="TextBody"/>
        <w:bidi w:val="0"/>
        <w:spacing w:before="0" w:after="20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F-20</w:t>
                      </w:r>
                    </w:p>
                  </w:txbxContent>
                </v:textbox>
                <w10:wrap type="none"/>
              </v:rect>
            </w:pict>
          </mc:Fallback>
        </mc:AlternateContent>
      </w:r>
    </w:p>
    <w:p>
      <w:pPr>
        <w:pStyle w:val="TextBody"/>
        <w:bidi w:val="0"/>
        <w:spacing w:lineRule="auto" w:line="288" w:before="0" w:after="280"/>
        <w:jc w:val="left"/>
        <w:rPr>
          <w:rFonts w:ascii="Times New Roman;serif" w:hAnsi="Times New Roman;serif"/>
          <w:b/>
          <w:color w:val="000000"/>
          <w:sz w:val="20"/>
        </w:rPr>
      </w:pPr>
      <w:r>
        <w:rPr>
          <w:rFonts w:ascii="Times New Roman;serif" w:hAnsi="Times New Roman;serif"/>
          <w:b/>
          <w:color w:val="000000"/>
          <w:sz w:val="20"/>
        </w:rPr>
        <w:t>5. Property, Equipment and Improvements</w:t>
      </w:r>
    </w:p>
    <w:p>
      <w:pPr>
        <w:pStyle w:val="TextBody"/>
        <w:bidi w:val="0"/>
        <w:spacing w:lineRule="auto" w:line="288" w:before="0" w:after="2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equipment and improvements, consist of the following at December 31, 2024 (in thousands):</w:t>
      </w:r>
    </w:p>
    <w:tbl>
      <w:tblPr>
        <w:tblW w:w="6252" w:type="dxa"/>
        <w:jc w:val="left"/>
        <w:tblInd w:w="0" w:type="dxa"/>
        <w:tblLayout w:type="fixed"/>
        <w:tblCellMar>
          <w:top w:w="28" w:type="dxa"/>
          <w:left w:w="28" w:type="dxa"/>
          <w:bottom w:w="28" w:type="dxa"/>
          <w:right w:w="28" w:type="dxa"/>
        </w:tblCellMar>
      </w:tblPr>
      <w:tblGrid>
        <w:gridCol w:w="124"/>
        <w:gridCol w:w="109"/>
        <w:gridCol w:w="109"/>
        <w:gridCol w:w="1379"/>
        <w:gridCol w:w="1379"/>
        <w:gridCol w:w="1382"/>
        <w:gridCol w:w="344"/>
        <w:gridCol w:w="1175"/>
        <w:gridCol w:w="2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7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11,636 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77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535</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1,601</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177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22,490</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222</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36,484</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(19,868)</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4"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16,616 </w:t>
            </w:r>
          </w:p>
        </w:tc>
        <w:tc>
          <w:tcPr>
            <w:tcW w:w="25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0"/>
        <w:jc w:val="both"/>
        <w:rPr/>
      </w:pPr>
      <w:r>
        <w:rPr/>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year ended December 31, 2024 was $3.1 million. Amortization related to capital leases for the year ended December 31, 2024 was immaterial.</w:t>
      </w:r>
    </w:p>
    <w:p>
      <w:pPr>
        <w:pStyle w:val="TextBody"/>
        <w:bidi w:val="0"/>
        <w:spacing w:lineRule="auto" w:line="288" w:before="0" w:after="280"/>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of 2022, the Company entered into a new refinancing agreement to secure a $40.0 million Term Loan (“the Term Loan”) with a maturity of June 2027. Attached to the loan were 189,408 detachable warrants to purchase common stock. Additionally, the loan can be increased in disbursements of $2.0 million increments based on achieving trailing twelve-month revenue of $100.0 million to increase the Term Loan up to a maximum of $50.0 million. The Term Loan has a variable rate of interest (SOFR plus 9.26%) and requires interest-only payments through June 2025. Prepayment is permitted and may include a prepayment fee ranging from 0% - 3% of the principal amount being repaid, depending on when the prepayment is made. </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October of 2024, the Company and the creditor agreed to a modification of the Term Loan, which extended the interest-only payments through June 2026 (“the Amended Term Loan”). The maturity was extended to June 2028. The final payment was increased by $0.2 million to $1.6 million in addition to required principal payments. The final payment is treated as a debt discount and accreted to the debt balance over the term.</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outstanding borrowings as of December 31, 2024 are as follows (in thousands):</w:t>
      </w:r>
    </w:p>
    <w:tbl>
      <w:tblPr>
        <w:tblW w:w="5774" w:type="dxa"/>
        <w:jc w:val="left"/>
        <w:tblInd w:w="0" w:type="dxa"/>
        <w:tblLayout w:type="fixed"/>
        <w:tblCellMar>
          <w:top w:w="28" w:type="dxa"/>
          <w:left w:w="28" w:type="dxa"/>
          <w:bottom w:w="28" w:type="dxa"/>
          <w:right w:w="28" w:type="dxa"/>
        </w:tblCellMar>
      </w:tblPr>
      <w:tblGrid>
        <w:gridCol w:w="1448"/>
        <w:gridCol w:w="1276"/>
        <w:gridCol w:w="1281"/>
        <w:gridCol w:w="786"/>
        <w:gridCol w:w="406"/>
        <w:gridCol w:w="577"/>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Term loan payable at a rate of SOFR plus 9.26%</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r>
      <w:tr>
        <w:trPr/>
        <w:tc>
          <w:tcPr>
            <w:tcW w:w="40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Term loan final payment</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894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0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78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40,391</w:t>
            </w:r>
          </w:p>
        </w:tc>
      </w:tr>
    </w:tbl>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and Amended Term Loan contain financial and non-financial covenants. The financial covenants require a minimum liquidity level ($2.0 million of cash and cash equivalents) as well as minimum </w:t>
      </w:r>
    </w:p>
    <w:p>
      <w:pPr>
        <w:pStyle w:val="TextBody"/>
        <w:bidi w:val="0"/>
        <w:spacing w:before="0" w:after="20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F-21</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and EBITDA levels which are measured on a quarterly basis. The Company was in compliance with all covenants associated with the Term Loan at December 31, 2024 and the date these financial statements were issued.</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minimum principal payment of the Term Loan (excluding balloon payment of $1.6 million payable at the end of the term) for the years ending December 31, 2024 are as follows (in thousands):</w:t>
      </w:r>
    </w:p>
    <w:p>
      <w:pPr>
        <w:pStyle w:val="TextBody"/>
        <w:bidi w:val="0"/>
        <w:spacing w:before="0" w:after="0"/>
        <w:ind w:left="0" w:right="0" w:firstLine="540"/>
        <w:jc w:val="both"/>
        <w:rPr/>
      </w:pPr>
      <w:r>
        <w:rPr/>
      </w:r>
    </w:p>
    <w:tbl>
      <w:tblPr>
        <w:tblW w:w="2954" w:type="dxa"/>
        <w:jc w:val="left"/>
        <w:tblInd w:w="0" w:type="dxa"/>
        <w:tblLayout w:type="fixed"/>
        <w:tblCellMar>
          <w:top w:w="28" w:type="dxa"/>
          <w:left w:w="28" w:type="dxa"/>
          <w:bottom w:w="28" w:type="dxa"/>
          <w:right w:w="28" w:type="dxa"/>
        </w:tblCellMar>
      </w:tblPr>
      <w:tblGrid>
        <w:gridCol w:w="499"/>
        <w:gridCol w:w="438"/>
        <w:gridCol w:w="443"/>
        <w:gridCol w:w="700"/>
        <w:gridCol w:w="361"/>
        <w:gridCol w:w="513"/>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Year Ended</w:t>
            </w:r>
          </w:p>
        </w:tc>
        <w:tc>
          <w:tcPr>
            <w:tcW w:w="1574"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Long-Term Debt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574"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r>
      <w:tr>
        <w:trPr/>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74"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payments</w:t>
            </w:r>
          </w:p>
        </w:tc>
        <w:tc>
          <w:tcPr>
            <w:tcW w:w="70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r>
    </w:tbl>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7. Non-Controlling Interest</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2014, as consideration for the acquisition of speech language technology (Note 4) the Company issued 15,152,630 shares of Series G-2 Preferred Stock and 15,152,630 shares of Interactions LLC G-1 Units. The G-2 Preferred Stock provides voting rights only and do not provide the holder any economic interests. Combined, the G-2 Preferred Stock and the G-1 Units are exchangeable for Series G-1 Preferred Stock of the Company at any time at the election of the holder and mandatorily in the event of certain transactions such as change in control or initial public offerings. At December 31, 2024, there were 15,152,630 shares of G-1 Preferred Stock authorized, none of which were outstanding. Rights and preferences of the G-1 and G-2 Preferred Stock are summarized in Note 8. From and after the date of a potential future issuance of Series G-1 Preferred Stock, dividends shall accrue on shares of Series G-1 Preferred Stock at a rate per annum of $0.39597 as if the Series G-1 Preferred Stock was issued on December 15, 2014. In the year ended December 31, 2024, the Company allocated net income to the non-controlling interest in the amounts of $1.0 million, as the valuation results of the Company’s preferred and common stock indicated the estimated value the holders of the non-controlling interest would receive in a theoretical exit were less than its carrying value. </w:t>
      </w:r>
    </w:p>
    <w:p>
      <w:pPr>
        <w:pStyle w:val="TextBody"/>
        <w:bidi w:val="0"/>
        <w:spacing w:lineRule="auto" w:line="288" w:before="0" w:after="260"/>
        <w:ind w:left="0" w:right="0" w:hanging="245"/>
        <w:jc w:val="left"/>
        <w:rPr>
          <w:rFonts w:ascii="Times New Roman;serif" w:hAnsi="Times New Roman;serif"/>
          <w:b/>
          <w:color w:val="000000"/>
          <w:sz w:val="20"/>
        </w:rPr>
      </w:pPr>
      <w:r>
        <w:rPr>
          <w:rFonts w:ascii="Times New Roman;serif" w:hAnsi="Times New Roman;serif"/>
          <w:b/>
          <w:color w:val="000000"/>
          <w:sz w:val="20"/>
        </w:rPr>
        <w:t>8. Redeemable Preferred Stock and Stockholders’ Deficit</w:t>
      </w:r>
    </w:p>
    <w:p>
      <w:pPr>
        <w:pStyle w:val="TextBody"/>
        <w:bidi w:val="0"/>
        <w:spacing w:lineRule="auto" w:line="288" w:before="0" w:after="260"/>
        <w:ind w:left="0" w:right="0" w:hanging="187"/>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December 31, 2024, the Company has authorized 115,000,000 shares of Common Stock with a par value of $0.0001 per share, of which 82,454,578 are reserved for issuance in connection with the conversion of Series A-1 Redeemable Convertible Preferred Stock (“Series A-1 Preferred Stock”), Series A-2 Redeemable Convertible Preferred Stock (“Series A-2 Preferred Stock”), Series B Redeemable Convertible Preferred Stock (“Series B Preferred Stock”), Series C Redeemable Convertible Preferred Stock (“Series C Preferred Stock”), Series D Redeemable Convertible Preferred Stock (“Series D Preferred Stock”), Series E Redeemable Convertible Preferred Stock (“Series E Preferred Stock”), Series F Redeemable Convertible Preferred Stock (“Series F Preferred Stock”), Series G Redeemable Convertible Preferred Stock (“Series G Preferred Stock”), Series G-1 Redeemable Convertible Preferred Stock (“Series G-1 Preferred Stock”), Series G-3 Redeemable Convertible Preferred Stock (“Series G-3 Preferred Stock”) (collectively referred to as “Preferred Stock”) and 18,556,430 shares are reserved for issuance upon the exercise of stock options under the Company’s 2023 Equity Incentive Plan. At December 31, 2024, 5,341,096 shares of Common Stock were issued and outstanding, respectively.</w:t>
      </w:r>
    </w:p>
    <w:p>
      <w:pPr>
        <w:pStyle w:val="TextBody"/>
        <w:bidi w:val="0"/>
        <w:spacing w:before="0" w:after="20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F-22</w:t>
                      </w:r>
                    </w:p>
                  </w:txbxContent>
                </v:textbox>
                <w10:wrap type="none"/>
              </v:rect>
            </w:pict>
          </mc:Fallback>
        </mc:AlternateContent>
      </w:r>
    </w:p>
    <w:p>
      <w:pPr>
        <w:pStyle w:val="TextBody"/>
        <w:bidi w:val="0"/>
        <w:spacing w:lineRule="auto" w:line="288" w:before="0" w:after="260"/>
        <w:ind w:left="0" w:right="0" w:hanging="187"/>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2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inception, the Company has been funded through several private placements of preferred stock. As amended, the Company’s Articles authorize the issuance of 300,715,923 shares of Preferred Stock with a par value of $0.0001 per share.</w:t>
      </w:r>
    </w:p>
    <w:p>
      <w:pPr>
        <w:pStyle w:val="TextBody"/>
        <w:bidi w:val="0"/>
        <w:spacing w:lineRule="auto" w:line="288" w:before="0" w:after="2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authorized, issued and outstanding Preferred Stock as of December 31, 2024 (in thousands):</w:t>
      </w:r>
    </w:p>
    <w:p>
      <w:pPr>
        <w:pStyle w:val="TextBody"/>
        <w:bidi w:val="0"/>
        <w:spacing w:before="0" w:after="20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44"/>
        <w:gridCol w:w="2764"/>
        <w:gridCol w:w="2775"/>
        <w:gridCol w:w="269"/>
        <w:gridCol w:w="1055"/>
        <w:gridCol w:w="198"/>
      </w:tblGrid>
      <w:tr>
        <w:trPr/>
        <w:tc>
          <w:tcPr>
            <w:tcW w:w="314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8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868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Non-Controlling Interest- Redeemable LLC Preferred Stock:</w:t>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Held by Non-Controlling Interest</w:t>
            </w:r>
          </w:p>
        </w:tc>
        <w:tc>
          <w:tcPr>
            <w:tcW w:w="269"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77,948 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Redeemable Corporation Preferred Stock (liquidation preference in millions)</w:t>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G-3 redeemable convertible preferred stock (10,826,821 shares authorized 9,940,114 issued and outstanding; liquidation preference of $161.2 at December 31, 2024)</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165,158 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Series G-2 redeemable convertible preferred stock (15,152,630 shares authorized, issued and outstanding)</w:t>
            </w:r>
          </w:p>
        </w:tc>
        <w:tc>
          <w:tcPr>
            <w:tcW w:w="1324"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G-1 redeemable convertible preferred stock (15,152,630 shares authorized, 0 issued and outstanding; liquidation preference of $100 at December 31, 2024)</w:t>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868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G redeemable convertible preferred stock (6,170,984 shares authorized, 6,061,885 issued and outstanding; liquidation preference of $105.6 at December 31, 2024)</w:t>
            </w:r>
          </w:p>
        </w:tc>
        <w:tc>
          <w:tcPr>
            <w:tcW w:w="1324"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107,954 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F redeemable convertible preferred stock (7,865,260 shares authorized, 7,865,260 issued and outstanding; liquidation preference of $25.5 at December 31, 2024)</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26,436 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E redeemable convertible preferred stock (19,871,248 shares authorized, 19,871,248 issued and outstanding; liquidation preference of $20.9 at December 31, 2024)</w:t>
            </w:r>
          </w:p>
        </w:tc>
        <w:tc>
          <w:tcPr>
            <w:tcW w:w="1324"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21,641 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D redeemable convertible preferred stock (191,201,672 shares authorized, 187,069,507 issued and outstanding; liquidation preference of $18.9 at December 31, 2024)</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19,550 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C redeemable convertible preferred stock (21,650,000 shares authorized, 15,053,511 issued and outstanding; liquidation preference of $19.9 at December 31, 2024)</w:t>
            </w:r>
          </w:p>
        </w:tc>
        <w:tc>
          <w:tcPr>
            <w:tcW w:w="1324"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20,567 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B redeemable convertible preferred stock (5,300,000 shares authorized, 5,181,342 issued and outstanding; liquidation preference of $7.8 at December 31, 2024)</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A-2 redeemable convertible preferred stock (1,724,678 shares authorized, 1,724,678 issued and outstanding; liquidation preference of $5.1 at December 31, 2024)</w:t>
            </w:r>
          </w:p>
        </w:tc>
        <w:tc>
          <w:tcPr>
            <w:tcW w:w="1324"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Series A-1 redeemable convertible preferred stock (5,800,000 shares authorized, 3,962,374 issued and outstanding; liquidation preference of $14.5 at December 31, 2024)</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14,700 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3"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Total Redeemable Preferred Stock</w:t>
            </w:r>
          </w:p>
        </w:tc>
        <w:tc>
          <w:tcPr>
            <w:tcW w:w="26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389,120 </w:t>
            </w:r>
          </w:p>
        </w:tc>
        <w:tc>
          <w:tcPr>
            <w:tcW w:w="198"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Preferred Stock have the following rights and preferences:</w:t>
      </w:r>
    </w:p>
    <w:p>
      <w:pPr>
        <w:pStyle w:val="TextBody"/>
        <w:bidi w:val="0"/>
        <w:spacing w:before="0" w:after="20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F-24</w:t>
                      </w:r>
                    </w:p>
                  </w:txbxContent>
                </v:textbox>
                <w10:wrap type="none"/>
              </v:rect>
            </w:pict>
          </mc:Fallback>
        </mc:AlternateContent>
      </w:r>
    </w:p>
    <w:p>
      <w:pPr>
        <w:pStyle w:val="TextBody"/>
        <w:bidi w:val="0"/>
        <w:spacing w:lineRule="auto" w:line="288" w:before="0" w:after="260"/>
        <w:ind w:left="0" w:right="0" w:hanging="187"/>
        <w:jc w:val="left"/>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share of Preferred Stock is convertible, at the holder’s option, into shares of Common Stock as determined by the preferred applicable conversion rate set forth in the Articles. As adjusted for stock splits, the conversion rate for all Series A-1 Preferred Stock, Series A-2 Preferred Stock, Series B Preferred Stock, Series C Preferred Stock and Series D Preferred Stock is ten shares of Preferred Stock for one share of Common Stock, subject to anti-dilution provisions. The conversion rate for Series E Preferred Stock, Series F Preferred Stock, Series G Preferred Stock, Series G-1 Preferred stock, and Series G-3 Preferred Stock is one share of Preferred Stock for one share of Common Stock, subject to anti-dilution provisions.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Mandatory conversion of Preferred Stock (excluding Series G-2 Preferred Stock) will occur when the Company yields aggregate proceeds of at least $75.0 million, net of underwriting discounts and commissions, from a qualified public offering or if the holders of a majority of the Preferred Stock (excluding Series G-2 Preferred Stock), voting together as a single class on an as-converted basis, elect to convert in connection with a public offering. Mandatory conversion of Preferred Stock (excluding Series G Preferred Stock, Series G-1 Preferred Stock, Series G-2 Preferred Stock and Series G-3 Preferred Stock) will occur if the holders of a majority of the Preferred Stock (excluding Series G-2 Preferred Stock), voting together as a single class, elect to convert. Mandatory conversion of Series G Preferred Stock will occur if the holders of a majority of the Series G Preferred Stock elect to convert. Mandatory conversion of Series G-1 Preferred Stock will occur if the holders of a majority of the Series G-1 Preferred Stock and Series G-2 Preferred Stock, voting together as a single class on an as converted basis, elect to convert. Mandatory conversion of Series G-3 Preferred Stock will occur if the holders of a majority of the Preferred Stock (excluding Series G-2 Preferred Stock), voting together as a single class on an as-converted basis, the holders of at least two-thirds of Series G Preferred Stock, and the holders of a majority of Series G-3 Preferred Stock, each elect to convert.</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of a mandatory conversion in connection with the Company’s initial public offering “IPO” in which the initial price per share of the Common Stock, as set forth on the cover of the final IPO prospectus, is less than the qualified IPO factor (1.75x) times the Series G-3 Redeemable Preferred Stock original issue price the holder of Series G through Series G-3 shall receive additional shares of Common Stock equal to the difference between the IPO Factor times Series G-3 Redeemable Preferred Stock less initial price per share.</w:t>
      </w:r>
    </w:p>
    <w:p>
      <w:pPr>
        <w:pStyle w:val="TextBody"/>
        <w:bidi w:val="0"/>
        <w:spacing w:lineRule="auto" w:line="288" w:before="0" w:after="260"/>
        <w:ind w:left="0" w:right="0" w:hanging="187"/>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and after the date of the initial issuance of Series B Preferred Stock (January 31, 2008), dividends shall accrue on shares of Series A-1 Preferred Stock and Series B Preferred Stock at a rate per annum of $0.04632 per share. From and after the date of the initial issuance of Series C Preferred Stock (September 10, 2008), dividends shall accrue on shares of Series C Preferred Stock at a rate per annum of $0.0416 per share. From and after the date of the initial issuance of Series D Preferred Stock (April 1, 2010), dividends shall accrue on shares of Series D Preferred Stock at a rate per annum of $0.00337 per share. From and after the date of the initial issuance of Series E Preferred Stock (July 15, 2011), dividends shall accrue on shares of Series E Preferred Stock at a rate per annum of $0.03613. From and after the date of the initial issuance of Series F Preferred Stock (August 21, 2012), dividends shall accrue on shares of Series F Preferred Stock at a rate per annum of $0.11575. From and after the date of the initial issuance of Series G Preferred Stock (May 10, 2013), dividends shall accrue on shares of Series G Preferred Stock at a rate per annum of $0.39597. From and after the date of the initial issuance of Series G-3 Preferred Stock (March 31, 2015), dividends shall accrue on shares of Series G-3 Preferred Stock at a rate per annum of $0.39597.</w:t>
      </w:r>
    </w:p>
    <w:p>
      <w:pPr>
        <w:pStyle w:val="TextBody"/>
        <w:bidi w:val="0"/>
        <w:spacing w:before="0" w:after="20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F-25</w:t>
                      </w:r>
                    </w:p>
                  </w:txbxContent>
                </v:textbox>
                <w10:wrap type="none"/>
              </v:rect>
            </w:pict>
          </mc:Fallback>
        </mc:AlternateConten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and after the date of a potential future issuance of Series G-1 Preferred Stock, dividends shall accrue on shares of Series G-1 Preferred Stock at a rate per annum of $0.39597 as if the Series G-1 Preferred Stock was issued on December 15, 2014.</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Series A-2 Preferred Stock, Series G-2 Preferred Stock are not entitled to any 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Accruing Dividends, as defined above, shall accrue from day to day, whether or not declared, and shall be cumulative. In the event dividends are paid on any share of Common Stock, the Company shall pay an additional dividend on all outstanding shares of Series A-1 Preferred Stock, Series B Preferred Stock, Series C Preferred Stock, Series D Preferred Stock, Series E Preferred Stock, Series F Preferred Stock, Series G Preferred Stock and Series G-3 Preferred Stock in a per share amount equal (on an as-if-converted to Common Stock basis) to the amount paid for each share of Common Stock.</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Company’s accrued and undeclared dividends on outstanding Preferred Stock as of December 31, 2024 (in thousands):</w:t>
      </w:r>
    </w:p>
    <w:tbl>
      <w:tblPr>
        <w:tblW w:w="5908" w:type="dxa"/>
        <w:jc w:val="left"/>
        <w:tblInd w:w="0" w:type="dxa"/>
        <w:tblLayout w:type="fixed"/>
        <w:tblCellMar>
          <w:top w:w="28" w:type="dxa"/>
          <w:left w:w="28" w:type="dxa"/>
          <w:bottom w:w="28" w:type="dxa"/>
          <w:right w:w="28" w:type="dxa"/>
        </w:tblCellMar>
      </w:tblPr>
      <w:tblGrid>
        <w:gridCol w:w="1501"/>
        <w:gridCol w:w="1315"/>
        <w:gridCol w:w="1323"/>
        <w:gridCol w:w="786"/>
        <w:gridCol w:w="406"/>
        <w:gridCol w:w="577"/>
      </w:tblGrid>
      <w:tr>
        <w:trPr/>
        <w:tc>
          <w:tcPr>
            <w:tcW w:w="150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G-3 redeemable convertible preferred stock</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33,958</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G-2 redeemable convertible preferred stock</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G redeemable convertible preferred stock</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27,943</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F redeemable convertible preferred stock</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11,322</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E redeemable convertible preferred stock</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9,677</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D redeemable convertible preferred stock</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9,054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C redeemable convertible preferred stock</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10,128</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B redeemable convertible preferred stock</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4,030</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A-2 redeemable convertible preferred stock</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A-1 redeemable convertible preferred stock</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dividends accrued</w:t>
            </w:r>
          </w:p>
        </w:tc>
        <w:tc>
          <w:tcPr>
            <w:tcW w:w="78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109,136</w:t>
            </w:r>
          </w:p>
        </w:tc>
      </w:tr>
    </w:tbl>
    <w:p>
      <w:pPr>
        <w:pStyle w:val="TextBody"/>
        <w:bidi w:val="0"/>
        <w:spacing w:before="0" w:after="200"/>
        <w:jc w:val="left"/>
        <w:rPr/>
      </w:pPr>
      <w:r>
        <w:rPr/>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and after the date of the initial future issuance of Series G-1 Preferred Stock (upon conversion of the Series G-1 Units in Interactions LLC), dividends shall accrue on shares of Series G-1 Preferred Stock at a rate per annum of $0.39597 as if the Series G-1 Preferred Stock was issued on December 15, 2014. At December 31, 2024, the unaccrued and undeclared dividends on the Series G-1 Preferred Stock were $60 million.</w:t>
      </w:r>
    </w:p>
    <w:p>
      <w:pPr>
        <w:pStyle w:val="TextBody"/>
        <w:bidi w:val="0"/>
        <w:spacing w:lineRule="auto" w:line="288" w:before="0" w:after="260"/>
        <w:ind w:left="0" w:right="0" w:hanging="187"/>
        <w:jc w:val="left"/>
        <w:rPr>
          <w:rFonts w:ascii="Times New Roman;serif" w:hAnsi="Times New Roman;serif"/>
          <w:b/>
          <w:i/>
          <w:color w:val="000000"/>
          <w:sz w:val="20"/>
        </w:rPr>
      </w:pPr>
      <w:r>
        <w:rPr>
          <w:rFonts w:ascii="Times New Roman;serif" w:hAnsi="Times New Roman;serif"/>
          <w:b/>
          <w:i/>
          <w:color w:val="000000"/>
          <w:sz w:val="20"/>
        </w:rPr>
        <w:t>Liquidation Preference</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of any liquidation, dissolution or winding up of the Company, either voluntary or involuntary, the holders of Series G-3 Preferred Stock have a liquidating preference over all stockholders. The holder of Series G-2 Preferred Stock and Series G-1 units in the LLC, through conversion to the authorized, but unissued, Series G-1 Preferred Stock and Series G Preferred Stock have a liquidating preference over all stockholders except Series G-3 preferred stockholders. Series F Preferred Stock, Series E Preferred Stock and the holders of Series D Preferred Stock have a liquidating preference over the holders of Series C Preferred Stock, Series B Preferred Stock, Series A-1 Preferred Stock, Series A-2 Preferred Stock, and Common Stock.</w:t>
      </w:r>
    </w:p>
    <w:p>
      <w:pPr>
        <w:pStyle w:val="TextBody"/>
        <w:bidi w:val="0"/>
        <w:spacing w:before="0" w:after="20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F-26</w:t>
                      </w:r>
                    </w:p>
                  </w:txbxContent>
                </v:textbox>
                <w10:wrap type="none"/>
              </v:rect>
            </w:pict>
          </mc:Fallback>
        </mc:AlternateConten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Series G-3 Preferred Stock are entitled to receive an amount equal to two times the Series G-3 Original Issue price of $6.59951407 per share plus Accruing Dividends, as defined in the Agreement, at the rate of $0.39597 per share plus any other declared but unpaid 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Series G Preferred Stock are entitled to receive an amount equal to two times the Series G Original Issue price of $6.59951407 per share plus Accruing Dividends, as defined in the Agreement, at the rate of $0.39597 per share plus any other declared but unpaid 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Series G-1 Preferred Stock are entitled to receive an amount equal to two times the Series G-1 Original Issue price of $6.59951407 per share plus Accruing Dividends, as defined in the Agreement, at the rate of $0.39597 per share plus any other declared but unpaid dividends. In no event shall the aggregate amount paid be greater than $100 million plus accrued 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Series F Preferred Stock are entitled to receive an amount equal to the Series F Original Issue price of $1.92915275 per share up to their liquidation preference plus Accruing Dividends, as defined in the Agreement, at the rate of $0.11575 per share plus any other declared but unpaid 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Series E Preferred Stock are entitled to receive an amount equal to the Series E Original Issue Price of $0.60209914 per share up to their liquidation preference plus</w:t>
      </w:r>
    </w:p>
    <w:p>
      <w:pPr>
        <w:pStyle w:val="TextBody"/>
        <w:bidi w:val="0"/>
        <w:spacing w:lineRule="auto" w:line="288" w:before="0" w:after="280"/>
        <w:jc w:val="both"/>
        <w:rPr>
          <w:rFonts w:ascii="Times New Roman;serif" w:hAnsi="Times New Roman;serif"/>
          <w:b w:val="false"/>
          <w:color w:val="000000"/>
          <w:sz w:val="20"/>
        </w:rPr>
      </w:pPr>
      <w:r>
        <w:rPr>
          <w:rFonts w:ascii="Times New Roman;serif" w:hAnsi="Times New Roman;serif"/>
          <w:b w:val="false"/>
          <w:color w:val="000000"/>
          <w:sz w:val="20"/>
        </w:rPr>
        <w:t>Accruing Dividends, as defined in the Agreement, at the rate of $0.03613 per share plus any other declared but unpaid 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Series D Preferred Stock are entitled to receive an amount equal to the Series D Original Issue Price of $0.0561085 per share up to their liquidation preference plus Accruing Dividends, as defined in the Agreement, at the rate of $0.00337 per share plus any other declared but unpaid 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Series C Preferred Stock have a liquidating preference over the holders of Series B Preferred Stock, Series A-1 Preferred Stock, Series A-2 Preferred Stock (collectively, the “Junior Stockholders”), and Common Stock. The holders of Series C Preferred Stock are entitled to receive an amount equal to the Series C Original Issue Price of $0.69347657 per share up to their liquidation preference plus Accruing Dividends, as defined in the Agreement, at the rate of $0.0416 per share plus any other declared but unpaid 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Junior Stockholders have a preference in liquidation over the holders of Common Stock. The holders of Series A-1 Preferred Stock are entitled to receive an amount equal to $2.94667 per share up to their liquidation preference plus Accruing Dividends, as defined in the Articles, at the rate of $0.04632 per share plus any other declared but unpaid dividends. The holders of Series A-2 Preferred Stock are entitled to receive an amount equal to $2.94667 per share up to their liquidation preference. The holders of Series B Preferred Stock are entitled to receive an amount equal to the Series B Original Issue Price of $0.7720 per share up to their liquidation preference plus Accruing Dividends, as defined in the Articles, at the rate of $0.04632 per share plus any other declared but unpaid dividends.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upon occurrence of such event, the assets and funds thus distributed among the holders of Preferred Stock shall be insufficient to permit payment to such holders, the funds available will be distributed ratably among the holders of Preferred Stock in proportion to the number of shares of stock held by such holder and the applicable liquidation preference. The remaining assets, if any, shall be distributed ratably to the holders of the Common Stock.</w:t>
      </w:r>
    </w:p>
    <w:p>
      <w:pPr>
        <w:pStyle w:val="TextBody"/>
        <w:bidi w:val="0"/>
        <w:spacing w:before="0" w:after="20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F-27</w:t>
                      </w:r>
                    </w:p>
                  </w:txbxContent>
                </v:textbox>
                <w10:wrap type="none"/>
              </v:rect>
            </w:pict>
          </mc:Fallback>
        </mc:AlternateContent>
      </w:r>
    </w:p>
    <w:p>
      <w:pPr>
        <w:pStyle w:val="TextBody"/>
        <w:bidi w:val="0"/>
        <w:spacing w:lineRule="auto" w:line="288" w:before="0" w:after="280"/>
        <w:ind w:left="0" w:right="0" w:hanging="187"/>
        <w:jc w:val="left"/>
        <w:rPr>
          <w:rFonts w:ascii="Times New Roman;serif" w:hAnsi="Times New Roman;serif"/>
          <w:b/>
          <w:i/>
          <w:color w:val="000000"/>
          <w:sz w:val="20"/>
        </w:rPr>
      </w:pPr>
      <w:r>
        <w:rPr>
          <w:rFonts w:ascii="Times New Roman;serif" w:hAnsi="Times New Roman;serif"/>
          <w:b/>
          <w:i/>
          <w:color w:val="000000"/>
          <w:sz w:val="20"/>
        </w:rPr>
        <w:t>Redemption</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a vote of the majority of the holders of Preferred Stock, the Company may be required to redeem all of the outstanding shares of Preferred Stock in three equal installments commencing in June 2026 out of legally available funds subject to Delaware law and restrictions from the Company’s borrowing agreements on redemption of shares. The holders of Series A-1 Preferred Stock, Series B Preferred Stock, Series C Preferred Stock, Series D Preferred Stock, Series E Preferred Stock, Series F Preferred Stock, Series G Preferred Stock, Series G-1 Preferred Stock, and Series G-3 Preferred Stock shall be redeemed at a price equal to $2.94667, $0.7720, $0.69347657, $0.0561085, $0.60209914, $1.9215275, $13.19902814, $13.19902814, and $13.19902814 per share, respectively, plus any Accruing Dividends accrued but unpaid thereon, whether or not declared, together with any other dividends declared but unpaid. The holders of Series A-2 Preferred Stock shall be redeemed at a price equal to $2.94667 per share. The Holders of Series G-2 Preferred Stock shall not have any redemption rights.</w:t>
      </w:r>
    </w:p>
    <w:p>
      <w:pPr>
        <w:pStyle w:val="TextBody"/>
        <w:bidi w:val="0"/>
        <w:spacing w:lineRule="auto" w:line="288" w:before="0" w:after="280"/>
        <w:ind w:left="0" w:right="0" w:hanging="187"/>
        <w:jc w:val="left"/>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holder of Preferred Stock, except Series G-2 Preferred Stockholders, is entitled to the number of votes equal to the number of shares of Common Stock into which such holder’s shares are convertible. The holders of Series G-2 Preferred Stock are entitled to the number of votes equal to the number of Common Stock into which the shares of Series G-1 Preferred Stock shares are convertible. The holders of the Preferred Stock and Common Stock will vote together as a single class. In addition, if a group of certain stockholders, as defined in the Agreement, hold at least 20% of the aggregate number of shares of Preferred Stock, the Company is not authorized to perform certain activities without the written consent or affirmative vote of the holders of at least a majority of the then outstanding shares of Preferred Stock.</w:t>
      </w:r>
    </w:p>
    <w:p>
      <w:pPr>
        <w:pStyle w:val="TextBody"/>
        <w:bidi w:val="0"/>
        <w:spacing w:lineRule="auto" w:line="288" w:before="0" w:after="200"/>
        <w:ind w:left="0" w:right="0" w:hanging="187"/>
        <w:jc w:val="left"/>
        <w:rPr>
          <w:rFonts w:ascii="Times New Roman;serif" w:hAnsi="Times New Roman;serif"/>
          <w:b/>
          <w:i/>
          <w:color w:val="000000"/>
          <w:sz w:val="20"/>
        </w:rPr>
      </w:pPr>
      <w:r>
        <w:rPr>
          <w:rFonts w:ascii="Times New Roman;serif" w:hAnsi="Times New Roman;serif"/>
          <w:b/>
          <w:i/>
          <w:color w:val="000000"/>
          <w:sz w:val="20"/>
        </w:rPr>
        <w:t>Outstanding Warrants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Warrants to Purchase Preferred and Common Stock</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issued warrants to purchase Preferred and Common Stock in conjunction with the Company’s debt and equity financing arrangements. The Company’s warrants to purchase Preferred and Common stock provide for net share settlement under which the maximum number of shares that could be issued represents the total amount of shares under the warrant agreements. These warrants are classified as other long-term liabilities and are marked to market each quarter based on changes in the warrants’ fair value calculating using the Black-Scholes model with changes reported in other income (expense). As a result of changes in the fair value of warrants to purchase redeemable preferred and common stock, the Company recognized other expense and income of $0.1 million for the year ended December 31, 2024. During 2023, the Company entered into an agreement with a channel partner in which the partner is entitled to earn up to 5,531,543 warrants for Common Stock upon achieving certain performance obligations such as revenue milestones. As of December 31, 2024, the channel partner did not achieve such milestones nor was it probable that such milestones would be achieved in the future and, therefore, the Company did not record any expense related to this agreement. </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2024, warrants to purchase the following classes of stock were outstanding:</w:t>
      </w:r>
    </w:p>
    <w:p>
      <w:pPr>
        <w:pStyle w:val="TextBody"/>
        <w:bidi w:val="0"/>
        <w:spacing w:before="0" w:after="20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0"/>
        <w:gridCol w:w="510"/>
        <w:gridCol w:w="513"/>
        <w:gridCol w:w="229"/>
        <w:gridCol w:w="229"/>
        <w:gridCol w:w="233"/>
        <w:gridCol w:w="321"/>
        <w:gridCol w:w="240"/>
        <w:gridCol w:w="201"/>
        <w:gridCol w:w="416"/>
        <w:gridCol w:w="252"/>
        <w:gridCol w:w="233"/>
        <w:gridCol w:w="413"/>
        <w:gridCol w:w="413"/>
        <w:gridCol w:w="415"/>
        <w:gridCol w:w="407"/>
        <w:gridCol w:w="407"/>
        <w:gridCol w:w="408"/>
        <w:gridCol w:w="578"/>
        <w:gridCol w:w="578"/>
        <w:gridCol w:w="580"/>
        <w:gridCol w:w="355"/>
        <w:gridCol w:w="355"/>
        <w:gridCol w:w="357"/>
        <w:gridCol w:w="247"/>
        <w:gridCol w:w="531"/>
        <w:gridCol w:w="20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6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9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0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248" w:type="dxa"/>
            <w:gridSpan w:val="15"/>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Valuation Assumptions at December 31, 2024</w:t>
            </w:r>
          </w:p>
        </w:tc>
      </w:tr>
      <w:tr>
        <w:trPr/>
        <w:tc>
          <w:tcPr>
            <w:tcW w:w="160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Warrants to Purchase Stock by Class</w:t>
            </w:r>
          </w:p>
        </w:tc>
        <w:tc>
          <w:tcPr>
            <w:tcW w:w="69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762"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90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Exercise Price</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Risk-Free Interest Rates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Expected Dividend Yield</w:t>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Remaining Contractual Term in Years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Expected Volatility</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 xml:space="preserve">Fair Value </w:t>
            </w:r>
          </w:p>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(‘000)</w:t>
            </w:r>
          </w:p>
        </w:tc>
      </w:tr>
      <w:tr>
        <w:trPr/>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Series G-3 (1)</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681,517</w:t>
            </w:r>
          </w:p>
        </w:tc>
        <w:tc>
          <w:tcPr>
            <w:tcW w:w="32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6.82</w:t>
            </w:r>
          </w:p>
        </w:tc>
        <w:tc>
          <w:tcPr>
            <w:tcW w:w="41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24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Series G-3 (1)</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68,645</w:t>
            </w:r>
          </w:p>
        </w:tc>
        <w:tc>
          <w:tcPr>
            <w:tcW w:w="32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6.82</w:t>
            </w:r>
          </w:p>
        </w:tc>
        <w:tc>
          <w:tcPr>
            <w:tcW w:w="41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73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Series G-3 (1)</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68,358</w:t>
            </w:r>
          </w:p>
        </w:tc>
        <w:tc>
          <w:tcPr>
            <w:tcW w:w="32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6.82</w:t>
            </w:r>
          </w:p>
        </w:tc>
        <w:tc>
          <w:tcPr>
            <w:tcW w:w="41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Common (2)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189,408</w:t>
            </w:r>
          </w:p>
        </w:tc>
        <w:tc>
          <w:tcPr>
            <w:tcW w:w="32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41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73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r>
      <w:tr>
        <w:trPr/>
        <w:tc>
          <w:tcPr>
            <w:tcW w:w="6420" w:type="dxa"/>
            <w:gridSpan w:val="18"/>
            <w:tcBorders/>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r>
              <w:rPr>
                <w:rFonts w:ascii="Times New Roman;serif" w:hAnsi="Times New Roman;serif"/>
                <w:b w:val="false"/>
                <w:color w:val="000000"/>
                <w:sz w:val="18"/>
              </w:rPr>
              <w:t>(1) Issued in connection with series G-3 and various extensions</w:t>
            </w:r>
          </w:p>
        </w:tc>
        <w:tc>
          <w:tcPr>
            <w:tcW w:w="1736" w:type="dxa"/>
            <w:gridSpan w:val="3"/>
            <w:tcBorders/>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06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1,143</w:t>
            </w:r>
          </w:p>
        </w:tc>
      </w:tr>
      <w:tr>
        <w:trPr/>
        <w:tc>
          <w:tcPr>
            <w:tcW w:w="6420" w:type="dxa"/>
            <w:gridSpan w:val="18"/>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(2) Issued in connection with the Company's Term Loan (see Note 6)</w:t>
            </w:r>
          </w:p>
        </w:tc>
        <w:tc>
          <w:tcPr>
            <w:tcW w:w="17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2" w:type="dxa"/>
            <w:gridSpan w:val="3"/>
            <w:tcBorders>
              <w:top w:val="single" w:sz="12"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2023, the Company terminated the 2013 Equity Incentive Plan and approved the 2023 Equity Incentive Plan (the “Plan”). Such termination did not affect outstanding awards issued under the 2013 Plan and such awards remain subject to the terms of the 2013 Plan. Under terms of the Plan, incentive stock options ("ISO") may be granted to officers and employees and nonqualified stock options ("NSOs") and awards may be granted to directors, consultants, officers and employees of the Company. The exercise price of the ISOs and NSOs cannot be less than the fair value of the Company's Common Stock on the grant date. The options vest over a period determined by the Board of Directors, generally four years, and expire not more than ten years from the date of grant. During the current year, there were 1,075,500 stock options that expired at the end of their ten-year term. The Company granted new awards whereby the expired stock options were replaced with the newly granted stock options at current fair market value as well as a contingent cash bonus to cover the fair market value difference between the expired and new awards. Stock option activity under the Plan during the year ended December 31, 2024 is as follows:</w:t>
      </w:r>
    </w:p>
    <w:tbl>
      <w:tblPr>
        <w:tblW w:w="10205" w:type="dxa"/>
        <w:jc w:val="left"/>
        <w:tblInd w:w="0" w:type="dxa"/>
        <w:tblLayout w:type="fixed"/>
        <w:tblCellMar>
          <w:top w:w="28" w:type="dxa"/>
          <w:left w:w="28" w:type="dxa"/>
          <w:bottom w:w="28" w:type="dxa"/>
          <w:right w:w="28" w:type="dxa"/>
        </w:tblCellMar>
      </w:tblPr>
      <w:tblGrid>
        <w:gridCol w:w="989"/>
        <w:gridCol w:w="868"/>
        <w:gridCol w:w="873"/>
        <w:gridCol w:w="345"/>
        <w:gridCol w:w="345"/>
        <w:gridCol w:w="350"/>
        <w:gridCol w:w="585"/>
        <w:gridCol w:w="1419"/>
        <w:gridCol w:w="305"/>
        <w:gridCol w:w="818"/>
        <w:gridCol w:w="818"/>
        <w:gridCol w:w="820"/>
        <w:gridCol w:w="740"/>
        <w:gridCol w:w="382"/>
        <w:gridCol w:w="548"/>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40"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230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245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Weighted- Average Contractual Life (In Yrs)</w:t>
            </w:r>
          </w:p>
        </w:tc>
        <w:tc>
          <w:tcPr>
            <w:tcW w:w="167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12,060,372</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73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978,312</w:t>
            </w:r>
          </w:p>
        </w:tc>
        <w:tc>
          <w:tcPr>
            <w:tcW w:w="230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24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(1,034,375)</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245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230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24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0"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(1,075,500)</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245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10,927,875</w:t>
            </w:r>
          </w:p>
        </w:tc>
        <w:tc>
          <w:tcPr>
            <w:tcW w:w="585"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740"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2"/>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at December 31, 2024</w:t>
            </w:r>
          </w:p>
        </w:tc>
        <w:tc>
          <w:tcPr>
            <w:tcW w:w="1040"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9,617,567</w:t>
            </w:r>
          </w:p>
        </w:tc>
        <w:tc>
          <w:tcPr>
            <w:tcW w:w="585"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2456"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74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color w:val="000000"/>
              </w:rPr>
            </w:pPr>
            <w:r>
              <w:rPr>
                <w:color w:val="000000"/>
              </w:rPr>
              <w:t>—</w:t>
            </w:r>
          </w:p>
        </w:tc>
      </w:tr>
    </w:tbl>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grant date fair value of options granted to employees during 2024 was $0.24 per share. </w:t>
      </w:r>
    </w:p>
    <w:p>
      <w:pPr>
        <w:pStyle w:val="TextBody"/>
        <w:bidi w:val="0"/>
        <w:spacing w:before="0" w:after="20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F-29</w:t>
                      </w:r>
                    </w:p>
                  </w:txbxContent>
                </v:textbox>
                <w10:wrap type="none"/>
              </v:rect>
            </w:pict>
          </mc:Fallback>
        </mc:AlternateConten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2024, there was approximately $0.4 million of total unrecognized compensation expense related to unvested employee share-based compensation arrangements, which is expected to be recognized over a weighted-average period of 1.05 years.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determining the fair value of share-based awards for the year ended December 31:</w:t>
      </w:r>
    </w:p>
    <w:tbl>
      <w:tblPr>
        <w:tblW w:w="3898" w:type="dxa"/>
        <w:jc w:val="left"/>
        <w:tblInd w:w="0" w:type="dxa"/>
        <w:tblLayout w:type="fixed"/>
        <w:tblCellMar>
          <w:top w:w="28" w:type="dxa"/>
          <w:left w:w="28" w:type="dxa"/>
          <w:bottom w:w="28" w:type="dxa"/>
          <w:right w:w="28" w:type="dxa"/>
        </w:tblCellMar>
      </w:tblPr>
      <w:tblGrid>
        <w:gridCol w:w="771"/>
        <w:gridCol w:w="677"/>
        <w:gridCol w:w="681"/>
        <w:gridCol w:w="360"/>
        <w:gridCol w:w="360"/>
        <w:gridCol w:w="1049"/>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62.5%</w:t>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5.00</w:t>
            </w:r>
          </w:p>
        </w:tc>
      </w:tr>
    </w:tbl>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Given the absence of an active market for the Company’s Common Stock, the Board of Directors, the members of which the Company believes had extensive business, finance, and venture capital experience, estimated the fair value of the Company’s Common Stock at the time of each option grant. The Board of Directors considered numerous objective and subjective factors in determining the value of the Company’s Common Stock at each option grant date, including the following factors: (i) prices for the Company’s Preferred Stock, which the Company had sold to outside investors in arm’s-length transactions, and the rights, preferences, and privileges of the Company’s Preferred Stock and Common Stock; (ii) valuations performed by an independent valuation specialist; (iii) the Company’s stage of development and revenue growth; (iv) the fact that the option grants involved illiquid securities in a private company; and (v) the likelihood of achieving a liquidity event for the shares of Common Stock underlying the options, such as an initial public offering or sale of the Company, given prevailing market conditions.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based its expected volatility on the volatilities of certain publicly-traded peer companies. Management believes that the historical volatility of the Company’s stock price does not best represent the expected volatility of the stock price. The Company is a privately-held company and therefore lacks company-specific historical and implied volatility information. The Company intends to continue to consistently use the same group of publicly-traded peer companies to determine volatility in the future until such a time that sufficient information regarding the volatility of the Company’s share price becomes available or that the selected companies are no longer useful for this purpose.</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not declared or paid any cash dividends on its Common Stock and does not expect to do so in the foreseeable future. Accordingly, the Company utilizes an expected dividend yield of zero.</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used for each grant is equal to the U.S. Treasury yield curve in effect at the time of grant for instruments with a similar expected life. The expected life was determined based on considerations related to the vesting period and contractual term of the options, and projected periods in which the options would be exercised. Accounting for stock-based compensation also requires that the Company recognize compensation expense for only the portion of options that are expected to vest. Therefore, the Company has estimated expected forfeitures of stock options. In developing a forfeiture rate estimate, the Company considered its historical experience. If the actual number of forfeitures differs from those estimated by management, additional adjustments to compensation expense may be required in future periods.</w:t>
      </w:r>
    </w:p>
    <w:p>
      <w:pPr>
        <w:pStyle w:val="TextBody"/>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 xml:space="preserve">10. Income Taxes </w:t>
      </w:r>
    </w:p>
    <w:p>
      <w:pPr>
        <w:pStyle w:val="TextBody"/>
        <w:bidi w:val="0"/>
        <w:spacing w:before="0" w:after="20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F-30</w:t>
                      </w:r>
                    </w:p>
                  </w:txbxContent>
                </v:textbox>
                <w10:wrap type="none"/>
              </v:rect>
            </w:pict>
          </mc:Fallback>
        </mc:AlternateContent>
      </w:r>
    </w:p>
    <w:p>
      <w:pPr>
        <w:pStyle w:val="TextBody"/>
        <w:bidi w:val="0"/>
        <w:spacing w:lineRule="auto" w:line="288" w:before="0" w:after="280"/>
        <w:ind w:left="0" w:right="0" w:firstLine="540"/>
        <w:jc w:val="both"/>
        <w:rPr/>
      </w:pPr>
      <w:r>
        <w:rPr>
          <w:rFonts w:ascii="Times New Roman;serif" w:hAnsi="Times New Roman;serif"/>
          <w:b w:val="false"/>
          <w:color w:val="000000"/>
          <w:sz w:val="20"/>
        </w:rPr>
        <w:t xml:space="preserve">The Company accounts for income taxes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Under ASC 740, deferred tax assets or liabilities are computed based on the differences between the financial statement and income tax bases of assets and liabilities using the enacted tax rates.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generated $4.5 million of consolidated income before tax by jurisdiction for the year ended December 31, 2024, comprised of the following (in thousands):</w:t>
      </w:r>
    </w:p>
    <w:tbl>
      <w:tblPr>
        <w:tblW w:w="2655" w:type="dxa"/>
        <w:jc w:val="left"/>
        <w:tblInd w:w="0" w:type="dxa"/>
        <w:tblLayout w:type="fixed"/>
        <w:tblCellMar>
          <w:top w:w="28" w:type="dxa"/>
          <w:left w:w="28" w:type="dxa"/>
          <w:bottom w:w="28" w:type="dxa"/>
          <w:right w:w="28" w:type="dxa"/>
        </w:tblCellMar>
      </w:tblPr>
      <w:tblGrid>
        <w:gridCol w:w="321"/>
        <w:gridCol w:w="282"/>
        <w:gridCol w:w="283"/>
        <w:gridCol w:w="188"/>
        <w:gridCol w:w="188"/>
        <w:gridCol w:w="188"/>
        <w:gridCol w:w="188"/>
        <w:gridCol w:w="188"/>
        <w:gridCol w:w="188"/>
        <w:gridCol w:w="188"/>
        <w:gridCol w:w="188"/>
        <w:gridCol w:w="265"/>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p>
        </w:tc>
        <w:tc>
          <w:tcPr>
            <w:tcW w:w="1769"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4,257</w:t>
            </w:r>
          </w:p>
        </w:tc>
      </w:tr>
      <w:tr>
        <w:trPr/>
        <w:tc>
          <w:tcPr>
            <w:tcW w:w="88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5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269</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6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4,526</w:t>
            </w:r>
          </w:p>
        </w:tc>
      </w:tr>
    </w:tbl>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The Company recorded a benefit for income taxes of $0.6 million</w:t>
      </w:r>
      <w:r>
        <w:rPr>
          <w:color w:val="FF0000"/>
        </w:rPr>
        <w:t xml:space="preserve"> </w:t>
      </w:r>
      <w:r>
        <w:rPr>
          <w:rFonts w:ascii="Times New Roman;serif" w:hAnsi="Times New Roman;serif"/>
          <w:b w:val="false"/>
          <w:color w:val="000000"/>
          <w:sz w:val="20"/>
        </w:rPr>
        <w:t>for the year ended December 31, 2024, comprised of the following (in thousands):</w:t>
      </w:r>
    </w:p>
    <w:tbl>
      <w:tblPr>
        <w:tblW w:w="4589" w:type="dxa"/>
        <w:jc w:val="left"/>
        <w:tblInd w:w="0" w:type="dxa"/>
        <w:tblLayout w:type="fixed"/>
        <w:tblCellMar>
          <w:top w:w="28" w:type="dxa"/>
          <w:left w:w="28" w:type="dxa"/>
          <w:bottom w:w="28" w:type="dxa"/>
          <w:right w:w="28" w:type="dxa"/>
        </w:tblCellMar>
      </w:tblPr>
      <w:tblGrid>
        <w:gridCol w:w="1054"/>
        <w:gridCol w:w="877"/>
        <w:gridCol w:w="889"/>
        <w:gridCol w:w="786"/>
        <w:gridCol w:w="406"/>
        <w:gridCol w:w="577"/>
      </w:tblGrid>
      <w:tr>
        <w:trPr/>
        <w:tc>
          <w:tcPr>
            <w:tcW w:w="105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786"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19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benefit (provision)</w:t>
            </w:r>
          </w:p>
        </w:tc>
        <w:tc>
          <w:tcPr>
            <w:tcW w:w="7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r>
      <w:tr>
        <w:trPr/>
        <w:tc>
          <w:tcPr>
            <w:tcW w:w="28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786"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benefit (provision)</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benefit</w:t>
            </w:r>
          </w:p>
        </w:tc>
        <w:tc>
          <w:tcPr>
            <w:tcW w:w="78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r>
    </w:tbl>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reconciliation between the effective tax rate on income from continuing operations and the U.S. domestic federal statutory tax rates is as follows (in thousands):</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F-31</w:t>
                      </w:r>
                    </w:p>
                  </w:txbxContent>
                </v:textbox>
                <w10:wrap type="none"/>
              </v:rect>
            </w:pict>
          </mc:Fallback>
        </mc:AlternateContent>
      </w:r>
    </w:p>
    <w:tbl>
      <w:tblPr>
        <w:tblW w:w="5474" w:type="dxa"/>
        <w:jc w:val="left"/>
        <w:tblInd w:w="0" w:type="dxa"/>
        <w:tblLayout w:type="fixed"/>
        <w:tblCellMar>
          <w:top w:w="28" w:type="dxa"/>
          <w:left w:w="28" w:type="dxa"/>
          <w:bottom w:w="28" w:type="dxa"/>
          <w:right w:w="28" w:type="dxa"/>
        </w:tblCellMar>
      </w:tblPr>
      <w:tblGrid>
        <w:gridCol w:w="1342"/>
        <w:gridCol w:w="1177"/>
        <w:gridCol w:w="1186"/>
        <w:gridCol w:w="448"/>
        <w:gridCol w:w="992"/>
        <w:gridCol w:w="329"/>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expenses at federal statutory rate</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Permanent book/tax differences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LLC basis difference</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(1,166)</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Other Deferred Adjustments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293</w:t>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Rate change</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(349)</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color w:val="000000"/>
              </w:rPr>
            </w:pPr>
            <w:r>
              <w:rPr>
                <w:color w:val="000000"/>
              </w:rPr>
              <w:t>  </w:t>
            </w:r>
            <w:r>
              <w:rPr>
                <w:rFonts w:ascii="Times New Roman;serif" w:hAnsi="Times New Roman;serif"/>
                <w:b w:val="false"/>
                <w:color w:val="000000"/>
                <w:sz w:val="20"/>
              </w:rPr>
              <w:t xml:space="preserve">(715) </w:t>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State income tax</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448"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gridSpan w:val="2"/>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r>
    </w:tbl>
    <w:p>
      <w:pPr>
        <w:pStyle w:val="TextBody"/>
        <w:bidi w:val="0"/>
        <w:spacing w:before="0" w:after="0"/>
        <w:jc w:val="both"/>
        <w:rPr/>
      </w:pPr>
      <w:r>
        <w:rPr/>
      </w:r>
    </w:p>
    <w:p>
      <w:pPr>
        <w:pStyle w:val="TextBody"/>
        <w:bidi w:val="0"/>
        <w:spacing w:before="0" w:after="120"/>
        <w:jc w:val="both"/>
        <w:rPr/>
      </w:pPr>
      <w:r>
        <w:r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deferred income tax liabilities consisted of the following components as of December 31, 2024 (in thousands):</w:t>
      </w:r>
    </w:p>
    <w:tbl>
      <w:tblPr>
        <w:tblW w:w="5460" w:type="dxa"/>
        <w:jc w:val="left"/>
        <w:tblInd w:w="0" w:type="dxa"/>
        <w:tblLayout w:type="fixed"/>
        <w:tblCellMar>
          <w:top w:w="28" w:type="dxa"/>
          <w:left w:w="28" w:type="dxa"/>
          <w:bottom w:w="28" w:type="dxa"/>
          <w:right w:w="28" w:type="dxa"/>
        </w:tblCellMar>
      </w:tblPr>
      <w:tblGrid>
        <w:gridCol w:w="1336"/>
        <w:gridCol w:w="1174"/>
        <w:gridCol w:w="1180"/>
        <w:gridCol w:w="344"/>
        <w:gridCol w:w="1175"/>
        <w:gridCol w:w="251"/>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70"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and other carryforwards</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77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555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Outside basis difference in Interactions LLC</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(16,600)</w:t>
            </w:r>
          </w:p>
        </w:tc>
      </w:tr>
      <w:tr>
        <w:trPr/>
        <w:tc>
          <w:tcPr>
            <w:tcW w:w="369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77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(29,586)</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4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r>
    </w:tbl>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December 31, 2024, the Company had federal net operating loss carry forwards of approximately $144.2 million, and state net operating loss carryforwards of $85.0 million. Federal benefits from net operating loss carryforwards begin to expire in 2024. Of the Company’s total federal net operating loss, approximately $32.1 million has an indefinite carryforward period. The Company had state credit carryforwards of $0.6 million that begin to expire in 2028. The Internal Revenue Code contains provisions that limit the net operating loss and credit carryforwards available to be used in any given year in the event of certain circumstances, including significant changes in ownership interests that have occurred or may occur in the future. The Company has not performed an analysis to determine if its net operating loss or tax credits are subject to any limitations due to ownership changes or a detailed research credit analysis to document its federal research credits. Until a study is completed and any limitation known, no amounts are being presented as an uncertain tax position for federal net operating losses or credit carryforwards. A valuation allowance has been provided against the Company’s net operating losses with expiration dates and research and development credits, and if an adjustment is required, adjustments to these assets would be offset by an adjustment to the valuation allowance. Thus, there would be no impact to the consolidated balance sheets or statements of operations if an adjustment were required.</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Realization of the net deferred income tax assets is dependent on generating sufficient taxable income prior to the expiration of the net operating loss carry forwards. The Company recorded a decrease in the valuation allowance </w:t>
      </w:r>
    </w:p>
    <w:p>
      <w:pPr>
        <w:pStyle w:val="TextBody"/>
        <w:bidi w:val="0"/>
        <w:spacing w:before="0" w:after="20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F-32</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of $0.6 million. The cumulative valuation allowance at December 31, 2024 relates to the net deferred income tax asset that, in the opinion of management, may not be realized.</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deferred tax liability related to the outside basis difference in the LLC originated from the acquisition of speech language technology which was contributed by the non-controlling interest holder at its historical tax basis while the underlying assets were recorded at fair value for book purposes. The outside basis difference changes based on differences in taxable and book income for the LLC. The book and tax basis in those assets may also change upon the occurrence of certain events, including but not limited to the conversion of the LLC member units held by the non-controlling interest into preferred shares of the Company.</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gross unrecognized tax benefits during the periods presented were as follows (in thousands):</w:t>
      </w:r>
    </w:p>
    <w:tbl>
      <w:tblPr>
        <w:tblW w:w="5534" w:type="dxa"/>
        <w:jc w:val="left"/>
        <w:tblInd w:w="0" w:type="dxa"/>
        <w:tblLayout w:type="fixed"/>
        <w:tblCellMar>
          <w:top w:w="28" w:type="dxa"/>
          <w:left w:w="28" w:type="dxa"/>
          <w:bottom w:w="28" w:type="dxa"/>
          <w:right w:w="28" w:type="dxa"/>
        </w:tblCellMar>
      </w:tblPr>
      <w:tblGrid>
        <w:gridCol w:w="1364"/>
        <w:gridCol w:w="1199"/>
        <w:gridCol w:w="1202"/>
        <w:gridCol w:w="786"/>
        <w:gridCol w:w="406"/>
        <w:gridCol w:w="577"/>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year</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r>
      <w:tr>
        <w:trPr/>
        <w:tc>
          <w:tcPr>
            <w:tcW w:w="376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tax positions</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Decreases related to current year positions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376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Lapse of statutory of limitations</w:t>
            </w:r>
          </w:p>
        </w:tc>
        <w:tc>
          <w:tcPr>
            <w:tcW w:w="1769"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the end of the year</w:t>
            </w:r>
          </w:p>
        </w:tc>
        <w:tc>
          <w:tcPr>
            <w:tcW w:w="78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r>
    </w:tbl>
    <w:p>
      <w:pPr>
        <w:pStyle w:val="TextBody"/>
        <w:bidi w:val="0"/>
        <w:spacing w:before="0" w:after="280"/>
        <w:jc w:val="both"/>
        <w:rPr/>
      </w:pPr>
      <w:r>
        <w:rPr/>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Of the total unrecognized tax benefits, approximately $0.7 million, if recognized, would impact the effective tax rate. Conversely about $0.1 million of the unrecognized tax benefits, if recognized, would not affect the effective tax rate as it would be offset by the reversal of related deferred tax assets, which are fully reserved through a valuation allowance. As of December 31, 2024, the Company has accrued $0.2 million of interest and penalties related to unrecognized tax benefits. The Company does not anticipate any significant change in the Company’s unrealized tax positions within the next 12 months. </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files tax returns as prescribed by the tax laws of the jurisdictions in which it operates. The significant jurisdictions include the United States and in various states. In the normal course of business, the Company is subject to examination by federal and state jurisdictions, where applicable. The Internal Revenue Service (“IRS”) conducted a federal income tax audit for the tax year ended 2014. The audit was completed in 2016, and did not have any findings, or financial statement impact. The statute of limitations for years prior to 2016 has closed, however net operating losses and credits since tax year 2007 are subject to examinations. The Company's policy is to record interest and penalties related to income taxes as part of the tax provision. There were no interest and penalties pertaining to uncertain tax positions in 2024.</w:t>
      </w:r>
    </w:p>
    <w:p>
      <w:pPr>
        <w:pStyle w:val="TextBody"/>
        <w:bidi w:val="0"/>
        <w:spacing w:before="0" w:after="200"/>
        <w:jc w:val="left"/>
        <w:rPr/>
      </w:pPr>
      <w:r>
        <w:rPr/>
      </w:r>
    </w:p>
    <w:p>
      <w:pPr>
        <w:pStyle w:val="TextBody"/>
        <w:bidi w:val="0"/>
        <w:spacing w:lineRule="auto" w:line="288" w:before="0" w:after="280"/>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lineRule="auto" w:line="276" w:before="0" w:after="200"/>
        <w:jc w:val="both"/>
        <w:rPr>
          <w:rFonts w:ascii="Times New Roman;serif" w:hAnsi="Times New Roman;serif"/>
          <w:b/>
          <w:color w:val="000000"/>
          <w:sz w:val="20"/>
        </w:rPr>
      </w:pPr>
      <w:r>
        <w:rPr>
          <w:rFonts w:ascii="Times New Roman;serif" w:hAnsi="Times New Roman;serif"/>
          <w:b/>
          <w:color w:val="000000"/>
          <w:sz w:val="20"/>
        </w:rPr>
        <w:t>Operating Leases</w:t>
      </w:r>
    </w:p>
    <w:p>
      <w:pPr>
        <w:pStyle w:val="TextBody"/>
        <w:bidi w:val="0"/>
        <w:spacing w:lineRule="auto" w:line="276"/>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committed under non-cancelable, long-term operating leases for certain of its facilities and equipment. In 2024, the Company’s rent expense charged to operations amounted to approximately $0.5 million. Rent expense related to agreements which have escalating payment terms is straight-lined for accounting purposes. </w:t>
      </w:r>
    </w:p>
    <w:p>
      <w:pPr>
        <w:pStyle w:val="TextBody"/>
        <w:bidi w:val="0"/>
        <w:spacing w:before="0" w:after="20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F-33</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Minimum annual rental payments, including renewable option periods required by these operating leases, but excluding free-rent periods, are approximately as follows (in thousands):</w:t>
      </w:r>
    </w:p>
    <w:tbl>
      <w:tblPr>
        <w:tblW w:w="3387" w:type="dxa"/>
        <w:jc w:val="center"/>
        <w:tblInd w:w="0" w:type="dxa"/>
        <w:tblLayout w:type="fixed"/>
        <w:tblCellMar>
          <w:top w:w="28" w:type="dxa"/>
          <w:left w:w="28" w:type="dxa"/>
          <w:bottom w:w="28" w:type="dxa"/>
          <w:right w:w="28" w:type="dxa"/>
        </w:tblCellMar>
      </w:tblPr>
      <w:tblGrid>
        <w:gridCol w:w="884"/>
        <w:gridCol w:w="779"/>
        <w:gridCol w:w="781"/>
        <w:gridCol w:w="109"/>
        <w:gridCol w:w="109"/>
        <w:gridCol w:w="109"/>
        <w:gridCol w:w="179"/>
        <w:gridCol w:w="179"/>
        <w:gridCol w:w="258"/>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16"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r>
      <w:tr>
        <w:trPr/>
        <w:tc>
          <w:tcPr>
            <w:tcW w:w="244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16"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r>
      <w:tr>
        <w:trPr/>
        <w:tc>
          <w:tcPr>
            <w:tcW w:w="244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16"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rent payments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0"/>
              <w:jc w:val="right"/>
              <w:rPr/>
            </w:pPr>
            <w:r>
              <w:rPr/>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r>
      <w:tr>
        <w:trPr/>
        <w:tc>
          <w:tcPr>
            <w:tcW w:w="244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3"/>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r>
    </w:tbl>
    <w:p>
      <w:pPr>
        <w:pStyle w:val="TextBody"/>
        <w:bidi w:val="0"/>
        <w:spacing w:before="0" w:after="0"/>
        <w:jc w:val="both"/>
        <w:rPr/>
      </w:pPr>
      <w:r>
        <w:rPr/>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operating leases at December 31, 2024:</w:t>
      </w:r>
    </w:p>
    <w:tbl>
      <w:tblPr>
        <w:tblW w:w="4632" w:type="dxa"/>
        <w:jc w:val="center"/>
        <w:tblInd w:w="0" w:type="dxa"/>
        <w:tblLayout w:type="fixed"/>
        <w:tblCellMar>
          <w:top w:w="28" w:type="dxa"/>
          <w:left w:w="28" w:type="dxa"/>
          <w:bottom w:w="28" w:type="dxa"/>
          <w:right w:w="28" w:type="dxa"/>
        </w:tblCellMar>
      </w:tblPr>
      <w:tblGrid>
        <w:gridCol w:w="1335"/>
        <w:gridCol w:w="1175"/>
        <w:gridCol w:w="1179"/>
        <w:gridCol w:w="109"/>
        <w:gridCol w:w="109"/>
        <w:gridCol w:w="109"/>
        <w:gridCol w:w="179"/>
        <w:gridCol w:w="179"/>
        <w:gridCol w:w="258"/>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00"/>
              <w:jc w:val="right"/>
              <w:rPr>
                <w:rFonts w:ascii="Times New Roman;serif" w:hAnsi="Times New Roman;serif"/>
                <w:b w:val="false"/>
                <w:color w:val="000000"/>
                <w:sz w:val="20"/>
              </w:rPr>
            </w:pPr>
            <w:r>
              <w:rPr>
                <w:rFonts w:ascii="Times New Roman;serif" w:hAnsi="Times New Roman;serif"/>
                <w:b w:val="false"/>
                <w:color w:val="000000"/>
                <w:sz w:val="20"/>
              </w:rPr>
              <w:t>511</w:t>
            </w:r>
          </w:p>
        </w:tc>
      </w:tr>
      <w:tr>
        <w:trPr/>
        <w:tc>
          <w:tcPr>
            <w:tcW w:w="3689" w:type="dxa"/>
            <w:gridSpan w:val="3"/>
            <w:tcBorders/>
            <w:tcMar>
              <w:top w:w="0" w:type="dxa"/>
              <w:left w:w="0" w:type="dxa"/>
              <w:bottom w:w="0" w:type="dxa"/>
              <w:right w:w="0" w:type="dxa"/>
            </w:tcMar>
            <w:vAlign w:val="center"/>
          </w:tcPr>
          <w:p>
            <w:pPr>
              <w:pStyle w:val="TableContents"/>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00"/>
              <w:jc w:val="right"/>
              <w:rPr>
                <w:rFonts w:ascii="Times New Roman;serif" w:hAnsi="Times New Roman;serif"/>
                <w:b w:val="false"/>
                <w:color w:val="000000"/>
                <w:sz w:val="20"/>
              </w:rPr>
            </w:pPr>
            <w:r>
              <w:rPr>
                <w:rFonts w:ascii="Times New Roman;serif" w:hAnsi="Times New Roman;serif"/>
                <w:b w:val="false"/>
                <w:color w:val="000000"/>
                <w:sz w:val="20"/>
              </w:rPr>
              <w:t>898</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Total Operating Leases</w:t>
            </w:r>
          </w:p>
        </w:tc>
        <w:tc>
          <w:tcPr>
            <w:tcW w:w="327"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68" w:before="0" w:after="200"/>
              <w:jc w:val="right"/>
              <w:rPr>
                <w:rFonts w:ascii="Times New Roman;serif" w:hAnsi="Times New Roman;serif"/>
                <w:b w:val="false"/>
                <w:color w:val="000000"/>
                <w:sz w:val="20"/>
              </w:rPr>
            </w:pPr>
            <w:r>
              <w:rPr>
                <w:rFonts w:ascii="Times New Roman;serif" w:hAnsi="Times New Roman;serif"/>
                <w:b w:val="false"/>
                <w:color w:val="000000"/>
                <w:sz w:val="20"/>
              </w:rPr>
              <w:t>1,409</w:t>
            </w:r>
          </w:p>
        </w:tc>
      </w:tr>
    </w:tbl>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other information related to leases (in thousands):</w:t>
      </w:r>
    </w:p>
    <w:p>
      <w:pPr>
        <w:pStyle w:val="TextBody"/>
        <w:bidi w:val="0"/>
        <w:spacing w:before="0" w:after="0"/>
        <w:ind w:left="0" w:right="0" w:firstLine="540"/>
        <w:jc w:val="both"/>
        <w:rPr/>
      </w:pPr>
      <w:r>
        <w:rPr/>
      </w:r>
    </w:p>
    <w:tbl>
      <w:tblPr>
        <w:tblW w:w="6823" w:type="dxa"/>
        <w:jc w:val="left"/>
        <w:tblInd w:w="0" w:type="dxa"/>
        <w:tblLayout w:type="fixed"/>
        <w:tblCellMar>
          <w:top w:w="28" w:type="dxa"/>
          <w:left w:w="28" w:type="dxa"/>
          <w:bottom w:w="28" w:type="dxa"/>
          <w:right w:w="28" w:type="dxa"/>
        </w:tblCellMar>
      </w:tblPr>
      <w:tblGrid>
        <w:gridCol w:w="2182"/>
        <w:gridCol w:w="1921"/>
        <w:gridCol w:w="1927"/>
        <w:gridCol w:w="109"/>
        <w:gridCol w:w="109"/>
        <w:gridCol w:w="109"/>
        <w:gridCol w:w="136"/>
        <w:gridCol w:w="136"/>
        <w:gridCol w:w="194"/>
      </w:tblGrid>
      <w:tr>
        <w:trPr/>
        <w:tc>
          <w:tcPr>
            <w:tcW w:w="218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Cash payments included in operating cash flows from lease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r>
    </w:tbl>
    <w:p>
      <w:pPr>
        <w:pStyle w:val="TextBody"/>
        <w:bidi w:val="0"/>
        <w:spacing w:before="0" w:after="0"/>
        <w:ind w:left="0" w:right="0" w:hanging="187"/>
        <w:jc w:val="left"/>
        <w:rPr/>
      </w:pPr>
      <w:r>
        <w:rPr/>
      </w:r>
    </w:p>
    <w:p>
      <w:pPr>
        <w:pStyle w:val="TextBody"/>
        <w:bidi w:val="0"/>
        <w:spacing w:lineRule="auto" w:line="288" w:before="0" w:after="0"/>
        <w:ind w:left="0" w:right="0" w:hanging="187"/>
        <w:jc w:val="left"/>
        <w:rPr>
          <w:rFonts w:ascii="Times New Roman;serif" w:hAnsi="Times New Roman;serif"/>
          <w:b/>
          <w:color w:val="000000"/>
          <w:sz w:val="20"/>
        </w:rPr>
      </w:pPr>
      <w:r>
        <w:rPr>
          <w:rFonts w:ascii="Times New Roman;serif" w:hAnsi="Times New Roman;serif"/>
          <w:b/>
          <w:color w:val="000000"/>
          <w:sz w:val="20"/>
        </w:rPr>
        <w:t>Additional lease information</w:t>
      </w:r>
    </w:p>
    <w:tbl>
      <w:tblPr>
        <w:tblW w:w="4183" w:type="dxa"/>
        <w:jc w:val="left"/>
        <w:tblInd w:w="0" w:type="dxa"/>
        <w:tblLayout w:type="fixed"/>
        <w:tblCellMar>
          <w:top w:w="28" w:type="dxa"/>
          <w:left w:w="28" w:type="dxa"/>
          <w:bottom w:w="28" w:type="dxa"/>
          <w:right w:w="28" w:type="dxa"/>
        </w:tblCellMar>
      </w:tblPr>
      <w:tblGrid>
        <w:gridCol w:w="1201"/>
        <w:gridCol w:w="1052"/>
        <w:gridCol w:w="1061"/>
        <w:gridCol w:w="254"/>
        <w:gridCol w:w="254"/>
        <w:gridCol w:w="361"/>
      </w:tblGrid>
      <w:tr>
        <w:trPr/>
        <w:tc>
          <w:tcPr>
            <w:tcW w:w="120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2.7 years</w:t>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bl>
    <w:p>
      <w:pPr>
        <w:pStyle w:val="TextBody"/>
        <w:bidi w:val="0"/>
        <w:spacing w:before="0" w:after="0"/>
        <w:jc w:val="left"/>
        <w:rPr/>
      </w:pPr>
      <w:r>
        <w:rPr/>
      </w:r>
    </w:p>
    <w:p>
      <w:pPr>
        <w:pStyle w:val="TextBody"/>
        <w:bidi w:val="0"/>
        <w:spacing w:lineRule="auto" w:line="288" w:before="0" w:after="280"/>
        <w:jc w:val="both"/>
        <w:rPr>
          <w:rFonts w:ascii="Times New Roman;serif" w:hAnsi="Times New Roman;serif"/>
          <w:b/>
          <w:color w:val="000000"/>
          <w:sz w:val="20"/>
        </w:rPr>
      </w:pPr>
      <w:r>
        <w:rPr>
          <w:rFonts w:ascii="Times New Roman;serif" w:hAnsi="Times New Roman;serif"/>
          <w:b/>
          <w:color w:val="000000"/>
          <w:sz w:val="20"/>
        </w:rPr>
        <w:t xml:space="preserve">12. Contingencies </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legal actions arising in the ordinary course of business. Each of these matters is subject to various uncertainties, and it is possible that some of these matters may be resolved unfavorably. The Company establishes accruals for losses that management deems to be probable and subject to reasonable estimates. As of December 31, 2024, no such accruals were required.</w:t>
      </w:r>
    </w:p>
    <w:p>
      <w:pPr>
        <w:pStyle w:val="TextBody"/>
        <w:bidi w:val="0"/>
        <w:spacing w:before="0" w:after="20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F-34</w:t>
                      </w:r>
                    </w:p>
                  </w:txbxContent>
                </v:textbox>
                <w10:wrap type="none"/>
              </v:rect>
            </w:pict>
          </mc:Fallback>
        </mc:AlternateContent>
      </w:r>
    </w:p>
    <w:p>
      <w:pPr>
        <w:pStyle w:val="TextBody"/>
        <w:bidi w:val="0"/>
        <w:spacing w:lineRule="auto" w:line="288" w:before="0" w:after="280"/>
        <w:ind w:left="0" w:right="0" w:hanging="187"/>
        <w:jc w:val="left"/>
        <w:rPr>
          <w:rFonts w:ascii="Times New Roman;serif" w:hAnsi="Times New Roman;serif"/>
          <w:b/>
          <w:i/>
          <w:color w:val="000000"/>
          <w:sz w:val="20"/>
        </w:rPr>
      </w:pPr>
      <w:r>
        <w:rPr>
          <w:rFonts w:ascii="Times New Roman;serif" w:hAnsi="Times New Roman;serif"/>
          <w:b/>
          <w:i/>
          <w:color w:val="000000"/>
          <w:sz w:val="20"/>
        </w:rPr>
        <w:t>Guarantees and Indemnification Obligations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enters into standard indemnification agreements in the ordinary course of business. Pursuant to these agreements, the Company indemnifies and agrees to reimburse the indemnified party for losses and costs incurred by the indemnified party, generally the Company’s customers, in connection with any third-party claims, including third-party claims that the Company’s products or services infringe any patent, copyright, trade secret, or other intellectual property or personal right of a third party. The term of these indemnification agreements is generally perpetual after execution of the agreement. The maximum potential amount of future payments the Company could be required to make under certain of these indemnification agreements is unlimited. Based on historical experience and information known as of December 31, 2024, the Company has not accrued any liabilities for the above guarantees and indemnities.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certain circumstances, the Company warrants that its services will be performed in all material respects in accordance with its standard service conditions. To date, the Company has not incurred significant expense under its warranties and, as a result, the Company believes the estimated fair value of these agreements is immaterial.</w:t>
      </w:r>
    </w:p>
    <w:p>
      <w:pPr>
        <w:pStyle w:val="TextBody"/>
        <w:bidi w:val="0"/>
        <w:spacing w:lineRule="auto" w:line="288" w:before="0" w:after="280"/>
        <w:ind w:left="0" w:right="0" w:hanging="245"/>
        <w:jc w:val="left"/>
        <w:rPr>
          <w:rFonts w:ascii="Times New Roman;serif" w:hAnsi="Times New Roman;serif"/>
          <w:b/>
          <w:color w:val="000000"/>
          <w:sz w:val="20"/>
        </w:rPr>
      </w:pPr>
      <w:r>
        <w:rPr>
          <w:rFonts w:ascii="Times New Roman;serif" w:hAnsi="Times New Roman;serif"/>
          <w:b/>
          <w:color w:val="000000"/>
          <w:sz w:val="20"/>
        </w:rPr>
        <w:t>13. Retirement Plan</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sponsors a 401(k) retirement plan (the “Retirement Plan”) covering all employees upon completion of certain eligibility requirements. Employer-matching and other contributions to the Retirement Plan are discretionary. The Company contributed $0.8 million to the Retirement Plan for the year ended December 31, 2024.</w:t>
      </w:r>
    </w:p>
    <w:p>
      <w:pPr>
        <w:pStyle w:val="TextBody"/>
        <w:bidi w:val="0"/>
        <w:spacing w:lineRule="auto" w:line="288" w:before="0" w:after="280"/>
        <w:jc w:val="both"/>
        <w:rPr>
          <w:rFonts w:ascii="Times New Roman;serif" w:hAnsi="Times New Roman;serif"/>
          <w:b/>
          <w:color w:val="000000"/>
          <w:sz w:val="20"/>
        </w:rPr>
      </w:pPr>
      <w:r>
        <w:rPr>
          <w:rFonts w:ascii="Times New Roman;serif" w:hAnsi="Times New Roman;serif"/>
          <w:b/>
          <w:color w:val="000000"/>
          <w:sz w:val="20"/>
        </w:rPr>
        <w:t>14. Related Parties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 4, in 2012, the Company entered into the SLT License Agreement, where the licensor was granted 3,200,000 shares of Series F Preferred Stock. In 2014, the Company through a Business Combination acquired the previously licensed SLT from the same party in exchange for the Non-Controlling Interest issued, see Note 2. The Company recognized revenue of $9.9 million in 2024 from this related party. The Company purchased goods and services from the same related party of $0.9 million in 2024. The Company had receivables from the same related party of $11.4 million at December 31, 2024. </w:t>
      </w:r>
    </w:p>
    <w:p>
      <w:pPr>
        <w:pStyle w:val="TextBody"/>
        <w:bidi w:val="0"/>
        <w:spacing w:lineRule="auto" w:line="288" w:before="0" w:after="280"/>
        <w:ind w:left="0" w:right="0" w:hanging="187"/>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0" w:after="2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ASC 855, Subsequent Events, the Company evaluated subsequent events through November 14, 2025, the date these consolidated financial statements were available to be issued.</w:t>
      </w:r>
    </w:p>
    <w:p>
      <w:pPr>
        <w:pStyle w:val="TextBody"/>
        <w:bidi w:val="0"/>
        <w:spacing w:lineRule="auto" w:line="276"/>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3, 2025, SoundHound AI, Inc. (“SoundHound”) completed its acquisition of the Company pursuant to the merger agreement by and among SoundHound, Inc., Iris Merger Sub, Inc., Interactions Corporation, and Shareholder Representative Services LLC and the SoundHound. As a result of the acquisition, all shares, options and warrants are cancelled in exchange for no consideration, except Series G-1 and G-3 preferred stock. The Term Loan was fully paid off as part of purchase consideration. All non-controlling interest is cancelled after closing of acquisition.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F-35</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6195" w:type="dxa"/>
        <w:jc w:val="center"/>
        <w:tblInd w:w="0" w:type="dxa"/>
        <w:tblLayout w:type="fixed"/>
        <w:tblCellMar>
          <w:top w:w="28" w:type="dxa"/>
          <w:left w:w="28" w:type="dxa"/>
          <w:bottom w:w="28" w:type="dxa"/>
          <w:right w:w="28" w:type="dxa"/>
        </w:tblCellMar>
      </w:tblPr>
      <w:tblGrid>
        <w:gridCol w:w="1984"/>
        <w:gridCol w:w="1744"/>
        <w:gridCol w:w="2467"/>
      </w:tblGrid>
      <w:tr>
        <w:trPr/>
        <w:tc>
          <w:tcPr>
            <w:tcW w:w="198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center"/>
              <w:rPr>
                <w:rFonts w:ascii="Times New Roman;serif" w:hAnsi="Times New Roman;serif"/>
                <w:b w:val="false"/>
                <w:color w:val="000000"/>
                <w:sz w:val="28"/>
              </w:rPr>
            </w:pPr>
            <w:r>
              <w:rPr>
                <w:rFonts w:ascii="Times New Roman;serif" w:hAnsi="Times New Roman;serif"/>
                <w:b w:val="false"/>
                <w:color w:val="000000"/>
                <w:sz w:val="28"/>
              </w:rPr>
              <w:t>Condensed Consolidated Financial Statements</w:t>
            </w:r>
          </w:p>
          <w:p>
            <w:pPr>
              <w:pStyle w:val="TableContents"/>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Interactions Corporation</w:t>
              <w:br/>
              <w:t>Six Months Ended June 30, 2025</w:t>
            </w:r>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12825"/>
                <wp:effectExtent l="0" t="0" r="0" b="0"/>
                <wp:wrapNone/>
                <wp:docPr id="42" name="Frame40"/>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p>
                            <w:pPr>
                              <w:pStyle w:val="TextBody"/>
                              <w:bidi w:val="0"/>
                              <w:spacing w:before="0" w:after="0"/>
                              <w:jc w:val="left"/>
                              <w:rPr/>
                            </w:pPr>
                            <w:r>
                              <w:rPr/>
                            </w:r>
                            <w:r>
                              <w:br w:type="page"/>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Interactions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Six Months Ended June 30, 2025</w:t>
      </w:r>
    </w:p>
    <w:p>
      <w:pPr>
        <w:pStyle w:val="TextBody"/>
        <w:bidi w:val="0"/>
        <w:spacing w:before="0" w:after="100"/>
        <w:jc w:val="left"/>
        <w:rPr/>
      </w:pPr>
      <w:r>
        <w:rPr/>
      </w:r>
    </w:p>
    <w:p>
      <w:pPr>
        <w:pStyle w:val="TextBody"/>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Contents</w:t>
      </w:r>
    </w:p>
    <w:p>
      <w:pPr>
        <w:pStyle w:val="TextBody"/>
        <w:bidi w:val="0"/>
        <w:spacing w:lineRule="auto" w:line="300" w:before="240" w:after="283"/>
        <w:jc w:val="left"/>
        <w:rPr/>
      </w:pPr>
      <w:hyperlink w:anchor="ie680eced4d4942558ae7874cd6d03a4d_4">
        <w:r>
          <w:rPr>
            <w:rStyle w:val="InternetLink"/>
            <w:rFonts w:ascii="Times New Roman;serif" w:hAnsi="Times New Roman;serif"/>
            <w:b w:val="false"/>
            <w:color w:val="0000FF"/>
            <w:sz w:val="20"/>
            <w:u w:val="single"/>
          </w:rPr>
          <w:t>Condensed Consolidated Balance Sheets</w:t>
        </w:r>
      </w:hyperlink>
      <w:r>
        <w:rPr>
          <w:color w:val="000000"/>
        </w:rPr>
        <w:t>    </w:t>
      </w:r>
      <w:r>
        <w:rPr>
          <w:rFonts w:ascii="Times New Roman;serif" w:hAnsi="Times New Roman;serif"/>
          <w:b w:val="false"/>
          <w:color w:val="000000"/>
          <w:sz w:val="20"/>
        </w:rPr>
        <w:t>F-1</w:t>
      </w:r>
    </w:p>
    <w:p>
      <w:pPr>
        <w:pStyle w:val="TextBody"/>
        <w:bidi w:val="0"/>
        <w:spacing w:lineRule="auto" w:line="300" w:before="240" w:after="283"/>
        <w:jc w:val="left"/>
        <w:rPr/>
      </w:pPr>
      <w:hyperlink w:anchor="ie680eced4d4942558ae7874cd6d03a4d_7">
        <w:r>
          <w:rPr>
            <w:rStyle w:val="InternetLink"/>
            <w:rFonts w:ascii="Times New Roman;serif" w:hAnsi="Times New Roman;serif"/>
            <w:b w:val="false"/>
            <w:color w:val="0000FF"/>
            <w:sz w:val="20"/>
            <w:u w:val="single"/>
          </w:rPr>
          <w:t>Consolidated Statements of Operations</w:t>
        </w:r>
      </w:hyperlink>
      <w:r>
        <w:rPr>
          <w:color w:val="000000"/>
        </w:rPr>
        <w:t>    </w:t>
      </w:r>
      <w:r>
        <w:rPr>
          <w:rFonts w:ascii="Times New Roman;serif" w:hAnsi="Times New Roman;serif"/>
          <w:b w:val="false"/>
          <w:color w:val="000000"/>
          <w:sz w:val="20"/>
        </w:rPr>
        <w:t>F-2</w:t>
      </w:r>
    </w:p>
    <w:p>
      <w:pPr>
        <w:pStyle w:val="TextBody"/>
        <w:bidi w:val="0"/>
        <w:spacing w:lineRule="auto" w:line="300" w:before="240" w:after="283"/>
        <w:jc w:val="left"/>
        <w:rPr/>
      </w:pPr>
      <w:hyperlink w:anchor="ie680eced4d4942558ae7874cd6d03a4d_7">
        <w:r>
          <w:rPr>
            <w:rStyle w:val="InternetLink"/>
            <w:rFonts w:ascii="Times New Roman;serif" w:hAnsi="Times New Roman;serif"/>
            <w:b w:val="false"/>
            <w:color w:val="0000FF"/>
            <w:sz w:val="20"/>
            <w:u w:val="single"/>
          </w:rPr>
          <w:t>Consolidated Statements of Comprehensive Loss</w:t>
        </w:r>
      </w:hyperlink>
      <w:r>
        <w:rPr>
          <w:color w:val="000000"/>
        </w:rPr>
        <w:t>    </w:t>
      </w:r>
      <w:r>
        <w:rPr>
          <w:rFonts w:ascii="Times New Roman;serif" w:hAnsi="Times New Roman;serif"/>
          <w:b w:val="false"/>
          <w:color w:val="000000"/>
          <w:sz w:val="20"/>
        </w:rPr>
        <w:t>F-3</w:t>
      </w:r>
    </w:p>
    <w:p>
      <w:pPr>
        <w:pStyle w:val="TextBody"/>
        <w:bidi w:val="0"/>
        <w:spacing w:lineRule="auto" w:line="300" w:before="240" w:after="283"/>
        <w:jc w:val="left"/>
        <w:rPr/>
      </w:pPr>
      <w:hyperlink w:anchor="ie680eced4d4942558ae7874cd6d03a4d_10">
        <w:r>
          <w:rPr>
            <w:rStyle w:val="InternetLink"/>
            <w:rFonts w:ascii="Times New Roman;serif" w:hAnsi="Times New Roman;serif"/>
            <w:b w:val="false"/>
            <w:color w:val="0000FF"/>
            <w:sz w:val="20"/>
            <w:u w:val="single"/>
          </w:rPr>
          <w:t>Consolidated Statements of Changes in Redeemable Preferred Stock, Non-Controlling Interest, and Stockholders’ Deficit</w:t>
        </w:r>
      </w:hyperlink>
      <w:r>
        <w:rPr>
          <w:color w:val="000000"/>
        </w:rPr>
        <w:t>    </w:t>
      </w:r>
      <w:r>
        <w:rPr>
          <w:rFonts w:ascii="Times New Roman;serif" w:hAnsi="Times New Roman;serif"/>
          <w:b w:val="false"/>
          <w:color w:val="000000"/>
          <w:sz w:val="20"/>
        </w:rPr>
        <w:t>F-4</w:t>
      </w:r>
    </w:p>
    <w:p>
      <w:pPr>
        <w:pStyle w:val="TextBody"/>
        <w:bidi w:val="0"/>
        <w:spacing w:lineRule="auto" w:line="300" w:before="240" w:after="283"/>
        <w:jc w:val="left"/>
        <w:rPr/>
      </w:pPr>
      <w:hyperlink w:anchor="ie680eced4d4942558ae7874cd6d03a4d_13">
        <w:r>
          <w:rPr>
            <w:rStyle w:val="InternetLink"/>
            <w:rFonts w:ascii="Times New Roman;serif" w:hAnsi="Times New Roman;serif"/>
            <w:b w:val="false"/>
            <w:color w:val="0000FF"/>
            <w:sz w:val="20"/>
            <w:u w:val="single"/>
          </w:rPr>
          <w:t>Consolidated Statements of Cash Flows</w:t>
        </w:r>
      </w:hyperlink>
      <w:r>
        <w:rPr>
          <w:color w:val="000000"/>
        </w:rPr>
        <w:t>    </w:t>
      </w:r>
      <w:r>
        <w:rPr>
          <w:rFonts w:ascii="Times New Roman;serif" w:hAnsi="Times New Roman;serif"/>
          <w:b w:val="false"/>
          <w:color w:val="000000"/>
          <w:sz w:val="20"/>
        </w:rPr>
        <w:t>F-5</w:t>
      </w:r>
    </w:p>
    <w:p>
      <w:pPr>
        <w:pStyle w:val="TextBody"/>
        <w:bidi w:val="0"/>
        <w:spacing w:lineRule="auto" w:line="300" w:before="240" w:after="283"/>
        <w:jc w:val="left"/>
        <w:rPr/>
      </w:pPr>
      <w:hyperlink w:anchor="ie680eced4d4942558ae7874cd6d03a4d_16">
        <w:r>
          <w:rPr>
            <w:rStyle w:val="InternetLink"/>
            <w:rFonts w:ascii="Times New Roman;serif" w:hAnsi="Times New Roman;serif"/>
            <w:b w:val="false"/>
            <w:color w:val="0000FF"/>
            <w:sz w:val="20"/>
            <w:u w:val="single"/>
          </w:rPr>
          <w:t>Notes to Consolidated Financial Statements</w:t>
        </w:r>
      </w:hyperlink>
      <w:r>
        <w:rPr>
          <w:color w:val="000000"/>
        </w:rPr>
        <w:t>    </w:t>
      </w:r>
      <w:r>
        <w:rPr>
          <w:rFonts w:ascii="Times New Roman;serif" w:hAnsi="Times New Roman;serif"/>
          <w:b w:val="false"/>
          <w:color w:val="000000"/>
          <w:sz w:val="20"/>
        </w:rPr>
        <w:t>F-6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240" w:after="12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14960"/>
                <wp:effectExtent l="0" t="0" r="0" b="0"/>
                <wp:wrapNone/>
                <wp:docPr id="43" name="Frame4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Interactions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319" w:before="4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319"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90"/>
        <w:gridCol w:w="2013"/>
        <w:gridCol w:w="1991"/>
        <w:gridCol w:w="109"/>
        <w:gridCol w:w="109"/>
        <w:gridCol w:w="109"/>
        <w:gridCol w:w="229"/>
        <w:gridCol w:w="170"/>
        <w:gridCol w:w="170"/>
        <w:gridCol w:w="1106"/>
        <w:gridCol w:w="896"/>
        <w:gridCol w:w="339"/>
        <w:gridCol w:w="109"/>
        <w:gridCol w:w="109"/>
        <w:gridCol w:w="156"/>
      </w:tblGrid>
      <w:tr>
        <w:trPr/>
        <w:tc>
          <w:tcPr>
            <w:tcW w:w="2590"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c>
          <w:tcPr>
            <w:tcW w:w="2910"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42" w:type="dxa"/>
            <w:gridSpan w:val="4"/>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10,887 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Accounts receivable, net (including accounts receivable from related party of $487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8,299 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 (including receivables from related party of $5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5,596 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1,381</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 </w:t>
            </w:r>
          </w:p>
        </w:tc>
        <w:tc>
          <w:tcPr>
            <w:tcW w:w="5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29,614 </w:t>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16,049</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1,183</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contract cost,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4,889</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85,719</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Other assets, noncurrent (including receivables from related party of $5,888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3,266 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341" w:type="dxa"/>
            <w:gridSpan w:val="3"/>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19" w:before="0" w:after="200"/>
              <w:ind w:left="0" w:right="0" w:firstLine="90"/>
              <w:jc w:val="right"/>
              <w:rPr>
                <w:color w:val="000000"/>
              </w:rPr>
            </w:pPr>
            <w:r>
              <w:rPr>
                <w:color w:val="000000"/>
              </w:rPr>
              <w:t>                          </w:t>
            </w:r>
            <w:r>
              <w:rPr>
                <w:rFonts w:ascii="Times New Roman;serif" w:hAnsi="Times New Roman;serif"/>
                <w:b w:val="false"/>
                <w:color w:val="000000"/>
                <w:sz w:val="18"/>
              </w:rPr>
              <w:t>141,000</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910" w:type="dxa"/>
            <w:gridSpan w:val="6"/>
            <w:tcBorders>
              <w:top w:val="double" w:sz="5" w:space="0" w:color="000000"/>
            </w:tcBorders>
            <w:shd w:fill="CCEEFF" w:val="clear"/>
            <w:tcMar>
              <w:left w:w="0" w:type="dxa"/>
              <w:bottom w:w="0" w:type="dxa"/>
              <w:right w:w="0" w:type="dxa"/>
            </w:tcMar>
            <w:vAlign w:val="center"/>
          </w:tcPr>
          <w:p>
            <w:pPr>
              <w:pStyle w:val="TableContents"/>
              <w:bidi w:val="0"/>
              <w:spacing w:before="0" w:after="200"/>
              <w:jc w:val="center"/>
              <w:rPr/>
            </w:pPr>
            <w:r>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910" w:type="dxa"/>
            <w:gridSpan w:val="6"/>
            <w:tcBorders/>
            <w:shd w:fill="FFFFFF" w:val="clear"/>
            <w:tcMar>
              <w:top w:w="0" w:type="dxa"/>
              <w:left w:w="0" w:type="dxa"/>
              <w:bottom w:w="0" w:type="dxa"/>
              <w:right w:w="0" w:type="dxa"/>
            </w:tcMar>
            <w:vAlign w:val="center"/>
          </w:tcPr>
          <w:p>
            <w:pPr>
              <w:pStyle w:val="TableContents"/>
              <w:bidi w:val="0"/>
              <w:spacing w:before="0" w:after="200"/>
              <w:jc w:val="center"/>
              <w:rPr/>
            </w:pPr>
            <w:r>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Accounts payable (including amounts due to related party of $58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3,020</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4,162</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4,871</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00"/>
              <w:jc w:val="left"/>
              <w:rPr/>
            </w:pPr>
            <w:r>
              <w:rPr/>
            </w:r>
          </w:p>
        </w:tc>
        <w:tc>
          <w:tcPr>
            <w:tcW w:w="23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12,603</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1,947</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40,637</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4,498</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00"/>
              <w:jc w:val="left"/>
              <w:rPr/>
            </w:pPr>
            <w:r>
              <w:rPr/>
            </w:r>
          </w:p>
        </w:tc>
        <w:tc>
          <w:tcPr>
            <w:tcW w:w="23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61,582</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910" w:type="dxa"/>
            <w:gridSpan w:val="6"/>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Redeemable preferred stock Series A-1, A-2, B, C, D, E, F, G, G-1, G2 and G-3, $0.0001 par value; 400,715,923 shares authorized, 271,882,549 shares issued and outstanding as of June 30, 2025. Aggregate liquidation preference of $393,903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910" w:type="dxa"/>
            <w:gridSpan w:val="6"/>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393,903</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910" w:type="dxa"/>
            <w:gridSpan w:val="6"/>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77,848</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910" w:type="dxa"/>
            <w:gridSpan w:val="6"/>
            <w:tcBorders/>
            <w:shd w:fill="CCEEFF" w:val="clear"/>
            <w:tcMar>
              <w:top w:w="0" w:type="dxa"/>
              <w:left w:w="0" w:type="dxa"/>
              <w:bottom w:w="0" w:type="dxa"/>
              <w:right w:w="0" w:type="dxa"/>
            </w:tcMar>
            <w:vAlign w:val="center"/>
          </w:tcPr>
          <w:p>
            <w:pPr>
              <w:pStyle w:val="TableContents"/>
              <w:bidi w:val="0"/>
              <w:spacing w:before="0" w:after="200"/>
              <w:jc w:val="right"/>
              <w:rPr/>
            </w:pPr>
            <w:r>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115,000,000 share authorized, and 5,341,096 shares issued and outstanding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pPr>
            <w:r>
              <w:rPr>
                <w:rFonts w:ascii="Times New Roman;serif" w:hAnsi="Times New Roman;serif"/>
                <w:b w:val="false"/>
                <w:color w:val="000000"/>
                <w:sz w:val="18"/>
              </w:rPr>
              <w:t xml:space="preserve">(392,508) </w:t>
            </w:r>
            <w:r>
              <w:rPr>
                <w:rFonts w:ascii="Times New Roman;serif" w:hAnsi="Times New Roman;serif"/>
                <w:b w:val="false"/>
                <w:color w:val="FF0000"/>
                <w:sz w:val="18"/>
              </w:rPr>
              <w:t>dee</w:t>
            </w:r>
            <w:r>
              <w:rPr>
                <w:rFonts w:ascii="Times New Roman;serif" w:hAnsi="Times New Roman;serif"/>
                <w:b w:val="false"/>
                <w:color w:val="000000"/>
                <w:sz w:val="18"/>
              </w:rPr>
              <w:t>((394,(394,022)</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left"/>
              <w:rPr/>
            </w:pPr>
            <w:r>
              <w:rPr/>
            </w:r>
          </w:p>
        </w:tc>
        <w:tc>
          <w:tcPr>
            <w:tcW w:w="23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(392,333)</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preferred stock, NCI and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569" w:type="dxa"/>
            <w:gridSpan w:val="3"/>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341" w:type="dxa"/>
            <w:gridSpan w:val="3"/>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141,000</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14960"/>
                <wp:effectExtent l="0" t="0" r="0" b="0"/>
                <wp:wrapNone/>
                <wp:docPr id="44" name="Frame4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F-3</w:t>
                      </w:r>
                    </w:p>
                  </w:txbxContent>
                </v:textbox>
                <w10:wrap type="none"/>
              </v:rect>
            </w:pict>
          </mc:Fallback>
        </mc:AlternateContent>
      </w:r>
    </w:p>
    <w:p>
      <w:pPr>
        <w:pStyle w:val="TextBody"/>
        <w:bidi w:val="0"/>
        <w:spacing w:lineRule="auto" w:line="319" w:before="40" w:after="283"/>
        <w:jc w:val="center"/>
        <w:rPr>
          <w:rFonts w:ascii="Times New Roman;serif" w:hAnsi="Times New Roman;serif"/>
          <w:b/>
          <w:color w:val="000000"/>
          <w:sz w:val="20"/>
        </w:rPr>
      </w:pPr>
      <w:r>
        <w:rPr>
          <w:rFonts w:ascii="Times New Roman;serif" w:hAnsi="Times New Roman;serif"/>
          <w:b/>
          <w:color w:val="000000"/>
          <w:sz w:val="20"/>
        </w:rPr>
        <w:t>Interactions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319" w:before="4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319" w:before="4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56"/>
        <w:gridCol w:w="2437"/>
        <w:gridCol w:w="2446"/>
        <w:gridCol w:w="109"/>
        <w:gridCol w:w="109"/>
        <w:gridCol w:w="109"/>
        <w:gridCol w:w="204"/>
        <w:gridCol w:w="204"/>
        <w:gridCol w:w="204"/>
        <w:gridCol w:w="306"/>
        <w:gridCol w:w="308"/>
        <w:gridCol w:w="209"/>
        <w:gridCol w:w="109"/>
        <w:gridCol w:w="109"/>
        <w:gridCol w:w="109"/>
        <w:gridCol w:w="109"/>
        <w:gridCol w:w="109"/>
        <w:gridCol w:w="159"/>
      </w:tblGrid>
      <w:tr>
        <w:trPr/>
        <w:tc>
          <w:tcPr>
            <w:tcW w:w="2856"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c>
          <w:tcPr>
            <w:tcW w:w="7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c>
          <w:tcPr>
            <w:tcW w:w="1435"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7"/>
              </w:rPr>
            </w:pPr>
            <w:r>
              <w:rPr>
                <w:rFonts w:ascii="Times New Roman;serif" w:hAnsi="Times New Roman;serif"/>
                <w:b/>
                <w:color w:val="000000"/>
                <w:sz w:val="17"/>
              </w:rPr>
              <w:t>Six Months Ended</w:t>
            </w:r>
          </w:p>
          <w:p>
            <w:pPr>
              <w:pStyle w:val="TableContents"/>
              <w:bidi w:val="0"/>
              <w:spacing w:lineRule="auto" w:line="319"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c>
          <w:tcPr>
            <w:tcW w:w="1435"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00"/>
              <w:jc w:val="center"/>
              <w:rPr/>
            </w:pPr>
            <w:r>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center"/>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center"/>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Revenue (including related party sales of $956 in the 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32,358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00"/>
              <w:jc w:val="right"/>
              <w:rPr/>
            </w:pPr>
            <w:r>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0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Cost of revenue (excluding depreciation and amortization, including related party purchase of $393 in the 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12,839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00"/>
              <w:jc w:val="right"/>
              <w:rPr/>
            </w:pPr>
            <w:r>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1,845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00"/>
              <w:jc w:val="right"/>
              <w:rPr/>
            </w:pPr>
            <w:r>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9,511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00"/>
              <w:jc w:val="right"/>
              <w:rPr/>
            </w:pPr>
            <w:r>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4,989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00"/>
              <w:jc w:val="right"/>
              <w:rPr/>
            </w:pPr>
            <w:r>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2,395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00"/>
              <w:jc w:val="right"/>
              <w:rPr/>
            </w:pPr>
            <w:r>
              <w:rPr/>
            </w:r>
          </w:p>
        </w:tc>
        <w:tc>
          <w:tcPr>
            <w:tcW w:w="8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31,579</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00"/>
              <w:jc w:val="left"/>
              <w:rPr/>
            </w:pPr>
            <w:r>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right"/>
              <w:rPr/>
            </w:pPr>
            <w:r>
              <w:rPr/>
            </w:r>
          </w:p>
        </w:tc>
        <w:tc>
          <w:tcPr>
            <w:tcW w:w="8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right"/>
              <w:rPr/>
            </w:pPr>
            <w:r>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left"/>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00"/>
              <w:jc w:val="right"/>
              <w:rPr/>
            </w:pPr>
            <w:r>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7"/>
              </w:rPr>
            </w:pPr>
            <w:r>
              <w:rPr>
                <w:rFonts w:ascii="Times New Roman;serif" w:hAnsi="Times New Roman;serif"/>
                <w:b w:val="false"/>
                <w:color w:val="000000"/>
                <w:sz w:val="17"/>
              </w:rPr>
              <w:t>779 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00"/>
              <w:jc w:val="right"/>
              <w:rPr/>
            </w:pPr>
            <w:r>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7"/>
              </w:rPr>
            </w:pPr>
            <w:r>
              <w:rPr>
                <w:rFonts w:ascii="Times New Roman;serif" w:hAnsi="Times New Roman;serif"/>
                <w:b w:val="false"/>
                <w:color w:val="000000"/>
                <w:sz w:val="17"/>
              </w:rPr>
              <w:t>1,100 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00"/>
              <w:jc w:val="right"/>
              <w:rPr/>
            </w:pPr>
            <w:r>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7"/>
              </w:rPr>
            </w:pPr>
            <w:r>
              <w:rPr>
                <w:rFonts w:ascii="Times New Roman;serif" w:hAnsi="Times New Roman;serif"/>
                <w:b w:val="false"/>
                <w:color w:val="000000"/>
                <w:sz w:val="17"/>
              </w:rPr>
              <w:t>(2,749)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right"/>
              <w:rPr/>
            </w:pPr>
            <w:r>
              <w:rPr/>
            </w:r>
          </w:p>
        </w:tc>
        <w:tc>
          <w:tcPr>
            <w:tcW w:w="6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7"/>
              </w:rPr>
            </w:pPr>
            <w:r>
              <w:rPr>
                <w:rFonts w:ascii="Times New Roman;serif" w:hAnsi="Times New Roman;serif"/>
                <w:b w:val="false"/>
                <w:color w:val="000000"/>
                <w:sz w:val="17"/>
              </w:rPr>
              <w:t>(870)</w:t>
            </w:r>
          </w:p>
        </w:tc>
        <w:tc>
          <w:tcPr>
            <w:tcW w:w="2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left"/>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00"/>
              <w:jc w:val="right"/>
              <w:rPr/>
            </w:pPr>
            <w:r>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7"/>
              </w:rPr>
            </w:pPr>
            <w:r>
              <w:rPr>
                <w:rFonts w:ascii="Times New Roman;serif" w:hAnsi="Times New Roman;serif"/>
                <w:b w:val="false"/>
                <w:color w:val="000000"/>
                <w:sz w:val="17"/>
              </w:rPr>
              <w:t>368 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7"/>
              </w:rPr>
            </w:pPr>
            <w:r>
              <w:rPr>
                <w:rFonts w:ascii="Times New Roman;serif" w:hAnsi="Times New Roman;serif"/>
                <w:b w:val="false"/>
                <w:color w:val="000000"/>
                <w:sz w:val="17"/>
              </w:rPr>
              <w:t>(502)</w:t>
            </w:r>
          </w:p>
        </w:tc>
        <w:tc>
          <w:tcPr>
            <w:tcW w:w="2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left"/>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Less 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00"/>
              <w:jc w:val="right"/>
              <w:rPr/>
            </w:pPr>
            <w:r>
              <w:rPr/>
            </w:r>
          </w:p>
        </w:tc>
        <w:tc>
          <w:tcPr>
            <w:tcW w:w="6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00"/>
              <w:jc w:val="left"/>
              <w:rPr/>
            </w:pPr>
            <w:r>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00"/>
              <w:jc w:val="left"/>
              <w:rPr/>
            </w:pPr>
            <w:r>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 xml:space="preserve">Net loss attributable to Interactions Corporation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61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14"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7"/>
              </w:rPr>
            </w:pPr>
            <w:r>
              <w:rPr>
                <w:rFonts w:ascii="Times New Roman;serif" w:hAnsi="Times New Roman;serif"/>
                <w:b w:val="false"/>
                <w:color w:val="000000"/>
                <w:sz w:val="17"/>
              </w:rPr>
              <w:t>(402)</w:t>
            </w:r>
          </w:p>
        </w:tc>
        <w:tc>
          <w:tcPr>
            <w:tcW w:w="2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00"/>
              <w:jc w:val="left"/>
              <w:rPr/>
            </w:pPr>
            <w:r>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r>
    </w:tbl>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pStyle w:val="TextBody"/>
        <w:bidi w:val="0"/>
        <w:spacing w:before="0" w:after="560"/>
        <w:ind w:left="0" w:right="0" w:firstLine="288"/>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14960"/>
                <wp:effectExtent l="0" t="0" r="0" b="0"/>
                <wp:wrapNone/>
                <wp:docPr id="45" name="Frame4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34.05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F-2</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Interactions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 </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4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40" w:after="283"/>
        <w:jc w:val="center"/>
        <w:rPr/>
      </w:pPr>
      <w:r>
        <w:rPr/>
      </w:r>
    </w:p>
    <w:p>
      <w:pPr>
        <w:pStyle w:val="TextBody"/>
        <w:bidi w:val="0"/>
        <w:spacing w:before="40" w:after="283"/>
        <w:jc w:val="left"/>
        <w:rPr/>
      </w:pPr>
      <w:r>
        <w:rPr/>
      </w:r>
    </w:p>
    <w:tbl>
      <w:tblPr>
        <w:tblW w:w="7278" w:type="dxa"/>
        <w:jc w:val="left"/>
        <w:tblInd w:w="0" w:type="dxa"/>
        <w:tblLayout w:type="fixed"/>
        <w:tblCellMar>
          <w:top w:w="28" w:type="dxa"/>
          <w:left w:w="28" w:type="dxa"/>
          <w:bottom w:w="28" w:type="dxa"/>
          <w:right w:w="28" w:type="dxa"/>
        </w:tblCellMar>
      </w:tblPr>
      <w:tblGrid>
        <w:gridCol w:w="1125"/>
        <w:gridCol w:w="988"/>
        <w:gridCol w:w="991"/>
        <w:gridCol w:w="109"/>
        <w:gridCol w:w="109"/>
        <w:gridCol w:w="109"/>
        <w:gridCol w:w="109"/>
        <w:gridCol w:w="109"/>
        <w:gridCol w:w="109"/>
        <w:gridCol w:w="1002"/>
        <w:gridCol w:w="648"/>
        <w:gridCol w:w="466"/>
        <w:gridCol w:w="235"/>
        <w:gridCol w:w="235"/>
        <w:gridCol w:w="235"/>
        <w:gridCol w:w="109"/>
        <w:gridCol w:w="109"/>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1" w:type="dxa"/>
            <w:gridSpan w:val="6"/>
            <w:tcBorders/>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821" w:type="dxa"/>
            <w:gridSpan w:val="6"/>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7"/>
              </w:rPr>
            </w:pPr>
            <w:r>
              <w:rPr>
                <w:rFonts w:ascii="Times New Roman;serif" w:hAnsi="Times New Roman;serif"/>
                <w:b/>
                <w:color w:val="000000"/>
                <w:sz w:val="17"/>
              </w:rPr>
              <w:t>Six Months Ended</w:t>
            </w:r>
          </w:p>
          <w:p>
            <w:pPr>
              <w:pStyle w:val="TableContents"/>
              <w:bidi w:val="0"/>
              <w:spacing w:lineRule="auto" w:line="319"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10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Net loss including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2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(502)</w:t>
            </w:r>
          </w:p>
          <w:p>
            <w:pPr>
              <w:pStyle w:val="TableContents"/>
              <w:bidi w:val="0"/>
              <w:spacing w:lineRule="auto" w:line="319" w:before="0" w:after="200"/>
              <w:jc w:val="right"/>
              <w:rPr>
                <w:color w:val="000000"/>
              </w:rPr>
            </w:pPr>
            <w:r>
              <w:rPr>
                <w:color w:val="000000"/>
              </w:rPr>
              <w:t> </w:t>
            </w:r>
            <w:r>
              <w:rPr>
                <w:rFonts w:ascii="Times New Roman;serif" w:hAnsi="Times New Roman;serif"/>
                <w:b w:val="false"/>
                <w:color w:val="000000"/>
                <w:sz w:val="17"/>
              </w:rPr>
              <w:t>(502)</w:t>
            </w:r>
          </w:p>
        </w:tc>
        <w:tc>
          <w:tcPr>
            <w:tcW w:w="705"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00"/>
              <w:jc w:val="righ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Gain on translation of foreign subsidiary</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2116" w:type="dxa"/>
            <w:gridSpan w:val="3"/>
            <w:tcBorders/>
            <w:tcMar>
              <w:top w:w="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r>
              <w:rPr>
                <w:rFonts w:ascii="Times New Roman;serif" w:hAnsi="Times New Roman;serif"/>
                <w:b w:val="false"/>
                <w:color w:val="000000"/>
                <w:sz w:val="17"/>
              </w:rPr>
              <w:t>4</w:t>
            </w:r>
          </w:p>
        </w:tc>
        <w:tc>
          <w:tcPr>
            <w:tcW w:w="705" w:type="dxa"/>
            <w:gridSpan w:val="3"/>
            <w:tcBorders/>
            <w:tcMar>
              <w:top w:w="0" w:type="dxa"/>
              <w:left w:w="0" w:type="dxa"/>
              <w:bottom w:w="0" w:type="dxa"/>
              <w:right w:w="0" w:type="dxa"/>
            </w:tcMar>
            <w:vAlign w:val="center"/>
          </w:tcPr>
          <w:p>
            <w:pPr>
              <w:pStyle w:val="TableContents"/>
              <w:bidi w:val="0"/>
              <w:spacing w:before="0" w:after="20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0"/>
              <w:jc w:val="righ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c>
          <w:tcPr>
            <w:tcW w:w="2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(498)</w:t>
            </w:r>
          </w:p>
        </w:tc>
        <w:tc>
          <w:tcPr>
            <w:tcW w:w="705"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00"/>
              <w:jc w:val="righ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Less attributable to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c>
          <w:tcPr>
            <w:tcW w:w="2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705"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00"/>
              <w:jc w:val="righ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7"/>
              </w:rPr>
            </w:pPr>
            <w:r>
              <w:rPr>
                <w:rFonts w:ascii="Times New Roman;serif" w:hAnsi="Times New Roman;serif"/>
                <w:b w:val="false"/>
                <w:color w:val="000000"/>
                <w:sz w:val="17"/>
              </w:rPr>
              <w:t>Total comprehensive loss</w:t>
            </w:r>
          </w:p>
        </w:tc>
        <w:tc>
          <w:tcPr>
            <w:tcW w:w="327"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327"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2116"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(398)</w:t>
            </w:r>
          </w:p>
          <w:p>
            <w:pPr>
              <w:pStyle w:val="TableContents"/>
              <w:bidi w:val="0"/>
              <w:spacing w:lineRule="auto" w:line="319" w:before="0" w:after="200"/>
              <w:jc w:val="right"/>
              <w:rPr>
                <w:rFonts w:ascii="Times New Roman;serif" w:hAnsi="Times New Roman;serif"/>
                <w:b w:val="false"/>
                <w:color w:val="000000"/>
                <w:sz w:val="17"/>
              </w:rPr>
            </w:pPr>
            <w:r>
              <w:rPr>
                <w:rFonts w:ascii="Times New Roman;serif" w:hAnsi="Times New Roman;serif"/>
                <w:b w:val="false"/>
                <w:color w:val="000000"/>
                <w:sz w:val="17"/>
              </w:rPr>
              <w:t>(398)</w:t>
            </w:r>
          </w:p>
        </w:tc>
        <w:tc>
          <w:tcPr>
            <w:tcW w:w="705" w:type="dxa"/>
            <w:gridSpan w:val="3"/>
            <w:tcBorders>
              <w:top w:val="single" w:sz="4" w:space="0" w:color="000000"/>
              <w:bottom w:val="double" w:sz="6" w:space="0" w:color="000000"/>
            </w:tcBorders>
            <w:tcMar>
              <w:left w:w="0" w:type="dxa"/>
              <w:right w:w="0" w:type="dxa"/>
            </w:tcMar>
            <w:vAlign w:val="center"/>
          </w:tcPr>
          <w:p>
            <w:pPr>
              <w:pStyle w:val="TableContents"/>
              <w:bidi w:val="0"/>
              <w:spacing w:before="0" w:after="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00"/>
              <w:jc w:val="righ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14960"/>
                <wp:effectExtent l="0" t="0" r="0" b="0"/>
                <wp:wrapNone/>
                <wp:docPr id="46" name="Frame4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F-3</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Interactions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Redeemable Preferred Stock, Non-Controlling Interest, and Stockholders’ Deficit </w:t>
      </w:r>
    </w:p>
    <w:p>
      <w:pPr>
        <w:pStyle w:val="TextBody"/>
        <w:bidi w:val="0"/>
        <w:spacing w:lineRule="auto" w:line="319" w:before="4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 and par value)</w:t>
      </w:r>
    </w:p>
    <w:p>
      <w:pPr>
        <w:pStyle w:val="TextBody"/>
        <w:bidi w:val="0"/>
        <w:spacing w:lineRule="auto" w:line="319"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86" w:type="dxa"/>
        <w:jc w:val="left"/>
        <w:tblInd w:w="0" w:type="dxa"/>
        <w:tblLayout w:type="fixed"/>
        <w:tblCellMar>
          <w:top w:w="28" w:type="dxa"/>
          <w:left w:w="28" w:type="dxa"/>
          <w:bottom w:w="28" w:type="dxa"/>
          <w:right w:w="28" w:type="dxa"/>
        </w:tblCellMar>
      </w:tblPr>
      <w:tblGrid>
        <w:gridCol w:w="701"/>
        <w:gridCol w:w="234"/>
        <w:gridCol w:w="236"/>
        <w:gridCol w:w="361"/>
        <w:gridCol w:w="361"/>
        <w:gridCol w:w="284"/>
        <w:gridCol w:w="361"/>
        <w:gridCol w:w="299"/>
        <w:gridCol w:w="166"/>
        <w:gridCol w:w="361"/>
        <w:gridCol w:w="316"/>
        <w:gridCol w:w="239"/>
        <w:gridCol w:w="298"/>
        <w:gridCol w:w="217"/>
        <w:gridCol w:w="221"/>
        <w:gridCol w:w="283"/>
        <w:gridCol w:w="283"/>
        <w:gridCol w:w="260"/>
        <w:gridCol w:w="201"/>
        <w:gridCol w:w="194"/>
        <w:gridCol w:w="131"/>
        <w:gridCol w:w="290"/>
        <w:gridCol w:w="290"/>
        <w:gridCol w:w="291"/>
        <w:gridCol w:w="350"/>
        <w:gridCol w:w="350"/>
        <w:gridCol w:w="351"/>
        <w:gridCol w:w="404"/>
        <w:gridCol w:w="404"/>
        <w:gridCol w:w="408"/>
        <w:gridCol w:w="334"/>
        <w:gridCol w:w="334"/>
        <w:gridCol w:w="473"/>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6" w:space="0" w:color="CCCCCC"/>
              <w:left w:val="single" w:sz="6" w:space="0" w:color="CCCCCC"/>
            </w:tcBorders>
            <w:shd w:fill="FFFFFF" w:val="clear"/>
            <w:tcMar>
              <w:bottom w:w="0" w:type="dxa"/>
              <w:right w:w="0" w:type="dxa"/>
            </w:tcMar>
            <w:vAlign w:val="center"/>
          </w:tcPr>
          <w:p>
            <w:pPr>
              <w:pStyle w:val="TableContents"/>
              <w:bidi w:val="0"/>
              <w:spacing w:before="0" w:after="200"/>
              <w:jc w:val="left"/>
              <w:rPr/>
            </w:pPr>
            <w:r>
              <w:rPr/>
            </w:r>
          </w:p>
        </w:tc>
        <w:tc>
          <w:tcPr>
            <w:tcW w:w="1832" w:type="dxa"/>
            <w:gridSpan w:val="6"/>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Redeemable Preferred Stock</w:t>
            </w:r>
          </w:p>
        </w:tc>
        <w:tc>
          <w:tcPr>
            <w:tcW w:w="1652" w:type="dxa"/>
            <w:gridSpan w:val="6"/>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1352" w:type="dxa"/>
            <w:gridSpan w:val="6"/>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Common Stock</w:t>
            </w:r>
          </w:p>
        </w:tc>
        <w:tc>
          <w:tcPr>
            <w:tcW w:w="871" w:type="dxa"/>
            <w:gridSpan w:val="3"/>
            <w:tcBorders>
              <w:top w:val="single" w:sz="6" w:space="0" w:color="CCCCCC"/>
              <w:left w:val="single" w:sz="6" w:space="0" w:color="CCCCCC"/>
            </w:tcBorders>
            <w:shd w:fill="FFFFFF" w:val="clear"/>
            <w:tcMar>
              <w:bottom w:w="0" w:type="dxa"/>
              <w:right w:w="0" w:type="dxa"/>
            </w:tcMar>
            <w:vAlign w:val="center"/>
          </w:tcPr>
          <w:p>
            <w:pPr>
              <w:pStyle w:val="TableContents"/>
              <w:bidi w:val="0"/>
              <w:spacing w:before="0" w:after="200"/>
              <w:jc w:val="left"/>
              <w:rPr/>
            </w:pPr>
            <w:r>
              <w:rPr/>
            </w:r>
          </w:p>
        </w:tc>
        <w:tc>
          <w:tcPr>
            <w:tcW w:w="1051" w:type="dxa"/>
            <w:gridSpan w:val="3"/>
            <w:tcBorders>
              <w:top w:val="single" w:sz="6" w:space="0" w:color="CCCCCC"/>
              <w:left w:val="single" w:sz="6" w:space="0" w:color="CCCCCC"/>
            </w:tcBorders>
            <w:shd w:fill="FFFFFF" w:val="clear"/>
            <w:tcMar>
              <w:bottom w:w="0" w:type="dxa"/>
              <w:right w:w="0" w:type="dxa"/>
            </w:tcMar>
            <w:vAlign w:val="center"/>
          </w:tcPr>
          <w:p>
            <w:pPr>
              <w:pStyle w:val="TableContents"/>
              <w:bidi w:val="0"/>
              <w:spacing w:before="0" w:after="200"/>
              <w:jc w:val="left"/>
              <w:rPr/>
            </w:pPr>
            <w:r>
              <w:rPr/>
            </w:r>
          </w:p>
        </w:tc>
        <w:tc>
          <w:tcPr>
            <w:tcW w:w="1216" w:type="dxa"/>
            <w:gridSpan w:val="3"/>
            <w:tcBorders>
              <w:top w:val="single" w:sz="6" w:space="0" w:color="CCCCCC"/>
              <w:left w:val="single" w:sz="6" w:space="0" w:color="CCCCCC"/>
            </w:tcBorders>
            <w:shd w:fill="FFFFFF" w:val="clear"/>
            <w:tcMar>
              <w:bottom w:w="0" w:type="dxa"/>
              <w:right w:w="0" w:type="dxa"/>
            </w:tcMar>
            <w:vAlign w:val="center"/>
          </w:tcPr>
          <w:p>
            <w:pPr>
              <w:pStyle w:val="TableContents"/>
              <w:bidi w:val="0"/>
              <w:spacing w:before="0" w:after="200"/>
              <w:jc w:val="center"/>
              <w:rPr/>
            </w:pPr>
            <w:r>
              <w:rPr/>
            </w:r>
          </w:p>
        </w:tc>
        <w:tc>
          <w:tcPr>
            <w:tcW w:w="1141" w:type="dxa"/>
            <w:gridSpan w:val="3"/>
            <w:tcBorders>
              <w:top w:val="single" w:sz="6" w:space="0" w:color="CCCCCC"/>
              <w:left w:val="single" w:sz="6" w:space="0" w:color="CCCCCC"/>
              <w:right w:val="single" w:sz="6" w:space="0" w:color="CCCCCC"/>
            </w:tcBorders>
            <w:shd w:fill="FFFFFF" w:val="clear"/>
            <w:tcMar>
              <w:bottom w:w="0" w:type="dxa"/>
            </w:tcMar>
            <w:vAlign w:val="center"/>
          </w:tcPr>
          <w:p>
            <w:pPr>
              <w:pStyle w:val="TableContents"/>
              <w:bidi w:val="0"/>
              <w:spacing w:before="0" w:after="200"/>
              <w:jc w:val="left"/>
              <w:rPr/>
            </w:pPr>
            <w:r>
              <w:rPr/>
            </w:r>
          </w:p>
        </w:tc>
      </w:tr>
      <w:tr>
        <w:trPr/>
        <w:tc>
          <w:tcPr>
            <w:tcW w:w="1171" w:type="dxa"/>
            <w:gridSpan w:val="3"/>
            <w:vMerge w:val="restart"/>
            <w:tcBorders>
              <w:top w:val="single" w:sz="6" w:space="0" w:color="CCCCCC"/>
              <w:left w:val="single" w:sz="6" w:space="0" w:color="CCCCCC"/>
              <w:right w:val="single" w:sz="6" w:space="0" w:color="CCCCCC"/>
            </w:tcBorders>
            <w:shd w:fill="FFFFFF" w:val="clear"/>
            <w:tcMar>
              <w:bottom w:w="0" w:type="dxa"/>
            </w:tcMar>
            <w:vAlign w:val="center"/>
          </w:tcPr>
          <w:p>
            <w:pPr>
              <w:pStyle w:val="TableContents"/>
              <w:bidi w:val="0"/>
              <w:spacing w:before="0" w:after="200"/>
              <w:jc w:val="left"/>
              <w:rPr/>
            </w:pPr>
            <w:r>
              <w:rPr/>
            </w:r>
          </w:p>
        </w:tc>
        <w:tc>
          <w:tcPr>
            <w:tcW w:w="1006" w:type="dxa"/>
            <w:gridSpan w:val="3"/>
            <w:vMerge w:val="restart"/>
            <w:tcBorders>
              <w:top w:val="single" w:sz="12" w:space="0" w:color="000000"/>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Shares</w:t>
            </w:r>
          </w:p>
        </w:tc>
        <w:tc>
          <w:tcPr>
            <w:tcW w:w="826" w:type="dxa"/>
            <w:gridSpan w:val="3"/>
            <w:vMerge w:val="restart"/>
            <w:tcBorders>
              <w:top w:val="single" w:sz="12" w:space="0" w:color="000000"/>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Amount</w:t>
            </w:r>
          </w:p>
        </w:tc>
        <w:tc>
          <w:tcPr>
            <w:tcW w:w="916" w:type="dxa"/>
            <w:gridSpan w:val="3"/>
            <w:vMerge w:val="restart"/>
            <w:tcBorders>
              <w:top w:val="single" w:sz="12" w:space="0" w:color="000000"/>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Preferred Units in LLC Subsidiary</w:t>
            </w:r>
          </w:p>
        </w:tc>
        <w:tc>
          <w:tcPr>
            <w:tcW w:w="736" w:type="dxa"/>
            <w:gridSpan w:val="3"/>
            <w:vMerge w:val="restart"/>
            <w:tcBorders>
              <w:top w:val="single" w:sz="12" w:space="0" w:color="000000"/>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Amount</w:t>
            </w:r>
          </w:p>
        </w:tc>
        <w:tc>
          <w:tcPr>
            <w:tcW w:w="826" w:type="dxa"/>
            <w:gridSpan w:val="3"/>
            <w:vMerge w:val="restart"/>
            <w:tcBorders>
              <w:top w:val="single" w:sz="12" w:space="0" w:color="000000"/>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Shares</w:t>
            </w:r>
          </w:p>
        </w:tc>
        <w:tc>
          <w:tcPr>
            <w:tcW w:w="526" w:type="dxa"/>
            <w:gridSpan w:val="3"/>
            <w:vMerge w:val="restart"/>
            <w:tcBorders>
              <w:top w:val="single" w:sz="12"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Par Value</w:t>
            </w:r>
          </w:p>
        </w:tc>
        <w:tc>
          <w:tcPr>
            <w:tcW w:w="8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Additional</w:t>
            </w:r>
          </w:p>
        </w:tc>
        <w:tc>
          <w:tcPr>
            <w:tcW w:w="1051" w:type="dxa"/>
            <w:gridSpan w:val="3"/>
            <w:vMerge w:val="restart"/>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2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Accumulated</w:t>
            </w:r>
          </w:p>
        </w:tc>
        <w:tc>
          <w:tcPr>
            <w:tcW w:w="1141" w:type="dxa"/>
            <w:gridSpan w:val="3"/>
            <w:vMerge w:val="restart"/>
            <w:tcBorders>
              <w:top w:val="single" w:sz="6" w:space="0" w:color="CCCCCC"/>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Stockholders’ Deficit</w:t>
            </w:r>
          </w:p>
        </w:tc>
      </w:tr>
      <w:tr>
        <w:trPr/>
        <w:tc>
          <w:tcPr>
            <w:tcW w:w="1171" w:type="dxa"/>
            <w:gridSpan w:val="3"/>
            <w:vMerge w:val="continue"/>
            <w:tcBorders>
              <w:top w:val="single" w:sz="6" w:space="0" w:color="CCCCCC"/>
              <w:left w:val="single" w:sz="6" w:space="0" w:color="CCCCCC"/>
              <w:right w:val="single" w:sz="6" w:space="0" w:color="CCCCCC"/>
            </w:tcBorders>
            <w:shd w:fill="FFFFFF" w:val="clear"/>
            <w:tcMar>
              <w:bottom w:w="0" w:type="dxa"/>
            </w:tcMar>
            <w:vAlign w:val="center"/>
          </w:tcPr>
          <w:p>
            <w:pPr>
              <w:pStyle w:val="Normal"/>
              <w:bidi w:val="0"/>
              <w:jc w:val="left"/>
              <w:rPr/>
            </w:pPr>
            <w:r>
              <w:rPr/>
            </w:r>
          </w:p>
        </w:tc>
        <w:tc>
          <w:tcPr>
            <w:tcW w:w="1006" w:type="dxa"/>
            <w:gridSpan w:val="3"/>
            <w:vMerge w:val="continue"/>
            <w:tcBorders>
              <w:top w:val="single" w:sz="12" w:space="0" w:color="000000"/>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c>
          <w:tcPr>
            <w:tcW w:w="826" w:type="dxa"/>
            <w:gridSpan w:val="3"/>
            <w:vMerge w:val="continue"/>
            <w:tcBorders>
              <w:top w:val="single" w:sz="12" w:space="0" w:color="000000"/>
              <w:left w:val="single" w:sz="6" w:space="0" w:color="CCCCCC"/>
            </w:tcBorders>
            <w:shd w:fill="FFFFFF" w:val="clear"/>
            <w:tcMar>
              <w:top w:w="30" w:type="dxa"/>
              <w:bottom w:w="0" w:type="dxa"/>
              <w:right w:w="0" w:type="dxa"/>
            </w:tcMar>
            <w:vAlign w:val="center"/>
          </w:tcPr>
          <w:p>
            <w:pPr>
              <w:pStyle w:val="Normal"/>
              <w:bidi w:val="0"/>
              <w:jc w:val="left"/>
              <w:rPr/>
            </w:pPr>
            <w:r>
              <w:rPr/>
            </w:r>
          </w:p>
        </w:tc>
        <w:tc>
          <w:tcPr>
            <w:tcW w:w="916" w:type="dxa"/>
            <w:gridSpan w:val="3"/>
            <w:vMerge w:val="continue"/>
            <w:tcBorders>
              <w:top w:val="single" w:sz="12" w:space="0" w:color="000000"/>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c>
          <w:tcPr>
            <w:tcW w:w="736" w:type="dxa"/>
            <w:gridSpan w:val="3"/>
            <w:vMerge w:val="continue"/>
            <w:tcBorders>
              <w:top w:val="single" w:sz="12" w:space="0" w:color="000000"/>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c>
          <w:tcPr>
            <w:tcW w:w="826" w:type="dxa"/>
            <w:gridSpan w:val="3"/>
            <w:vMerge w:val="continue"/>
            <w:tcBorders>
              <w:top w:val="single" w:sz="12" w:space="0" w:color="000000"/>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c>
          <w:tcPr>
            <w:tcW w:w="526" w:type="dxa"/>
            <w:gridSpan w:val="3"/>
            <w:vMerge w:val="continue"/>
            <w:tcBorders>
              <w:top w:val="single" w:sz="12" w:space="0" w:color="000000"/>
              <w:left w:val="single" w:sz="6" w:space="0" w:color="CCCCCC"/>
            </w:tcBorders>
            <w:shd w:fill="FFFFFF" w:val="clear"/>
            <w:tcMar>
              <w:top w:w="30" w:type="dxa"/>
              <w:bottom w:w="0" w:type="dxa"/>
              <w:right w:w="0" w:type="dxa"/>
            </w:tcMar>
            <w:vAlign w:val="center"/>
          </w:tcPr>
          <w:p>
            <w:pPr>
              <w:pStyle w:val="Normal"/>
              <w:bidi w:val="0"/>
              <w:jc w:val="left"/>
              <w:rPr/>
            </w:pPr>
            <w:r>
              <w:rPr/>
            </w:r>
          </w:p>
        </w:tc>
        <w:tc>
          <w:tcPr>
            <w:tcW w:w="871" w:type="dxa"/>
            <w:gridSpan w:val="3"/>
            <w:tcBorders>
              <w:top w:val="single" w:sz="6" w:space="0" w:color="CCCCCC"/>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Paid In Capital</w:t>
            </w:r>
          </w:p>
        </w:tc>
        <w:tc>
          <w:tcPr>
            <w:tcW w:w="1051" w:type="dxa"/>
            <w:gridSpan w:val="3"/>
            <w:vMerge w:val="continue"/>
            <w:tcBorders>
              <w:top w:val="single" w:sz="6" w:space="0" w:color="CCCCCC"/>
              <w:left w:val="single" w:sz="6" w:space="0" w:color="CCCCCC"/>
            </w:tcBorders>
            <w:shd w:fill="FFFFFF" w:val="clear"/>
            <w:tcMar>
              <w:top w:w="30" w:type="dxa"/>
              <w:bottom w:w="0" w:type="dxa"/>
              <w:right w:w="0" w:type="dxa"/>
            </w:tcMar>
            <w:vAlign w:val="center"/>
          </w:tcPr>
          <w:p>
            <w:pPr>
              <w:pStyle w:val="Normal"/>
              <w:bidi w:val="0"/>
              <w:jc w:val="left"/>
              <w:rPr/>
            </w:pPr>
            <w:r>
              <w:rPr/>
            </w:r>
          </w:p>
        </w:tc>
        <w:tc>
          <w:tcPr>
            <w:tcW w:w="1216" w:type="dxa"/>
            <w:gridSpan w:val="3"/>
            <w:tcBorders>
              <w:top w:val="single" w:sz="6" w:space="0" w:color="CCCCCC"/>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Other Comprehensive</w:t>
            </w:r>
          </w:p>
        </w:tc>
        <w:tc>
          <w:tcPr>
            <w:tcW w:w="1141" w:type="dxa"/>
            <w:gridSpan w:val="3"/>
            <w:vMerge w:val="continue"/>
            <w:tcBorders>
              <w:top w:val="single" w:sz="6" w:space="0" w:color="CCCCCC"/>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r>
      <w:tr>
        <w:trPr/>
        <w:tc>
          <w:tcPr>
            <w:tcW w:w="1171" w:type="dxa"/>
            <w:gridSpan w:val="3"/>
            <w:vMerge w:val="continue"/>
            <w:tcBorders>
              <w:top w:val="single" w:sz="6" w:space="0" w:color="CCCCCC"/>
              <w:left w:val="single" w:sz="6" w:space="0" w:color="CCCCCC"/>
              <w:right w:val="single" w:sz="6" w:space="0" w:color="CCCCCC"/>
            </w:tcBorders>
            <w:shd w:fill="FFFFFF" w:val="clear"/>
            <w:tcMar>
              <w:bottom w:w="0" w:type="dxa"/>
            </w:tcMar>
            <w:vAlign w:val="center"/>
          </w:tcPr>
          <w:p>
            <w:pPr>
              <w:pStyle w:val="Normal"/>
              <w:bidi w:val="0"/>
              <w:jc w:val="left"/>
              <w:rPr/>
            </w:pPr>
            <w:r>
              <w:rPr/>
            </w:r>
          </w:p>
        </w:tc>
        <w:tc>
          <w:tcPr>
            <w:tcW w:w="1006" w:type="dxa"/>
            <w:gridSpan w:val="3"/>
            <w:vMerge w:val="continue"/>
            <w:tcBorders>
              <w:top w:val="single" w:sz="12" w:space="0" w:color="000000"/>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c>
          <w:tcPr>
            <w:tcW w:w="826" w:type="dxa"/>
            <w:gridSpan w:val="3"/>
            <w:vMerge w:val="continue"/>
            <w:tcBorders>
              <w:top w:val="single" w:sz="12" w:space="0" w:color="000000"/>
              <w:left w:val="single" w:sz="6" w:space="0" w:color="CCCCCC"/>
            </w:tcBorders>
            <w:shd w:fill="FFFFFF" w:val="clear"/>
            <w:tcMar>
              <w:top w:w="30" w:type="dxa"/>
              <w:bottom w:w="0" w:type="dxa"/>
              <w:right w:w="0" w:type="dxa"/>
            </w:tcMar>
            <w:vAlign w:val="center"/>
          </w:tcPr>
          <w:p>
            <w:pPr>
              <w:pStyle w:val="Normal"/>
              <w:bidi w:val="0"/>
              <w:jc w:val="left"/>
              <w:rPr/>
            </w:pPr>
            <w:r>
              <w:rPr/>
            </w:r>
          </w:p>
        </w:tc>
        <w:tc>
          <w:tcPr>
            <w:tcW w:w="916" w:type="dxa"/>
            <w:gridSpan w:val="3"/>
            <w:vMerge w:val="continue"/>
            <w:tcBorders>
              <w:top w:val="single" w:sz="12" w:space="0" w:color="000000"/>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c>
          <w:tcPr>
            <w:tcW w:w="736" w:type="dxa"/>
            <w:gridSpan w:val="3"/>
            <w:vMerge w:val="continue"/>
            <w:tcBorders>
              <w:top w:val="single" w:sz="12" w:space="0" w:color="000000"/>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c>
          <w:tcPr>
            <w:tcW w:w="826" w:type="dxa"/>
            <w:gridSpan w:val="3"/>
            <w:vMerge w:val="continue"/>
            <w:tcBorders>
              <w:top w:val="single" w:sz="12" w:space="0" w:color="000000"/>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c>
          <w:tcPr>
            <w:tcW w:w="526" w:type="dxa"/>
            <w:gridSpan w:val="3"/>
            <w:vMerge w:val="continue"/>
            <w:tcBorders>
              <w:top w:val="single" w:sz="12" w:space="0" w:color="000000"/>
              <w:left w:val="single" w:sz="6" w:space="0" w:color="CCCCCC"/>
            </w:tcBorders>
            <w:shd w:fill="FFFFFF" w:val="clear"/>
            <w:tcMar>
              <w:top w:w="30" w:type="dxa"/>
              <w:bottom w:w="0" w:type="dxa"/>
              <w:right w:w="0" w:type="dxa"/>
            </w:tcMar>
            <w:vAlign w:val="center"/>
          </w:tcPr>
          <w:p>
            <w:pPr>
              <w:pStyle w:val="Normal"/>
              <w:bidi w:val="0"/>
              <w:jc w:val="left"/>
              <w:rPr/>
            </w:pPr>
            <w:r>
              <w:rPr/>
            </w:r>
          </w:p>
        </w:tc>
        <w:tc>
          <w:tcPr>
            <w:tcW w:w="871" w:type="dxa"/>
            <w:gridSpan w:val="3"/>
            <w:tcBorders>
              <w:top w:val="single" w:sz="6" w:space="0" w:color="CCCCCC"/>
              <w:left w:val="single" w:sz="6" w:space="0" w:color="CCCCCC"/>
              <w:right w:val="single" w:sz="6" w:space="0" w:color="CCCCCC"/>
            </w:tcBorders>
            <w:shd w:fill="FFFFFF" w:val="clear"/>
            <w:tcMar>
              <w:bottom w:w="0" w:type="dxa"/>
            </w:tcMar>
            <w:vAlign w:val="center"/>
          </w:tcPr>
          <w:p>
            <w:pPr>
              <w:pStyle w:val="TableContents"/>
              <w:bidi w:val="0"/>
              <w:spacing w:before="0" w:after="200"/>
              <w:jc w:val="left"/>
              <w:rPr/>
            </w:pPr>
            <w:r>
              <w:rPr/>
            </w:r>
          </w:p>
        </w:tc>
        <w:tc>
          <w:tcPr>
            <w:tcW w:w="1051" w:type="dxa"/>
            <w:gridSpan w:val="3"/>
            <w:vMerge w:val="continue"/>
            <w:tcBorders>
              <w:top w:val="single" w:sz="6" w:space="0" w:color="CCCCCC"/>
              <w:left w:val="single" w:sz="6" w:space="0" w:color="CCCCCC"/>
            </w:tcBorders>
            <w:shd w:fill="FFFFFF" w:val="clear"/>
            <w:tcMar>
              <w:top w:w="30" w:type="dxa"/>
              <w:bottom w:w="0" w:type="dxa"/>
              <w:right w:w="0" w:type="dxa"/>
            </w:tcMar>
            <w:vAlign w:val="center"/>
          </w:tcPr>
          <w:p>
            <w:pPr>
              <w:pStyle w:val="Normal"/>
              <w:bidi w:val="0"/>
              <w:jc w:val="left"/>
              <w:rPr/>
            </w:pPr>
            <w:r>
              <w:rPr/>
            </w:r>
          </w:p>
        </w:tc>
        <w:tc>
          <w:tcPr>
            <w:tcW w:w="1216" w:type="dxa"/>
            <w:gridSpan w:val="3"/>
            <w:tcBorders>
              <w:top w:val="single" w:sz="6" w:space="0" w:color="CCCCCC"/>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Income (Loss)</w:t>
            </w:r>
          </w:p>
        </w:tc>
        <w:tc>
          <w:tcPr>
            <w:tcW w:w="1141" w:type="dxa"/>
            <w:gridSpan w:val="3"/>
            <w:vMerge w:val="continue"/>
            <w:tcBorders>
              <w:top w:val="single" w:sz="6" w:space="0" w:color="CCCCCC"/>
              <w:left w:val="single" w:sz="6" w:space="0" w:color="CCCCCC"/>
              <w:right w:val="single" w:sz="6" w:space="0" w:color="CCCCCC"/>
            </w:tcBorders>
            <w:shd w:fill="FFFFFF" w:val="clear"/>
            <w:tcMar>
              <w:top w:w="30" w:type="dxa"/>
              <w:bottom w:w="0" w:type="dxa"/>
            </w:tcMar>
            <w:vAlign w:val="center"/>
          </w:tcPr>
          <w:p>
            <w:pPr>
              <w:pStyle w:val="Normal"/>
              <w:bidi w:val="0"/>
              <w:jc w:val="left"/>
              <w:rPr/>
            </w:pPr>
            <w:r>
              <w:rPr/>
            </w:r>
          </w:p>
        </w:tc>
      </w:tr>
      <w:tr>
        <w:trPr/>
        <w:tc>
          <w:tcPr>
            <w:tcW w:w="11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1006" w:type="dxa"/>
            <w:gridSpan w:val="3"/>
            <w:tcBorders>
              <w:top w:val="single" w:sz="8"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271,882,549</w:t>
            </w:r>
          </w:p>
        </w:tc>
        <w:tc>
          <w:tcPr>
            <w:tcW w:w="826" w:type="dxa"/>
            <w:gridSpan w:val="3"/>
            <w:tcBorders>
              <w:top w:val="single" w:sz="8"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$ 389,120</w:t>
            </w:r>
          </w:p>
        </w:tc>
        <w:tc>
          <w:tcPr>
            <w:tcW w:w="916" w:type="dxa"/>
            <w:gridSpan w:val="3"/>
            <w:tcBorders>
              <w:top w:val="single" w:sz="8"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15,152,630</w:t>
            </w:r>
          </w:p>
        </w:tc>
        <w:tc>
          <w:tcPr>
            <w:tcW w:w="736" w:type="dxa"/>
            <w:gridSpan w:val="3"/>
            <w:tcBorders>
              <w:top w:val="single" w:sz="8"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$ 77,948</w:t>
            </w:r>
          </w:p>
        </w:tc>
        <w:tc>
          <w:tcPr>
            <w:tcW w:w="826" w:type="dxa"/>
            <w:gridSpan w:val="3"/>
            <w:tcBorders>
              <w:top w:val="single" w:sz="8"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5,341,096</w:t>
            </w:r>
          </w:p>
        </w:tc>
        <w:tc>
          <w:tcPr>
            <w:tcW w:w="526" w:type="dxa"/>
            <w:gridSpan w:val="3"/>
            <w:tcBorders>
              <w:top w:val="single" w:sz="8"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$ 532</w:t>
            </w:r>
          </w:p>
        </w:tc>
        <w:tc>
          <w:tcPr>
            <w:tcW w:w="871" w:type="dxa"/>
            <w:gridSpan w:val="3"/>
            <w:tcBorders>
              <w:top w:val="single" w:sz="8"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051" w:type="dxa"/>
            <w:gridSpan w:val="3"/>
            <w:tcBorders>
              <w:top w:val="single" w:sz="8"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(387,314)</w:t>
            </w:r>
          </w:p>
        </w:tc>
        <w:tc>
          <w:tcPr>
            <w:tcW w:w="1216" w:type="dxa"/>
            <w:gridSpan w:val="3"/>
            <w:tcBorders>
              <w:top w:val="single" w:sz="8" w:space="0" w:color="000000"/>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(3)</w:t>
            </w:r>
          </w:p>
        </w:tc>
        <w:tc>
          <w:tcPr>
            <w:tcW w:w="1141" w:type="dxa"/>
            <w:gridSpan w:val="3"/>
            <w:tcBorders>
              <w:top w:val="single" w:sz="8" w:space="0" w:color="000000"/>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(387,317)</w:t>
            </w:r>
          </w:p>
        </w:tc>
      </w:tr>
      <w:tr>
        <w:trPr/>
        <w:tc>
          <w:tcPr>
            <w:tcW w:w="11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0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9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73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5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05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2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141" w:type="dxa"/>
            <w:gridSpan w:val="3"/>
            <w:tcBorders>
              <w:top w:val="single" w:sz="6" w:space="0" w:color="CCCCCC"/>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174</w:t>
            </w:r>
          </w:p>
        </w:tc>
      </w:tr>
      <w:tr>
        <w:trPr/>
        <w:tc>
          <w:tcPr>
            <w:tcW w:w="11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Stock Option Exercise</w:t>
            </w:r>
          </w:p>
        </w:tc>
        <w:tc>
          <w:tcPr>
            <w:tcW w:w="100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9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73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5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05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2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141" w:type="dxa"/>
            <w:gridSpan w:val="3"/>
            <w:tcBorders>
              <w:top w:val="single" w:sz="6" w:space="0" w:color="CCCCCC"/>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0"/>
              <w:jc w:val="right"/>
              <w:rPr>
                <w:color w:val="000000"/>
              </w:rPr>
            </w:pPr>
            <w:r>
              <w:rPr>
                <w:color w:val="000000"/>
              </w:rPr>
              <w:t>–</w:t>
            </w:r>
          </w:p>
        </w:tc>
      </w:tr>
      <w:tr>
        <w:trPr/>
        <w:tc>
          <w:tcPr>
            <w:tcW w:w="11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Accretion of preferred stock to redemption value (dividends)</w:t>
            </w:r>
          </w:p>
        </w:tc>
        <w:tc>
          <w:tcPr>
            <w:tcW w:w="100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4,783</w:t>
            </w:r>
          </w:p>
        </w:tc>
        <w:tc>
          <w:tcPr>
            <w:tcW w:w="9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73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5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before="0" w:after="0"/>
              <w:jc w:val="right"/>
              <w:rPr/>
            </w:pPr>
            <w:r>
              <w:rPr/>
            </w:r>
          </w:p>
          <w:p>
            <w:pPr>
              <w:pStyle w:val="TableContents"/>
              <w:bidi w:val="0"/>
              <w:spacing w:lineRule="auto" w:line="319" w:before="0" w:after="0"/>
              <w:jc w:val="right"/>
              <w:rPr>
                <w:color w:val="000000"/>
              </w:rPr>
            </w:pPr>
            <w:r>
              <w:rPr>
                <w:color w:val="000000"/>
              </w:rPr>
              <w:t>–</w:t>
            </w:r>
          </w:p>
        </w:tc>
        <w:tc>
          <w:tcPr>
            <w:tcW w:w="105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(4,792)</w:t>
            </w:r>
          </w:p>
        </w:tc>
        <w:tc>
          <w:tcPr>
            <w:tcW w:w="12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141" w:type="dxa"/>
            <w:gridSpan w:val="3"/>
            <w:tcBorders>
              <w:top w:val="single" w:sz="6" w:space="0" w:color="CCCCCC"/>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(4,792)</w:t>
            </w:r>
          </w:p>
        </w:tc>
      </w:tr>
      <w:tr>
        <w:trPr/>
        <w:tc>
          <w:tcPr>
            <w:tcW w:w="11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0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9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73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5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05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2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141" w:type="dxa"/>
            <w:gridSpan w:val="3"/>
            <w:tcBorders>
              <w:top w:val="single" w:sz="6" w:space="0" w:color="CCCCCC"/>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(402)</w:t>
            </w:r>
          </w:p>
        </w:tc>
      </w:tr>
      <w:tr>
        <w:trPr/>
        <w:tc>
          <w:tcPr>
            <w:tcW w:w="11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0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9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73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52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871"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color w:val="000000"/>
              </w:rPr>
            </w:pPr>
            <w:r>
              <w:rPr>
                <w:color w:val="000000"/>
              </w:rPr>
              <w:t>–</w:t>
            </w:r>
          </w:p>
        </w:tc>
        <w:tc>
          <w:tcPr>
            <w:tcW w:w="1051" w:type="dxa"/>
            <w:gridSpan w:val="3"/>
            <w:tcBorders>
              <w:top w:val="single" w:sz="6" w:space="0" w:color="CCCCCC"/>
              <w:left w:val="single" w:sz="6" w:space="0" w:color="CCCCCC"/>
            </w:tcBorders>
            <w:shd w:fill="FFFFFF" w:val="clear"/>
            <w:tcMar>
              <w:bottom w:w="0" w:type="dxa"/>
              <w:right w:w="0" w:type="dxa"/>
            </w:tcMar>
            <w:vAlign w:val="center"/>
          </w:tcPr>
          <w:p>
            <w:pPr>
              <w:pStyle w:val="TableContents"/>
              <w:bidi w:val="0"/>
              <w:spacing w:before="0" w:after="0"/>
              <w:jc w:val="right"/>
              <w:rPr/>
            </w:pPr>
            <w:r>
              <w:rPr/>
            </w:r>
          </w:p>
        </w:tc>
        <w:tc>
          <w:tcPr>
            <w:tcW w:w="1216" w:type="dxa"/>
            <w:gridSpan w:val="3"/>
            <w:tcBorders>
              <w:top w:val="single" w:sz="6" w:space="0" w:color="CCCCCC"/>
              <w:left w:val="single" w:sz="6" w:space="0" w:color="CCCCCC"/>
            </w:tcBorders>
            <w:shd w:fill="FFFFFF" w:val="clear"/>
            <w:tcMar>
              <w:top w:w="3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41" w:type="dxa"/>
            <w:gridSpan w:val="3"/>
            <w:tcBorders>
              <w:top w:val="single" w:sz="6" w:space="0" w:color="CCCCCC"/>
              <w:left w:val="single" w:sz="6" w:space="0" w:color="CCCCCC"/>
              <w:right w:val="single" w:sz="6" w:space="0" w:color="CCCCCC"/>
            </w:tcBorders>
            <w:shd w:fill="FFFFFF" w:val="clear"/>
            <w:tcMar>
              <w:top w:w="30" w:type="dxa"/>
              <w:bottom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171" w:type="dxa"/>
            <w:gridSpan w:val="3"/>
            <w:tcBorders>
              <w:top w:val="single" w:sz="6" w:space="0" w:color="CCCCCC"/>
              <w:left w:val="single" w:sz="6" w:space="0" w:color="CCCCCC"/>
              <w:bottom w:val="single" w:sz="6" w:space="0" w:color="CCCCCC"/>
            </w:tcBorders>
            <w:shd w:fill="FFFFFF" w:val="clear"/>
            <w:tcMar>
              <w:top w:w="30" w:type="dxa"/>
              <w:bottom w:w="3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006" w:type="dxa"/>
            <w:gridSpan w:val="3"/>
            <w:tcBorders>
              <w:top w:val="single" w:sz="6" w:space="0" w:color="CCCCCC"/>
              <w:left w:val="single" w:sz="6" w:space="0" w:color="CCCCCC"/>
              <w:bottom w:val="single" w:sz="12" w:space="0" w:color="000000"/>
            </w:tcBorders>
            <w:shd w:fill="FFFFFF" w:val="clear"/>
            <w:tcMar>
              <w:top w:w="3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271,882,549</w:t>
            </w:r>
          </w:p>
        </w:tc>
        <w:tc>
          <w:tcPr>
            <w:tcW w:w="826" w:type="dxa"/>
            <w:gridSpan w:val="3"/>
            <w:tcBorders>
              <w:top w:val="single" w:sz="6" w:space="0" w:color="CCCCCC"/>
              <w:left w:val="single" w:sz="6" w:space="0" w:color="CCCCCC"/>
              <w:bottom w:val="single" w:sz="12" w:space="0" w:color="000000"/>
            </w:tcBorders>
            <w:shd w:fill="FFFFFF" w:val="clear"/>
            <w:tcMar>
              <w:top w:w="30" w:type="dxa"/>
              <w:bottom w:w="3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$ 393,903</w:t>
            </w:r>
          </w:p>
        </w:tc>
        <w:tc>
          <w:tcPr>
            <w:tcW w:w="916" w:type="dxa"/>
            <w:gridSpan w:val="3"/>
            <w:tcBorders>
              <w:top w:val="single" w:sz="6" w:space="0" w:color="CCCCCC"/>
              <w:left w:val="single" w:sz="6" w:space="0" w:color="CCCCCC"/>
              <w:bottom w:val="single" w:sz="12" w:space="0" w:color="000000"/>
            </w:tcBorders>
            <w:shd w:fill="FFFFFF" w:val="clear"/>
            <w:tcMar>
              <w:top w:w="30" w:type="dxa"/>
              <w:bottom w:w="3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15,152,630</w:t>
            </w:r>
          </w:p>
        </w:tc>
        <w:tc>
          <w:tcPr>
            <w:tcW w:w="736" w:type="dxa"/>
            <w:gridSpan w:val="3"/>
            <w:tcBorders>
              <w:top w:val="single" w:sz="6" w:space="0" w:color="CCCCCC"/>
              <w:left w:val="single" w:sz="6" w:space="0" w:color="CCCCCC"/>
              <w:bottom w:val="single" w:sz="12" w:space="0" w:color="000000"/>
            </w:tcBorders>
            <w:shd w:fill="FFFFFF" w:val="clear"/>
            <w:tcMar>
              <w:top w:w="30" w:type="dxa"/>
              <w:bottom w:w="3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$ 77,848</w:t>
            </w:r>
          </w:p>
        </w:tc>
        <w:tc>
          <w:tcPr>
            <w:tcW w:w="826" w:type="dxa"/>
            <w:gridSpan w:val="3"/>
            <w:tcBorders>
              <w:top w:val="single" w:sz="6" w:space="0" w:color="CCCCCC"/>
              <w:left w:val="single" w:sz="6" w:space="0" w:color="CCCCCC"/>
              <w:bottom w:val="single" w:sz="12" w:space="0" w:color="000000"/>
            </w:tcBorders>
            <w:shd w:fill="FFFFFF" w:val="clear"/>
            <w:tcMar>
              <w:top w:w="3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5,341,096</w:t>
            </w:r>
          </w:p>
        </w:tc>
        <w:tc>
          <w:tcPr>
            <w:tcW w:w="526" w:type="dxa"/>
            <w:gridSpan w:val="3"/>
            <w:tcBorders>
              <w:top w:val="single" w:sz="6" w:space="0" w:color="CCCCCC"/>
              <w:left w:val="single" w:sz="6" w:space="0" w:color="CCCCCC"/>
              <w:bottom w:val="single" w:sz="12" w:space="0" w:color="000000"/>
            </w:tcBorders>
            <w:shd w:fill="FFFFFF" w:val="clear"/>
            <w:tcMar>
              <w:top w:w="30" w:type="dxa"/>
              <w:bottom w:w="3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$ 532</w:t>
            </w:r>
          </w:p>
        </w:tc>
        <w:tc>
          <w:tcPr>
            <w:tcW w:w="871" w:type="dxa"/>
            <w:gridSpan w:val="3"/>
            <w:tcBorders>
              <w:top w:val="single" w:sz="6" w:space="0" w:color="CCCCCC"/>
              <w:left w:val="single" w:sz="6" w:space="0" w:color="CCCCCC"/>
              <w:bottom w:val="single" w:sz="12" w:space="0" w:color="000000"/>
            </w:tcBorders>
            <w:shd w:fill="FFFFFF" w:val="clear"/>
            <w:tcMar>
              <w:top w:w="3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051" w:type="dxa"/>
            <w:gridSpan w:val="3"/>
            <w:tcBorders>
              <w:top w:val="single" w:sz="6" w:space="0" w:color="CCCCCC"/>
              <w:left w:val="single" w:sz="6" w:space="0" w:color="CCCCCC"/>
              <w:bottom w:val="single" w:sz="12" w:space="0" w:color="000000"/>
            </w:tcBorders>
            <w:shd w:fill="FFFFFF" w:val="clear"/>
            <w:tcMar>
              <w:top w:w="30" w:type="dxa"/>
              <w:bottom w:w="3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(392,508)</w:t>
            </w:r>
          </w:p>
        </w:tc>
        <w:tc>
          <w:tcPr>
            <w:tcW w:w="1216" w:type="dxa"/>
            <w:gridSpan w:val="3"/>
            <w:tcBorders>
              <w:top w:val="single" w:sz="6" w:space="0" w:color="CCCCCC"/>
              <w:left w:val="single" w:sz="6" w:space="0" w:color="CCCCCC"/>
              <w:bottom w:val="single" w:sz="12" w:space="0" w:color="000000"/>
            </w:tcBorders>
            <w:shd w:fill="FFFFFF" w:val="clear"/>
            <w:tcMar>
              <w:top w:w="30" w:type="dxa"/>
              <w:bottom w:w="30" w:type="dxa"/>
              <w:right w:w="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$ 1</w:t>
            </w:r>
          </w:p>
        </w:tc>
        <w:tc>
          <w:tcPr>
            <w:tcW w:w="1141" w:type="dxa"/>
            <w:gridSpan w:val="3"/>
            <w:tcBorders>
              <w:top w:val="single" w:sz="6" w:space="0" w:color="CCCCCC"/>
              <w:left w:val="single" w:sz="6" w:space="0" w:color="CCCCCC"/>
              <w:bottom w:val="single" w:sz="12" w:space="0" w:color="000000"/>
              <w:right w:val="single" w:sz="6" w:space="0" w:color="CCCCCC"/>
            </w:tcBorders>
            <w:shd w:fill="FFFFFF" w:val="clear"/>
            <w:tcMar>
              <w:top w:w="30" w:type="dxa"/>
              <w:bottom w:w="30" w:type="dxa"/>
            </w:tcMar>
            <w:vAlign w:val="center"/>
          </w:tcPr>
          <w:p>
            <w:pPr>
              <w:pStyle w:val="TableContents"/>
              <w:bidi w:val="0"/>
              <w:spacing w:lineRule="auto" w:line="319" w:before="0" w:after="0"/>
              <w:jc w:val="right"/>
              <w:rPr>
                <w:rFonts w:ascii="Times New Roman;serif" w:hAnsi="Times New Roman;serif"/>
                <w:b/>
                <w:color w:val="000000"/>
                <w:sz w:val="16"/>
              </w:rPr>
            </w:pPr>
            <w:r>
              <w:rPr>
                <w:rFonts w:ascii="Times New Roman;serif" w:hAnsi="Times New Roman;serif"/>
                <w:b/>
                <w:color w:val="000000"/>
                <w:sz w:val="16"/>
              </w:rPr>
              <w:t>$ (392,333)</w:t>
            </w:r>
          </w:p>
        </w:tc>
      </w:tr>
    </w:tbl>
    <w:p>
      <w:pPr>
        <w:pStyle w:val="TextBody"/>
        <w:bidi w:val="0"/>
        <w:spacing w:before="0" w:after="200"/>
        <w:jc w:val="left"/>
        <w:rPr/>
      </w:pPr>
      <w:r>
        <w:rPr/>
      </w:r>
    </w:p>
    <w:p>
      <w:pPr>
        <w:pStyle w:val="TextBody"/>
        <w:bidi w:val="0"/>
        <w:spacing w:lineRule="auto" w:line="288" w:before="280" w:after="283"/>
        <w:jc w:val="center"/>
        <w:rPr/>
      </w:pPr>
      <w:r>
        <w:rPr>
          <w:color w:val="000000"/>
        </w:rPr>
        <w:t>    </w:t>
      </w:r>
      <w:r>
        <w:rPr>
          <w:rFonts w:ascii="Times New Roman;serif" w:hAnsi="Times New Roman;serif"/>
          <w:b w:val="false"/>
          <w:color w:val="000000"/>
          <w:sz w:val="18"/>
        </w:rPr>
        <w:t>The accompanying notes are an integral part of these consolidated financial statements</w:t>
      </w:r>
    </w:p>
    <w:p>
      <w:pPr>
        <w:pStyle w:val="TextBody"/>
        <w:bidi w:val="0"/>
        <w:spacing w:before="2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14960"/>
                <wp:effectExtent l="0" t="0" r="0" b="0"/>
                <wp:wrapNone/>
                <wp:docPr id="47" name="Frame4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F-4</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Interactions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319" w:before="0" w:after="20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214" w:type="dxa"/>
        <w:jc w:val="left"/>
        <w:tblInd w:w="0" w:type="dxa"/>
        <w:tblLayout w:type="fixed"/>
        <w:tblCellMar>
          <w:top w:w="28" w:type="dxa"/>
          <w:left w:w="28" w:type="dxa"/>
          <w:bottom w:w="28" w:type="dxa"/>
          <w:right w:w="28" w:type="dxa"/>
        </w:tblCellMar>
      </w:tblPr>
      <w:tblGrid>
        <w:gridCol w:w="2260"/>
        <w:gridCol w:w="1982"/>
        <w:gridCol w:w="1997"/>
        <w:gridCol w:w="109"/>
        <w:gridCol w:w="109"/>
        <w:gridCol w:w="109"/>
        <w:gridCol w:w="247"/>
        <w:gridCol w:w="247"/>
        <w:gridCol w:w="247"/>
        <w:gridCol w:w="305"/>
        <w:gridCol w:w="251"/>
        <w:gridCol w:w="351"/>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4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4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(502)</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48" w:type="dxa"/>
            <w:gridSpan w:val="6"/>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2,367</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28</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Revaluation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(1,091)</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174</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246</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(433)</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48" w:type="dxa"/>
            <w:gridSpan w:val="6"/>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1,337</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Unbilled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504</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(207)</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2,871</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(496)</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(1,159)</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(366)</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907"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5,517</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4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(306)</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(1,495)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907"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(1,801)</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4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Non-Cash Equity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7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9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7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9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3,707</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7,176</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7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10,887</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648" w:type="dxa"/>
            <w:gridSpan w:val="6"/>
            <w:tcBorders>
              <w:top w:val="double" w:sz="6"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2,833</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71</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48" w:type="dxa"/>
            <w:gridSpan w:val="6"/>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preferred stock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4,783</w:t>
            </w:r>
          </w:p>
        </w:tc>
      </w:tr>
    </w:tbl>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22960"/>
                <wp:effectExtent l="0" t="0" r="0" b="0"/>
                <wp:wrapNone/>
                <wp:docPr id="48" name="Frame46"/>
                <a:graphic xmlns:a="http://schemas.openxmlformats.org/drawingml/2006/main">
                  <a:graphicData uri="http://schemas.microsoft.com/office/word/2010/wordprocessingShape">
                    <wps:wsp>
                      <wps:cNvSpPr txBox="1"/>
                      <wps:spPr>
                        <a:xfrm>
                          <a:off x="0" y="0"/>
                          <a:ext cx="6480175" cy="822960"/>
                        </a:xfrm>
                        <a:prstGeom prst="rect"/>
                        <a:solidFill>
                          <a:srgbClr val="FFFFFF"/>
                        </a:solidFill>
                      </wps:spPr>
                      <wps:txb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F-5</w:t>
                            </w:r>
                            <w:r>
                              <w:br w:type="page"/>
                            </w:r>
                          </w:p>
                          <w:p>
                            <w:pPr>
                              <w:pStyle w:val="TextBody"/>
                              <w:bidi w:val="0"/>
                              <w:spacing w:before="24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19" w:before="240" w:after="200"/>
                        <w:jc w:val="center"/>
                        <w:rPr>
                          <w:rFonts w:ascii="sans-serif" w:hAnsi="sans-serif"/>
                          <w:b w:val="false"/>
                          <w:color w:val="000000"/>
                          <w:sz w:val="22"/>
                        </w:rPr>
                      </w:pPr>
                      <w:r>
                        <w:rPr>
                          <w:rFonts w:ascii="sans-serif" w:hAnsi="sans-serif"/>
                          <w:b w:val="false"/>
                          <w:color w:val="000000"/>
                          <w:sz w:val="22"/>
                        </w:rPr>
                        <w:t>F-5</w:t>
                      </w:r>
                    </w:p>
                    <w:p>
                      <w:pPr>
                        <w:pStyle w:val="TextBody"/>
                        <w:bidi w:val="0"/>
                        <w:spacing w:before="240" w:after="20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Interactions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2025</w:t>
      </w:r>
    </w:p>
    <w:p>
      <w:pPr>
        <w:pStyle w:val="TextBody"/>
        <w:bidi w:val="0"/>
        <w:spacing w:before="0" w:after="0"/>
        <w:jc w:val="center"/>
        <w:rPr/>
      </w:pPr>
      <w:r>
        <w:rPr/>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 xml:space="preserve">NOTE 1. Nature of Business and Organization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December 2014, Interactions Corporation (“the Company”), which was originally incorporated in March 2005 in the State of Delaware, executed a corporate reorganization (the “Reorganization”), forming a holding company and merging the business into Interactions LLC (the “LLC”), a controlled subsidiary. Following the Reorganization, the Company became a holding corporation whose sole material asset is the controlling equity interest in the LLC, which became the operating entity. In July 2019, the Company established Interactions Virtual Assistant India LLP (“IVAI LLP”), which is a subsidiary of and operated by the LLC. As the managing member of the LLC, the Company operates and controls all of the business and affairs of the LLC.</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is a leading provider of conversational Virtual Assistance applications. The Company’s applications enable companies to automate and manage their customer interactions and overall customer care, while decreasing their costs, through a combination of an advanced automation platform, advanced speech recognition technology, human assisted understanding and workflow management. The Company’s Virtual Assistant applications significantly improve self-service for customer-care. The Company provides customers with an unobstructed path to easily accomplish their goals allowing businesses to realize the full economic benefits of self-service. The result is a significantly improved customer experience, an increase in customer loyalty and significant reduction in overall costs.</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the Company, the LLC, and its wholly owned subsidiary in India (IVAI LLP). These condensed consolidated financial statements should be read in conjunction with the consolidated financial statements and related notes contained in the Company’s annual financial statements for the year ended December 31, 2024.</w: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disclosed its significant accounting policies in Note 2 – Summary of Significant Accounting Policies included in the Company’s annual financial statements for the year ended December 31, 2024 included elsewhere in this filing. With the exception of the significant accounting policies disclosed below, there have been no material changes to the Company’s significant accounting policies disclosed in Note 2 – Summary of Significant Accounting Policies included in the Company’s annual financial statements for the year ended December 31,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interim condensed consolidated financial statements including the accounts of Interactions and its wholly owned subsidiaries have been prepared in conformity with accounting principles generally accepted in the United States of America ("U.S. GAAP") and applicable rules and regulations of the Securities and Exchange Commission (“SEC”) regarding interim financial reporting. All intercompany balances and transactions have been eliminated in consolidation. Accordingly, these financial statements do not include all the information and footnotes required for complete financial statements and should be read in conjunction with the audited consolidated financial statements of the Company and the accompanying notes thereto for the year </w:t>
      </w:r>
    </w:p>
    <w:p>
      <w:pPr>
        <w:pStyle w:val="TextBody"/>
        <w:bidi w:val="0"/>
        <w:spacing w:before="0" w:after="20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7820"/>
                <wp:effectExtent l="0" t="0" r="0" b="0"/>
                <wp:wrapNone/>
                <wp:docPr id="49" name="Frame4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F-6</w:t>
                      </w:r>
                    </w:p>
                  </w:txbxContent>
                </v:textbox>
                <w10:wrap type="none"/>
              </v:rect>
            </w:pict>
          </mc:Fallback>
        </mc:AlternateContent>
      </w:r>
    </w:p>
    <w:p>
      <w:pPr>
        <w:pStyle w:val="TextBody"/>
        <w:bidi w:val="0"/>
        <w:spacing w:lineRule="auto" w:line="319" w:before="120" w:after="283"/>
        <w:jc w:val="both"/>
        <w:rPr>
          <w:rFonts w:ascii="Times New Roman;serif" w:hAnsi="Times New Roman;serif"/>
          <w:b w:val="false"/>
          <w:color w:val="000000"/>
          <w:sz w:val="20"/>
        </w:rPr>
      </w:pPr>
      <w:r>
        <w:rPr>
          <w:rFonts w:ascii="Times New Roman;serif" w:hAnsi="Times New Roman;serif"/>
          <w:b w:val="false"/>
          <w:color w:val="000000"/>
          <w:sz w:val="20"/>
        </w:rPr>
        <w:t>ended December 31, 2024. In the opinion of management, all adjustments (consisting of normal recurring adjustments) necessary for a fair statement have been included in these financial statements. The results for operations for six months ended June 30, 2025 are not necessarily indicative of the results for the fiscal year ending December 31, 2024 or any future interim period.</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significant estimates and assumptions that affect the reported amounts of assets and liabilities and disclosure of contingent assets and liabilities at the date of the financial statements and the reported amounts of revenues and expenses during the reporting periods. On a regular basis, management evaluates these estimates and assumptions. Actual results may differ from these estimates, and such differences could be material to consolidated financial statements.</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At June 30, 2025, the Company had an accumulated deficit of $392.5 million and in the six months ended, the Company generated net loss of $ 0.5 million which includes $2.4 million of depreciation and amortization. The Company generated $5.5 million from operating activities and used $1.8 million of cash flows for its investing activities. At June 30, 2025, the Company held $10.9 million in cash and cash equivalents. The Company expects that cash and cash equivalents at June 30, 2025, along with forecasted cash flows from operations, will be sufficient to fund current operating plans and capital expenditure requirements for at least twelve months from the date of issuance of the financial statements.</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Concentrations of Credit Risk and Off-Balance Sheet Risk</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credit risk primarily consist of cash and cash equivalents and accounts receivable. The Company maintains its cash and cash equivalents with high-quality financial institutions and such funds at times may exceed federally insured limits. The Company has not experienced any losses in such accounts. During six months ended June 2025, one customer accounting for more than 10% of overall revenue represented 23% of total revenue, was as follows:</w:t>
      </w:r>
    </w:p>
    <w:tbl>
      <w:tblPr>
        <w:tblW w:w="2640" w:type="dxa"/>
        <w:jc w:val="left"/>
        <w:tblInd w:w="0" w:type="dxa"/>
        <w:tblLayout w:type="fixed"/>
        <w:tblCellMar>
          <w:top w:w="28" w:type="dxa"/>
          <w:left w:w="28" w:type="dxa"/>
          <w:bottom w:w="28" w:type="dxa"/>
          <w:right w:w="28" w:type="dxa"/>
        </w:tblCellMar>
      </w:tblPr>
      <w:tblGrid>
        <w:gridCol w:w="391"/>
        <w:gridCol w:w="344"/>
        <w:gridCol w:w="345"/>
        <w:gridCol w:w="455"/>
        <w:gridCol w:w="455"/>
        <w:gridCol w:w="65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Six Month ended</w:t>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08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1560"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c>
      </w:tr>
    </w:tbl>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As of June 30, 2025, three customers accounting for more than 10% of total accounts receivables, were as follows:</w:t>
      </w:r>
    </w:p>
    <w:tbl>
      <w:tblPr>
        <w:tblW w:w="2399" w:type="dxa"/>
        <w:jc w:val="left"/>
        <w:tblInd w:w="0" w:type="dxa"/>
        <w:tblLayout w:type="fixed"/>
        <w:tblCellMar>
          <w:top w:w="28" w:type="dxa"/>
          <w:left w:w="28" w:type="dxa"/>
          <w:bottom w:w="28" w:type="dxa"/>
          <w:right w:w="28" w:type="dxa"/>
        </w:tblCellMar>
      </w:tblPr>
      <w:tblGrid>
        <w:gridCol w:w="391"/>
        <w:gridCol w:w="344"/>
        <w:gridCol w:w="345"/>
        <w:gridCol w:w="384"/>
        <w:gridCol w:w="384"/>
        <w:gridCol w:w="55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08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provides credit in the normal course of business and performs ongoing evaluations of its customers’ financial condition.</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20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2560"/>
                <wp:effectExtent l="0" t="0" r="0" b="0"/>
                <wp:wrapNone/>
                <wp:docPr id="50" name="Frame4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F-7</w:t>
                      </w:r>
                    </w:p>
                  </w:txbxContent>
                </v:textbox>
                <w10:wrap type="none"/>
              </v:rect>
            </w:pict>
          </mc:Fallback>
        </mc:AlternateConten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derives revenue primarily from application enabled services wherein the customer uses Company hosted software and direct support services to automate and manage their customer interactions. The Company’s revenue generating arrangements contain various contractual promises consisting of a term-based service contract and set-up and implementation services.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revenue recognition in accordance with FASB ASC Topic 606, Revenue from Contracts with Customers (ASC 606). In accordance with ASC 606, the Company recognizes revenue to depict the transfer of promised goods and services to customers in an amount that reflects the consideration to which we expect to be entitled in exchange for those goods using a five step model. The most critical judgments and estimates we make in the implementation of this model relate to identifying the performance obligations in the contract and allocation of the transaction price to the performance obligations. The transaction price is the amount of consideration to which an entity expects to be entitled in exchange for transferring promised goods or services to a customer. In determining the transaction price related to a contract, the Company also determines whether the amount promised in a contract includes a variable amount (variable consideration). The Company allocates the transaction price of the arrangement based on the relative estimated standalone selling price ("SSP") of each distinct performance obligation. </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SSP, the Company maximizes observable inputs and considers a number of data points, including: the pricing of standalone sales (in the instances where available); the pricing established by management when setting prices for deliverables that are intended to be sold on a standalone basis; contractually stated prices for deliverables that are intended to be sold on a standalone basis; and other pricing factors, such as expected discounts based on the customer size and type. The Company only includes estimated amounts of variable consideration in the transaction price to the extent it is probable that a significant reversal of cumulative revenue recognized will not occur when the uncertainty associated with the variable consideration is resolved. The Company reduces transaction prices for estimated discounts and other allowances that represent variable consideration under ASC 606. Other forms of contingent revenue or variable consideration are infrequent. </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these products and services is transferred to our customers, in an amount that reflects the consideration the Company expects to be entitled to in exchange for those services. Hosted virtual assistant application revenues are recognized monthly as usage occurs approximated $26.2 million in revenues in the six months ended June 30, 2025. Professional services including amortization of deferred set up fees approximated to $4.2 million in revenues in the six months ended June 30, 2025. License revenue, which is recognized at a point in time, approximated $0.2 million in the six months ended June 30, 2025. Other revenues generally recognized over time approximated $1.7 million in revenues in the six months ended June 30, 2025.</w:t>
      </w:r>
    </w:p>
    <w:p>
      <w:pPr>
        <w:pStyle w:val="TextBody"/>
        <w:bidi w:val="0"/>
        <w:spacing w:lineRule="auto" w:line="319"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Hosted Virtual Assistant Applications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its revenue from the provision of application enabled services wherein the customer uses Company hosted software and direct support services to automate and manage their customer interactions. The application is provided on a usage basis as consumed along with an upfront implementation fee. Fees for the implementation services are based on fixed fee or time and material arrangements negotiated with the customers. Fees payable to the Company for the ongoing use of the application (i.e. call handling services) are usage based and the term for ongoing usage is generally month to month. </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concluded that these application enabled services arrangements qualify as Software as a Service arrangements versus being treated as a transfer of a license of intellectual property as the customer cannot take possession of the software contractually and the application is not transferrable to arrangements with other service providers. Furthermore the Company concluded that the implementation services and </w:t>
      </w:r>
    </w:p>
    <w:p>
      <w:pPr>
        <w:pStyle w:val="TextBody"/>
        <w:bidi w:val="0"/>
        <w:spacing w:before="0" w:after="20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2560"/>
                <wp:effectExtent l="0" t="0" r="0" b="0"/>
                <wp:wrapNone/>
                <wp:docPr id="51" name="Frame4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F-8</w:t>
                      </w:r>
                    </w:p>
                  </w:txbxContent>
                </v:textbox>
                <w10:wrap type="none"/>
              </v:rect>
            </w:pict>
          </mc:Fallback>
        </mc:AlternateContent>
      </w:r>
    </w:p>
    <w:p>
      <w:pPr>
        <w:pStyle w:val="TextBody"/>
        <w:bidi w:val="0"/>
        <w:spacing w:lineRule="auto" w:line="319" w:before="240" w:after="283"/>
        <w:jc w:val="both"/>
        <w:rPr>
          <w:rFonts w:ascii="Times New Roman;serif" w:hAnsi="Times New Roman;serif"/>
          <w:b w:val="false"/>
          <w:color w:val="000000"/>
          <w:sz w:val="20"/>
        </w:rPr>
      </w:pPr>
      <w:r>
        <w:rPr>
          <w:rFonts w:ascii="Times New Roman;serif" w:hAnsi="Times New Roman;serif"/>
          <w:b w:val="false"/>
          <w:color w:val="000000"/>
          <w:sz w:val="20"/>
        </w:rPr>
        <w:t>ongoing use of the hosted application are not distinct performance obligations as the implementation services are highly customized for each customer and only sold by the Company, the customer cannot use the application until the implementation services are complete and the implementation services do not provide benefit to the customer without the ongoing use of the hosted application service provided by the Company which is not a readily available resource.</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non-refundable upfront implementation fees are determined to provide the customer a material right during the period of use of the hosted application service and get recognized over the expected period of benefit, which is typically the estimated application life. The Company recognizes revenue for providing services delivered through the application as services over time. The revenue recognized in providing application-enabled services to the customer is recognized based on actual usage as each distinct day of service is completed. The Company does not consider set-up fees nor other upfront fees paid by our customers to be a significant financing component and consistent with industry practice.</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Professional services which are incurred after the application implementation process is complete are evaluated as to whether they enhance the functionality or extend the economic life of the application they relate to. Professional services incurred are recorded as deferred revenue and added to unamortized implementation services and amortized over the remaining expected useful life of the application. Other professional services are recognized as performed.</w:t>
      </w:r>
    </w:p>
    <w:p>
      <w:pPr>
        <w:pStyle w:val="TextBody"/>
        <w:bidi w:val="0"/>
        <w:spacing w:lineRule="auto" w:line="319"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On-Premise Software Arrangements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certain arrangements to provide on premise software licenses of Interaction’s technology. The license revenue is recognized at the point in time when the software is made available to the customer and control is transferred. In connection with the license arrangements, the Company offers professional services towards the customization and development of the software. Revenue from distinct professional services, including training, is recognized over time based on the labor hours incurred to date. </w:t>
      </w:r>
    </w:p>
    <w:p>
      <w:pPr>
        <w:pStyle w:val="TextBody"/>
        <w:bidi w:val="0"/>
        <w:spacing w:lineRule="auto" w:line="319"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Social Media Software and Support</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provides customers with social media monitoring software and support services. The contract terms are one year or less. The license revenue is recognized at the point in time when the software is made available to the customer and control is transferred. Social Media platform customers receive professional services from a social media team that provides social media and software support from a business analyst. Revenue for the services is recognized over time based on the labor hours incurred to date.</w:t>
      </w:r>
    </w:p>
    <w:p>
      <w:pPr>
        <w:pStyle w:val="TextBody"/>
        <w:bidi w:val="0"/>
        <w:spacing w:lineRule="auto" w:line="319"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 Acquisition Costs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certain contract acquisition costs. The capitalized costs relate to paid commissions and other direct, incremental costs to acquire customer contracts. The Company had $0.7 million of current contract acquisition costs and $0.01 million of non-current contract acquisition costs, as of June 30, 2025, which are classified within deferred contract costs on the consolidated balance sheet. The Company had amortization expense of $0.2 million related to contract acquisition costs for the six months ended June 30, 2025. Commission expenses are included in the sales and marketing expenses on the consolidated statements of operations. There was no impairment related to commission costs capitalized. </w:t>
      </w:r>
    </w:p>
    <w:p>
      <w:pPr>
        <w:pStyle w:val="TextBody"/>
        <w:bidi w:val="0"/>
        <w:spacing w:lineRule="auto" w:line="319"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 Fulfillment Costs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prior periods, the Company capitalizes incremental costs incurred to fulfill our contracts that (1) relate directly to the contract, (2) are expected to generate resources that will be used to satisfy our </w:t>
      </w:r>
    </w:p>
    <w:p>
      <w:pPr>
        <w:pStyle w:val="TextBody"/>
        <w:bidi w:val="0"/>
        <w:spacing w:before="0" w:after="20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2560"/>
                <wp:effectExtent l="0" t="0" r="0" b="0"/>
                <wp:wrapNone/>
                <wp:docPr id="52" name="Frame5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F-9</w:t>
                      </w:r>
                    </w:p>
                  </w:txbxContent>
                </v:textbox>
                <w10:wrap type="none"/>
              </v:rect>
            </w:pict>
          </mc:Fallback>
        </mc:AlternateContent>
      </w:r>
    </w:p>
    <w:p>
      <w:pPr>
        <w:pStyle w:val="TextBody"/>
        <w:bidi w:val="0"/>
        <w:spacing w:lineRule="auto" w:line="319"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obligation under the contract, and (3) are expected to be recovered through revenue generated under the contract. These costs are incurred to satisfy our stand-ready obligation to provide access to our connected offerings. The contract costs are expensed to costs of revenue as we satisfy our stand-ready obligation over the expected period of benefit, which is the longer of the contract life or expected life of the customer application. </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All advance payments and costs of implementation services reported in the accompanying balance sheets as deferred revenue and deferred contract costs, respectively, are deferred until the setup is complete and the application hosting service commences.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At the outset of an agreement and on a quarterly basis, the Company performs an assessment to ensure the recoverability of net margin costs on an application by application basis.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Factors to be considered when performing this ongoing quarterly assessment includes (1) the terms of the contractual arrangement with the customer (2) the amount of nonrefundable deferred revenue, if any, recorded in connection with the transaction and (3) the estimated future call revenues associated with this customer application. Capitalized costs that are less than or equal to an amount of deferred revenue recorded for professional services “set-up” fees are generally considered recoverable through the future recognition of the deferred professional service set-up fee revenue.</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When capitalized costs exceed deferred revenue a more detailed recoverability analysis is performed. In order to conclude these capitalized costs can be recovered, the Company considers the following additional factors:</w:t>
      </w:r>
    </w:p>
    <w:p>
      <w:pPr>
        <w:pStyle w:val="TextBody"/>
        <w:bidi w:val="0"/>
        <w:spacing w:lineRule="auto" w:line="319"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a)Whether a legally enforceable contractual arrangement exists and whether management would have the ability and intent to enforce collection of any deferred costs; and</w:t>
      </w:r>
    </w:p>
    <w:p>
      <w:pPr>
        <w:pStyle w:val="TextBody"/>
        <w:bidi w:val="0"/>
        <w:spacing w:lineRule="auto" w:line="319"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b)Whether objective evidence exists supporting the premise that net revenue less related direct costs of future revenues will exceed the amount of net costs then capitalized based on the terms of the contractual arrangement and life of the customer application. Future operating margins may consider revenue and related costs in excess of contractual minimums if those revenue and costs are probable of occurring, reliably estimable and are objectively supportable; and</w:t>
      </w:r>
    </w:p>
    <w:p>
      <w:pPr>
        <w:pStyle w:val="TextBody"/>
        <w:bidi w:val="0"/>
        <w:spacing w:lineRule="auto" w:line="319"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actual call volumes and revenue received to date for call processing transaction fees, and whether actual revenue experience supports future estimated revenue assumptions and thus continues to support the recoverability of deferred costs.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instances where there are concerns as to the recoverability of capitalized net deferred costs, the Company’s policy is to expense these costs as incurred and write-down net deferred contract costs within the period the concern as to recoverability first became known. In instances where there are contractual terminations, the Company recognizes any deferred application revenue and writes off any deferred contract costs in the period the termination occurred. The Company recognized deferred application revenue of $0.1 million for six months ended June 30, 2025, to revenue upon contract terminations. The Company recognized deferred contract costs of $0.1 million for the six months ended June 30 2025, to cost of services provided, upon contract terminations or issues related to recoverability of previously capitalized deferred contract costs.</w:t>
      </w:r>
    </w:p>
    <w:p>
      <w:pPr>
        <w:pStyle w:val="TextBody"/>
        <w:bidi w:val="0"/>
        <w:spacing w:lineRule="auto" w:line="319"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Deferred Revenue</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which is a contract liability, consists primarily of payments received and accounts receivable recorded in advance of revenue recognition under the Company’s contracts with customers and is recognized as the revenue recognition criteria are met. As of December 31, 2024, Deferred revenue current and </w:t>
      </w:r>
    </w:p>
    <w:p>
      <w:pPr>
        <w:pStyle w:val="TextBody"/>
        <w:bidi w:val="0"/>
        <w:spacing w:before="0" w:after="20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2560"/>
                <wp:effectExtent l="0" t="0" r="0" b="0"/>
                <wp:wrapNone/>
                <wp:docPr id="53" name="Frame5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F-10</w:t>
                      </w:r>
                    </w:p>
                  </w:txbxContent>
                </v:textbox>
                <w10:wrap type="none"/>
              </v:rect>
            </w:pict>
          </mc:Fallback>
        </mc:AlternateContent>
      </w:r>
    </w:p>
    <w:p>
      <w:pPr>
        <w:pStyle w:val="TextBody"/>
        <w:bidi w:val="0"/>
        <w:spacing w:lineRule="auto" w:line="319" w:before="120" w:after="283"/>
        <w:jc w:val="both"/>
        <w:rPr>
          <w:rFonts w:ascii="Times New Roman;serif" w:hAnsi="Times New Roman;serif"/>
          <w:b w:val="false"/>
          <w:color w:val="000000"/>
          <w:sz w:val="20"/>
        </w:rPr>
      </w:pPr>
      <w:r>
        <w:rPr>
          <w:rFonts w:ascii="Times New Roman;serif" w:hAnsi="Times New Roman;serif"/>
          <w:b w:val="false"/>
          <w:color w:val="000000"/>
          <w:sz w:val="20"/>
        </w:rPr>
        <w:t>noncurrent totaled $1.9 million and $5.3 million respectively. During six months ended June 30, 2025, the Company recognized revenue of $2.4 million that was included in the deferred revenue balance at the beginning of the year.</w:t>
      </w:r>
    </w:p>
    <w:p>
      <w:pPr>
        <w:pStyle w:val="TextBody"/>
        <w:bidi w:val="0"/>
        <w:spacing w:lineRule="auto" w:line="319"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Unbilled Receivables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Unbilled receivables are recorded when revenue recognized on a contract exceeds the billings to date for that contract and the right to consideration is unconditional when only passage of time is required before payment of that consideration is due. Unbilled receivables totaled $3.5 million as of June 30, 2025, and were recorded on the condensed consolidated balance sheet. </w:t>
      </w:r>
    </w:p>
    <w:p>
      <w:pPr>
        <w:pStyle w:val="TextBody"/>
        <w:bidi w:val="0"/>
        <w:spacing w:lineRule="auto" w:line="319"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Remaining Performance Obligations</w:t>
      </w:r>
    </w:p>
    <w:p>
      <w:pPr>
        <w:pStyle w:val="TextBody"/>
        <w:bidi w:val="0"/>
        <w:spacing w:lineRule="auto" w:line="312" w:before="120" w:after="200"/>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As of June 30, 2025, the aggregate amount of the transaction price allocated to remaining performance obligations of the contracts with the customers is $6.5 million. The Company expects to recognize 70.1% of the remaining performance obligations as revenue over the next twelve months, and 29.9% in following months, with the remainder recognized thereafter. The amounts disclosed do not include variable consideration constrained under ASC 606, nor do they include contracts with an original expected duration of one year or less, consistent with the Company’s application of the practical expedient in ASC 606-10-50-14. </w:t>
      </w:r>
    </w:p>
    <w:p>
      <w:pPr>
        <w:pStyle w:val="TextBody"/>
        <w:bidi w:val="0"/>
        <w:spacing w:lineRule="auto" w:line="312" w:before="36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312" w:before="120" w:after="200"/>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the Black-Scholes option-pricing model to determine the weighted-average fair value of options and recognizes stock-based compensation expense on a straight-line basis over the requisite service period of the award. Total stock-based compensation expense in the six months ended June 30, 2025 was $0.2 million. </w:t>
      </w:r>
    </w:p>
    <w:p>
      <w:pPr>
        <w:pStyle w:val="TextBody"/>
        <w:bidi w:val="0"/>
        <w:spacing w:lineRule="auto" w:line="312" w:before="360" w:after="283"/>
        <w:ind w:left="0" w:right="0" w:hanging="187"/>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312" w:before="120" w:after="200"/>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Research and development costs consist primarily of employee compensation related costs associated with new product development and enhancements to existing software products.</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charges the costs of advertising to operating expenses as incurred. Advertising expenses were $0.6 million for six months ended June 30, 2025. </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Accounts Receivable Securitization</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an accounts receivable facility with a financial institution to sell accounts receivable under a non-recourse agreement. These transactions are treated as transfer and are accounted for as a reduction in accounts receivable because the agreements transfer effective control over and risk related to the receivables to the buyers. Thus, cash proceeds from these arrangements are reflected as operating activities, including the change of accounts receivable in our statement of cash flows each period. The Company does not service any accounts after the transfer has occurred. The Company does not have any servicing assets or liabilities. </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the Company has ongoing service obligations related to the invoices which were transferred, the proceeds received when those invoices are sold to the financial institution are recorded as borrowings on the Company’s balance sheet and treated like a financing activity for cash flow purposes until such services are completed or payment is received at the financing institution by the customer. The aggregate gross amount </w:t>
      </w:r>
    </w:p>
    <w:p>
      <w:pPr>
        <w:pStyle w:val="TextBody"/>
        <w:bidi w:val="0"/>
        <w:spacing w:before="0" w:after="20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2560"/>
                <wp:effectExtent l="0" t="0" r="0" b="0"/>
                <wp:wrapNone/>
                <wp:docPr id="54" name="Frame5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F-11</w:t>
                      </w:r>
                    </w:p>
                  </w:txbxContent>
                </v:textbox>
                <w10:wrap type="none"/>
              </v:rect>
            </w:pict>
          </mc:Fallback>
        </mc:AlternateContent>
      </w:r>
    </w:p>
    <w:p>
      <w:pPr>
        <w:pStyle w:val="TextBody"/>
        <w:bidi w:val="0"/>
        <w:spacing w:lineRule="auto" w:line="319"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transferred under these facilities was $5.8 million for the six months ended June 30, 2025. The Company’s loss on these transactions, the cost of transferring such accounts receivable, is reflected in the accompanying consolidated statements of operations as an operating expense. The cost of transferring such accounts receivable for the six months ended June 30, 2025 was $0.06 million. At six months ended June 30, 2025, there were no outstanding receivables accounted for as financings. </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Recently Accounting Pronouncements-Not Yet Adopted</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 In January 2025, the FASB issued amendment to ASU No. 2024-03 to clarify that all public business entities are required to adopt the guidance in annual reporting periods beginning after December 15, 2026, and interim periods within annual reporting periods beginning after December 15, 2027. Early adoption of Update 2024-03 is permitted. The Company is currently evaluating the guidance in Update 2024-03 to determine the potential impact on its consolidated financial statement disclosures.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issued Accounting Standards Update No. 2024-03.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evaluating the impact that the updated standard will have on the financial statement disclosures.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issued Accounting Standards Update No. 2025-05. The standard is intended to provide a practical expedient for all entities and an accounting policy election available to all entities other than public business entities related to the estimation of expected credit losses for current accounts receivable and current contract assets that arise from transactions accounted for under ASC 606. This ASU is effective for fiscal years beginning after December 15, 2025, and interim periods within those fiscal years. Early adoption is permitted. The amendments should be applied prospectively to financial statements issued for reporting periods after the effective date of this ASU. The Company is currently evaluating the impact that the updated standard will have on the financial statement disclosures.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Financial Accounting Standards Board issued Accounting Standards Update No. 2025-06. The standard modernizes the accounting for internal-use software costs by increasing the operability of the recognition guidance considering different methods of software development. ASU 2025-06, which can be applied prospectively, retrospectively, or with a modified transition approach, is effective for annual reporting beginning after December 15, 2027, and interim reporting periods within those annual reporting periods. The Company is currently evaluating the impact that the adoption of this standard will have on its consolidated financial statements and disclosures. </w:t>
      </w:r>
    </w:p>
    <w:p>
      <w:pPr>
        <w:pStyle w:val="TextBody"/>
        <w:bidi w:val="0"/>
        <w:spacing w:before="0" w:after="20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2560"/>
                <wp:effectExtent l="0" t="0" r="0" b="0"/>
                <wp:wrapNone/>
                <wp:docPr id="55" name="Frame5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F-12</w:t>
                      </w:r>
                    </w:p>
                  </w:txbxContent>
                </v:textbox>
                <w10:wrap type="none"/>
              </v:rect>
            </w:pict>
          </mc:Fallback>
        </mc:AlternateContent>
      </w:r>
    </w:p>
    <w:p>
      <w:pPr>
        <w:pStyle w:val="TextBody"/>
        <w:bidi w:val="0"/>
        <w:spacing w:lineRule="auto" w:line="288"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3. Fair Value of Financial Assets and Liabilities</w:t>
      </w:r>
    </w:p>
    <w:p>
      <w:pPr>
        <w:pStyle w:val="TextBody"/>
        <w:bidi w:val="0"/>
        <w:spacing w:lineRule="auto" w:line="288"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Financial instruments primarily consist of cash equivalents, accounts receivable, accounts payable, warrants (Note 6) and debt (Note 4). At June 30, 2025, the carrying amounts of the Company’s cash equivalents, accounts receivable and accounts payable approximate fair value due to the short-term nature of these instruments. The Company’s notes payable carry a variable rate of interest based on current market rates which is established at the time borrowings are made and a fixed margin which the Company believes is consistent with what it could obtain in the current debt markets. As of June 30, 2025, the carrying amounts of these instruments approximate their fair values. The estimated fair values have been determined from information obtained from market sources and management estimates.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discloses the level of subjectivity used in measuring assets and liabilities at fair value under a hierarchical framework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Quoted prices in active markets for identical assets as of the reporting date.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2: Pricing inputs other than quoted prices in active markets which are either directly or indirectly observable as of the reporting date. These include quoted prices for similar assets or liabilities in active markets, and quoted prices for identical or similar assets or liabilities in markets that are not active.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Unobservable inputs that reflect the Company’s assumptions about the assumptions that market participants would use in pricing the asset or liability. Unobservable inputs shall be used to measure fair value to the extent that observable inputs are not available.</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assets and liabilities measured at fair value on a recurring basis at June 30, 2025 (in thousands):</w:t>
      </w:r>
    </w:p>
    <w:tbl>
      <w:tblPr>
        <w:tblW w:w="5791" w:type="dxa"/>
        <w:jc w:val="left"/>
        <w:tblInd w:w="0" w:type="dxa"/>
        <w:tblLayout w:type="fixed"/>
        <w:tblCellMar>
          <w:top w:w="28" w:type="dxa"/>
          <w:left w:w="28" w:type="dxa"/>
          <w:bottom w:w="28" w:type="dxa"/>
          <w:right w:w="28" w:type="dxa"/>
        </w:tblCellMar>
      </w:tblPr>
      <w:tblGrid>
        <w:gridCol w:w="674"/>
        <w:gridCol w:w="592"/>
        <w:gridCol w:w="594"/>
        <w:gridCol w:w="109"/>
        <w:gridCol w:w="109"/>
        <w:gridCol w:w="109"/>
        <w:gridCol w:w="257"/>
        <w:gridCol w:w="257"/>
        <w:gridCol w:w="257"/>
        <w:gridCol w:w="257"/>
        <w:gridCol w:w="257"/>
        <w:gridCol w:w="257"/>
        <w:gridCol w:w="257"/>
        <w:gridCol w:w="257"/>
        <w:gridCol w:w="257"/>
        <w:gridCol w:w="613"/>
        <w:gridCol w:w="310"/>
        <w:gridCol w:w="368"/>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04" w:type="dxa"/>
            <w:gridSpan w:val="12"/>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Fair Value Measurements at June 30, 2025</w:t>
            </w:r>
          </w:p>
        </w:tc>
      </w:tr>
      <w:tr>
        <w:trPr/>
        <w:tc>
          <w:tcPr>
            <w:tcW w:w="186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77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77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29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1860"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77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77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291"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Preferred stock warrants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$ 1 </w:t>
            </w:r>
          </w:p>
        </w:tc>
        <w:tc>
          <w:tcPr>
            <w:tcW w:w="77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$ 1 </w:t>
            </w:r>
          </w:p>
        </w:tc>
      </w:tr>
      <w:tr>
        <w:trPr/>
        <w:tc>
          <w:tcPr>
            <w:tcW w:w="1860"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warrants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lineRule="auto" w:line="319" w:before="0" w:after="0"/>
              <w:jc w:val="right"/>
              <w:rPr>
                <w:color w:val="000000"/>
              </w:rPr>
            </w:pPr>
            <w:r>
              <w:rPr>
                <w:color w:val="000000"/>
              </w:rPr>
              <w:t>     </w:t>
            </w:r>
            <w:r>
              <w:rPr>
                <w:rFonts w:ascii="Times New Roman;serif" w:hAnsi="Times New Roman;serif"/>
                <w:b w:val="false"/>
                <w:color w:val="000000"/>
                <w:sz w:val="18"/>
              </w:rPr>
              <w:t>50</w:t>
            </w:r>
          </w:p>
        </w:tc>
        <w:tc>
          <w:tcPr>
            <w:tcW w:w="77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91" w:type="dxa"/>
            <w:gridSpan w:val="3"/>
            <w:tcBorders/>
            <w:tcMar>
              <w:top w:w="0" w:type="dxa"/>
              <w:left w:w="0" w:type="dxa"/>
              <w:bottom w:w="0" w:type="dxa"/>
              <w:right w:w="0" w:type="dxa"/>
            </w:tcMar>
            <w:vAlign w:val="center"/>
          </w:tcPr>
          <w:p>
            <w:pPr>
              <w:pStyle w:val="TableContents"/>
              <w:bidi w:val="0"/>
              <w:spacing w:lineRule="auto" w:line="319" w:before="0" w:after="0"/>
              <w:jc w:val="right"/>
              <w:rPr>
                <w:color w:val="000000"/>
              </w:rPr>
            </w:pPr>
            <w:r>
              <w:rPr>
                <w:color w:val="000000"/>
              </w:rPr>
              <w:t>                </w:t>
            </w:r>
            <w:r>
              <w:rPr>
                <w:rFonts w:ascii="Times New Roman;serif" w:hAnsi="Times New Roman;serif"/>
                <w:b w:val="false"/>
                <w:color w:val="000000"/>
                <w:sz w:val="18"/>
              </w:rPr>
              <w:t>50</w:t>
            </w:r>
          </w:p>
        </w:tc>
      </w:tr>
      <w:tr>
        <w:trPr/>
        <w:tc>
          <w:tcPr>
            <w:tcW w:w="1860"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$ 51</w:t>
            </w:r>
          </w:p>
        </w:tc>
        <w:tc>
          <w:tcPr>
            <w:tcW w:w="77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9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 $51</w:t>
            </w:r>
          </w:p>
        </w:tc>
      </w:tr>
    </w:tbl>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consisting of the warrants to purchase preferred and common stock are valued based on Level 3 inputs (see assumptions at Note 6). </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unrealized gains from the change in fair value of the Level 3 financial liabilities of $1.1 million for the six months ended June 30, 2025, were recorded as a component of other income (expense) in the consolidated statements of operations.</w: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In June of 2022, the Company entered into a new refinancing agreement to secure a $40.0 million Term Loan (“the Term Loan”) with a maturity of June 2027. Attached to the loan were 189,408 detachable warrants to purchase common stock. Additionally, the loan can be increased in disbursements of $2.0 million increments based on achieving trailing twelve-month revenue of $100.0 million to increase the Term Loan up to a maximum of $50.0 million. The Term Loan has a variable rate of interest (SOFR plus 9.26%) and requires interest-only payments through June 2025. Prepayment is permitted and may include a prepayment fee ranging from 0% - 3% of the principal amount being repaid, depending on when the prepayment is made. </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of 2024, the Company and the creditor agreed to a modification of the Term Loan, which extended the interest-only payments through June 2026 (“the Amended Term Loan”). The maturity was </w:t>
      </w:r>
    </w:p>
    <w:p>
      <w:pPr>
        <w:pStyle w:val="TextBody"/>
        <w:bidi w:val="0"/>
        <w:spacing w:before="0" w:after="20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2560"/>
                <wp:effectExtent l="0" t="0" r="0" b="0"/>
                <wp:wrapNone/>
                <wp:docPr id="56" name="Frame5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F-13</w:t>
                      </w:r>
                    </w:p>
                  </w:txbxContent>
                </v:textbox>
                <w10:wrap type="none"/>
              </v:rect>
            </w:pict>
          </mc:Fallback>
        </mc:AlternateContent>
      </w:r>
    </w:p>
    <w:p>
      <w:pPr>
        <w:pStyle w:val="TextBody"/>
        <w:bidi w:val="0"/>
        <w:spacing w:lineRule="auto" w:line="319" w:before="240" w:after="283"/>
        <w:jc w:val="both"/>
        <w:rPr>
          <w:rFonts w:ascii="Times New Roman;serif" w:hAnsi="Times New Roman;serif"/>
          <w:b w:val="false"/>
          <w:color w:val="000000"/>
          <w:sz w:val="20"/>
        </w:rPr>
      </w:pPr>
      <w:r>
        <w:rPr>
          <w:rFonts w:ascii="Times New Roman;serif" w:hAnsi="Times New Roman;serif"/>
          <w:b w:val="false"/>
          <w:color w:val="000000"/>
          <w:sz w:val="20"/>
        </w:rPr>
        <w:t>extended to June 2028. The final payment was increased by $0.2 million to $1.6 million in addition to required principal payments. The final payment is treated as a debt discount and accreted to the debt balance over the term.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outstanding borrowings as of June 30, 2025 are as follows (in thousands):</w:t>
      </w:r>
    </w:p>
    <w:tbl>
      <w:tblPr>
        <w:tblW w:w="5325" w:type="dxa"/>
        <w:jc w:val="left"/>
        <w:tblInd w:w="0" w:type="dxa"/>
        <w:tblLayout w:type="fixed"/>
        <w:tblCellMar>
          <w:top w:w="28" w:type="dxa"/>
          <w:left w:w="28" w:type="dxa"/>
          <w:bottom w:w="28" w:type="dxa"/>
          <w:right w:w="28" w:type="dxa"/>
        </w:tblCellMar>
      </w:tblPr>
      <w:tblGrid>
        <w:gridCol w:w="1448"/>
        <w:gridCol w:w="1276"/>
        <w:gridCol w:w="1281"/>
        <w:gridCol w:w="387"/>
        <w:gridCol w:w="387"/>
        <w:gridCol w:w="546"/>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20" w:type="dxa"/>
            <w:gridSpan w:val="3"/>
            <w:tcBorders/>
            <w:tcMar>
              <w:top w:w="0" w:type="dxa"/>
              <w:left w:w="0" w:type="dxa"/>
              <w:bottom w:w="0" w:type="dxa"/>
              <w:right w:w="0" w:type="dxa"/>
            </w:tcMar>
            <w:vAlign w:val="center"/>
          </w:tcPr>
          <w:p>
            <w:pPr>
              <w:pStyle w:val="TableContents"/>
              <w:bidi w:val="0"/>
              <w:spacing w:lineRule="auto" w:line="319" w:before="0" w:after="0"/>
              <w:ind w:left="0" w:right="0" w:hanging="698"/>
              <w:jc w:val="right"/>
              <w:rPr>
                <w:rFonts w:ascii="Times New Roman;serif" w:hAnsi="Times New Roman;serif"/>
                <w:b/>
                <w:color w:val="000000"/>
                <w:sz w:val="20"/>
              </w:rPr>
            </w:pPr>
            <w:r>
              <w:rPr>
                <w:rFonts w:ascii="Times New Roman;serif" w:hAnsi="Times New Roman;serif"/>
                <w:b/>
                <w:color w:val="000000"/>
                <w:sz w:val="20"/>
              </w:rPr>
              <w:t>June 30, 2025</w:t>
            </w:r>
          </w:p>
        </w:tc>
      </w:tr>
      <w:tr>
        <w:trPr/>
        <w:tc>
          <w:tcPr>
            <w:tcW w:w="40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Term loan payable at a rate of SOFR plus 9.26%</w:t>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ind w:left="0" w:right="0" w:hanging="698"/>
              <w:jc w:val="right"/>
              <w:rPr>
                <w:rFonts w:ascii="Times New Roman;serif" w:hAnsi="Times New Roman;serif"/>
                <w:b w:val="false"/>
                <w:color w:val="000000"/>
                <w:sz w:val="20"/>
              </w:rPr>
            </w:pPr>
            <w:r>
              <w:rPr>
                <w:rFonts w:ascii="Times New Roman;serif" w:hAnsi="Times New Roman;serif"/>
                <w:b w:val="false"/>
                <w:color w:val="000000"/>
                <w:sz w:val="20"/>
              </w:rPr>
              <w:t>$ 40,000</w:t>
            </w:r>
          </w:p>
        </w:tc>
      </w:tr>
      <w:tr>
        <w:trPr/>
        <w:tc>
          <w:tcPr>
            <w:tcW w:w="40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Term loan final payment</w:t>
            </w:r>
          </w:p>
        </w:tc>
        <w:tc>
          <w:tcPr>
            <w:tcW w:w="1320" w:type="dxa"/>
            <w:gridSpan w:val="3"/>
            <w:tcBorders/>
            <w:tcMar>
              <w:top w:w="0" w:type="dxa"/>
              <w:left w:w="0" w:type="dxa"/>
              <w:bottom w:w="0" w:type="dxa"/>
              <w:right w:w="0" w:type="dxa"/>
            </w:tcMar>
            <w:vAlign w:val="center"/>
          </w:tcPr>
          <w:p>
            <w:pPr>
              <w:pStyle w:val="TableContents"/>
              <w:bidi w:val="0"/>
              <w:spacing w:lineRule="auto" w:line="319" w:before="0" w:after="0"/>
              <w:ind w:left="0" w:right="0" w:hanging="698"/>
              <w:jc w:val="right"/>
              <w:rPr>
                <w:rFonts w:ascii="Times New Roman;serif" w:hAnsi="Times New Roman;serif"/>
                <w:b w:val="false"/>
                <w:color w:val="000000"/>
                <w:sz w:val="20"/>
              </w:rPr>
            </w:pPr>
            <w:r>
              <w:rPr>
                <w:rFonts w:ascii="Times New Roman;serif" w:hAnsi="Times New Roman;serif"/>
                <w:b w:val="false"/>
                <w:color w:val="000000"/>
                <w:sz w:val="20"/>
              </w:rPr>
              <w:t>1,043</w:t>
            </w:r>
          </w:p>
        </w:tc>
      </w:tr>
      <w:tr>
        <w:trPr/>
        <w:tc>
          <w:tcPr>
            <w:tcW w:w="40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320" w:type="dxa"/>
            <w:gridSpan w:val="3"/>
            <w:tcBorders/>
            <w:tcMar>
              <w:top w:w="0" w:type="dxa"/>
              <w:left w:w="0" w:type="dxa"/>
              <w:bottom w:w="0" w:type="dxa"/>
              <w:right w:w="0" w:type="dxa"/>
            </w:tcMar>
            <w:vAlign w:val="center"/>
          </w:tcPr>
          <w:p>
            <w:pPr>
              <w:pStyle w:val="TableContents"/>
              <w:bidi w:val="0"/>
              <w:spacing w:lineRule="auto" w:line="319" w:before="0" w:after="0"/>
              <w:ind w:left="0" w:right="0" w:hanging="698"/>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40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320" w:type="dxa"/>
            <w:gridSpan w:val="3"/>
            <w:tcBorders/>
            <w:tcMar>
              <w:top w:w="0" w:type="dxa"/>
              <w:left w:w="0" w:type="dxa"/>
              <w:bottom w:w="0" w:type="dxa"/>
              <w:right w:w="0" w:type="dxa"/>
            </w:tcMar>
            <w:vAlign w:val="center"/>
          </w:tcPr>
          <w:p>
            <w:pPr>
              <w:pStyle w:val="TableContents"/>
              <w:bidi w:val="0"/>
              <w:spacing w:lineRule="auto" w:line="319" w:before="0" w:after="0"/>
              <w:ind w:left="0" w:right="0" w:hanging="540"/>
              <w:jc w:val="right"/>
              <w:rPr>
                <w:rFonts w:ascii="Times New Roman;serif" w:hAnsi="Times New Roman;serif"/>
                <w:b w:val="false"/>
                <w:color w:val="000000"/>
                <w:sz w:val="20"/>
              </w:rPr>
            </w:pPr>
            <w:r>
              <w:rPr>
                <w:rFonts w:ascii="Times New Roman;serif" w:hAnsi="Times New Roman;serif"/>
                <w:b w:val="false"/>
                <w:color w:val="000000"/>
                <w:sz w:val="20"/>
              </w:rPr>
              <w:t>(364)</w:t>
            </w:r>
          </w:p>
        </w:tc>
      </w:tr>
      <w:tr>
        <w:trPr/>
        <w:tc>
          <w:tcPr>
            <w:tcW w:w="40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0"/>
              <w:ind w:left="0" w:right="0" w:hanging="698"/>
              <w:jc w:val="right"/>
              <w:rPr>
                <w:rFonts w:ascii="Times New Roman;serif" w:hAnsi="Times New Roman;serif"/>
                <w:b w:val="false"/>
                <w:color w:val="000000"/>
                <w:sz w:val="20"/>
              </w:rPr>
            </w:pPr>
            <w:r>
              <w:rPr>
                <w:rFonts w:ascii="Times New Roman;serif" w:hAnsi="Times New Roman;serif"/>
                <w:b w:val="false"/>
                <w:color w:val="000000"/>
                <w:sz w:val="20"/>
              </w:rPr>
              <w:t>$ 40,637</w:t>
            </w:r>
          </w:p>
        </w:tc>
      </w:tr>
    </w:tbl>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Term Loan and Amended Term Loan contain financial and non-financial covenants. The financial covenants require a minimum liquidity level ($2.0 million of cash and cash equivalents) as well as minimum revenue and EBITDA levels which are measured on a quarterly basis. The Company was in compliance with all covenants associated with the Term Loan at June 30, 2025 and the date these financial statements were issued.</w:t>
      </w:r>
    </w:p>
    <w:p>
      <w:pPr>
        <w:pStyle w:val="TextBody"/>
        <w:bidi w:val="0"/>
        <w:spacing w:before="0" w:after="0"/>
        <w:ind w:left="0" w:right="0" w:firstLine="475"/>
        <w:jc w:val="left"/>
        <w:rPr/>
      </w:pPr>
      <w:r>
        <w:rPr/>
      </w:r>
    </w:p>
    <w:p>
      <w:pPr>
        <w:pStyle w:val="TextBody"/>
        <w:bidi w:val="0"/>
        <w:spacing w:lineRule="auto" w:line="276" w:before="0" w:after="0"/>
        <w:ind w:left="0" w:right="0" w:firstLine="475"/>
        <w:jc w:val="left"/>
        <w:rPr>
          <w:rFonts w:ascii="Times New Roman;serif" w:hAnsi="Times New Roman;serif"/>
          <w:b w:val="false"/>
          <w:color w:val="000000"/>
          <w:sz w:val="20"/>
        </w:rPr>
      </w:pPr>
      <w:r>
        <w:rPr>
          <w:rFonts w:ascii="Times New Roman;serif" w:hAnsi="Times New Roman;serif"/>
          <w:b w:val="false"/>
          <w:color w:val="000000"/>
          <w:sz w:val="20"/>
        </w:rPr>
        <w:t>Future minimum principal payment of the Term Loan (excluding balloon payment of $1.6 million payable at the end of the term) for the six months ended June 30, 2025 are as follows (in thousands):</w:t>
      </w:r>
    </w:p>
    <w:p>
      <w:pPr>
        <w:pStyle w:val="TextBody"/>
        <w:bidi w:val="0"/>
        <w:spacing w:before="0" w:after="0"/>
        <w:jc w:val="both"/>
        <w:rPr/>
      </w:pPr>
      <w:r>
        <w:rPr/>
      </w:r>
    </w:p>
    <w:tbl>
      <w:tblPr>
        <w:tblW w:w="3114" w:type="dxa"/>
        <w:jc w:val="left"/>
        <w:tblInd w:w="0" w:type="dxa"/>
        <w:tblLayout w:type="fixed"/>
        <w:tblCellMar>
          <w:top w:w="28" w:type="dxa"/>
          <w:left w:w="28" w:type="dxa"/>
          <w:bottom w:w="28" w:type="dxa"/>
          <w:right w:w="28" w:type="dxa"/>
        </w:tblCellMar>
      </w:tblPr>
      <w:tblGrid>
        <w:gridCol w:w="490"/>
        <w:gridCol w:w="428"/>
        <w:gridCol w:w="432"/>
        <w:gridCol w:w="196"/>
        <w:gridCol w:w="109"/>
        <w:gridCol w:w="109"/>
        <w:gridCol w:w="395"/>
        <w:gridCol w:w="395"/>
        <w:gridCol w:w="560"/>
      </w:tblGrid>
      <w:tr>
        <w:trPr/>
        <w:tc>
          <w:tcPr>
            <w:tcW w:w="49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18"/>
              </w:rPr>
            </w:pPr>
            <w:r>
              <w:rPr>
                <w:rFonts w:ascii="Times New Roman;serif" w:hAnsi="Times New Roman;serif"/>
                <w:b w:val="false"/>
                <w:color w:val="000000"/>
                <w:sz w:val="18"/>
              </w:rPr>
              <w:t>Year Ended</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Long-Term Debt</w:t>
            </w:r>
          </w:p>
        </w:tc>
      </w:tr>
      <w:tr>
        <w:trPr/>
        <w:tc>
          <w:tcPr>
            <w:tcW w:w="135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2025 (remainder)</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18"/>
              </w:rPr>
            </w:pPr>
            <w:r>
              <w:rPr>
                <w:rFonts w:ascii="Times New Roman;serif" w:hAnsi="Times New Roman;serif"/>
                <w:b w:val="false"/>
                <w:color w:val="000000"/>
                <w:sz w:val="18"/>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18"/>
              </w:rPr>
            </w:pPr>
            <w:r>
              <w:rPr>
                <w:rFonts w:ascii="Times New Roman;serif" w:hAnsi="Times New Roman;serif"/>
                <w:b w:val="false"/>
                <w:color w:val="000000"/>
                <w:sz w:val="18"/>
              </w:rPr>
              <w:t>2027</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18"/>
              </w:rPr>
            </w:pPr>
            <w:r>
              <w:rPr>
                <w:rFonts w:ascii="Times New Roman;serif" w:hAnsi="Times New Roman;serif"/>
                <w:b w:val="false"/>
                <w:color w:val="000000"/>
                <w:sz w:val="18"/>
              </w:rPr>
              <w:t>2028</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56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Total payments</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gridSpan w:val="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5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5. Non-Controlling Interest</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2014, as consideration for the acquisition of speech language technology the Company issued 15,152,630 shares of Series G-2 Preferred Stock and 15,152,630 shares of Interactions LLC G-1 Units. The G-2 Preferred Stock provides voting rights only and does not provide the holder with any economic interests. Combined, the G-2 Preferred Stock and the G-1 Units are exchangeable for Series G-1 Preferred Stock of the Company at any time at the election of the holder and mandatorily in the event of certain transactions such as change in control or initial public offerings. At June 30, 2025, there were 15,152,630 shares of G-1 Preferred Stock authorized, none of which were outstanding. Rights and preferences of the G-1 and G-2 Preferred Stock are summarized in Note 6. From and after the date of a potential future issuance of Series G-1 Preferred Stock, dividends shall accrue on shares of Series G-1 Preferred Stock at a rate per annum of $0.39597 as if the Series G-1 Preferred Stock was issued on December 15, 2014. In the six months ended June 30, 2025, the Company allocated net loss to the non-controlling interest in the amounts of $0.4 million as the valuation results of the Company’s preferred and common stock indicated the estimated value the holders of the non-controlling interest would receive in a theoretical exit were less than its carrying value. </w: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6. Redeemable Preferred Stock and Stockholders’ Equity</w:t>
      </w:r>
    </w:p>
    <w:p>
      <w:pPr>
        <w:pStyle w:val="TextBody"/>
        <w:bidi w:val="0"/>
        <w:spacing w:before="0" w:after="20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2560"/>
                <wp:effectExtent l="0" t="0" r="0" b="0"/>
                <wp:wrapNone/>
                <wp:docPr id="57" name="Frame5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F-14</w:t>
                      </w:r>
                    </w:p>
                  </w:txbxContent>
                </v:textbox>
                <w10:wrap type="none"/>
              </v:rect>
            </w:pict>
          </mc:Fallback>
        </mc:AlternateContent>
      </w:r>
    </w:p>
    <w:p>
      <w:pPr>
        <w:pStyle w:val="TextBody"/>
        <w:bidi w:val="0"/>
        <w:spacing w:lineRule="auto" w:line="319" w:before="12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At June 30 2025, the Company has authorized 115,000,000 shares of Common Stock with a par value of $0.0001 per share, of which 82,454,578 are reserved for issuance in connection with the conversion of Series A-1 Redeemable Convertible Preferred Stock (“Series A-1 Preferred Stock”), Series A-2 Redeemable Convertible Preferred Stock (“Series A-2 Preferred Stock”), Series B Redeemable Convertible Preferred Stock (“Series B Preferred Stock”), Series C Redeemable Convertible Preferred Stock (“Series C Preferred Stock”), Series D Redeemable Convertible Preferred Stock (“Series D Preferred Stock”), Series E Redeemable Convertible Preferred Stock (“Series E Preferred Stock”), Series F Redeemable Convertible Preferred Stock (“Series F Preferred Stock”), Series G Redeemable Convertible Preferred Stock (“Series G Preferred Stock”), Series G-1 Redeemable Convertible Preferred Stock (“Series G-1 Preferred Stock”), Series G-3 Redeemable Convertible Preferred Stock (“Series G-3 Preferred Stock”) (collectively referred to as “Preferred Stock”) and 18,556,430 shares are reserved for issuance upon the exercise of stock options under the Company’s 2023 Equity Incentive Plan. At June 30 2025, 5,341,096 shares of Common Stock were issued and outstanding, respectively.</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Since inception, the Company has been funded through several private placements of preferred stock. As amended, the Company’s Articles authorize the issuance of 300,715,923 shares of Preferred Stock with a par value of $0.0001 per share.</w:t>
      </w:r>
    </w:p>
    <w:p>
      <w:pPr>
        <w:pStyle w:val="TextBody"/>
        <w:bidi w:val="0"/>
        <w:spacing w:before="0" w:after="20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2560"/>
                <wp:effectExtent l="0" t="0" r="0" b="0"/>
                <wp:wrapNone/>
                <wp:docPr id="58" name="Frame5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F-15</w:t>
                      </w:r>
                    </w:p>
                  </w:txbxContent>
                </v:textbox>
                <w10:wrap type="none"/>
              </v:rect>
            </w:pict>
          </mc:Fallback>
        </mc:AlternateConten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authorized, issued and outstanding Preferred Stock as of June 30, 2025 (in thousands):</w:t>
      </w:r>
    </w:p>
    <w:tbl>
      <w:tblPr>
        <w:tblW w:w="10205" w:type="dxa"/>
        <w:jc w:val="left"/>
        <w:tblInd w:w="0" w:type="dxa"/>
        <w:tblLayout w:type="fixed"/>
        <w:tblCellMar>
          <w:top w:w="28" w:type="dxa"/>
          <w:left w:w="28" w:type="dxa"/>
          <w:bottom w:w="28" w:type="dxa"/>
          <w:right w:w="28" w:type="dxa"/>
        </w:tblCellMar>
      </w:tblPr>
      <w:tblGrid>
        <w:gridCol w:w="3274"/>
        <w:gridCol w:w="2881"/>
        <w:gridCol w:w="2886"/>
        <w:gridCol w:w="209"/>
        <w:gridCol w:w="789"/>
        <w:gridCol w:w="166"/>
      </w:tblGrid>
      <w:tr>
        <w:trPr/>
        <w:tc>
          <w:tcPr>
            <w:tcW w:w="3274"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color w:val="000000"/>
                <w:sz w:val="18"/>
              </w:rPr>
            </w:pPr>
            <w:r>
              <w:rPr>
                <w:rFonts w:ascii="Times New Roman;serif" w:hAnsi="Times New Roman;serif"/>
                <w:b/>
                <w:color w:val="000000"/>
                <w:sz w:val="18"/>
              </w:rPr>
              <w:t>June 30, 2025</w:t>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18"/>
              </w:rPr>
            </w:pPr>
            <w:r>
              <w:rPr>
                <w:rFonts w:ascii="Times New Roman;serif" w:hAnsi="Times New Roman;serif"/>
                <w:b w:val="false"/>
                <w:color w:val="000000"/>
                <w:sz w:val="18"/>
              </w:rPr>
              <w:t>Non-Controlling Interest- Redeemable LLC Preferred Stock:</w:t>
            </w:r>
          </w:p>
        </w:tc>
        <w:tc>
          <w:tcPr>
            <w:tcW w:w="11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Held by Non-Controlling Interest</w:t>
            </w:r>
          </w:p>
        </w:tc>
        <w:tc>
          <w:tcPr>
            <w:tcW w:w="209"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77,848 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18"/>
              </w:rPr>
            </w:pPr>
            <w:r>
              <w:rPr>
                <w:rFonts w:ascii="Times New Roman;serif" w:hAnsi="Times New Roman;serif"/>
                <w:b w:val="false"/>
                <w:color w:val="000000"/>
                <w:sz w:val="18"/>
              </w:rPr>
              <w:t>Redeemable Corporation Preferred Stock (liquidation preference in million)</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G-3 redeemable convertible preferred stock (10,826,821 shares authorized 9,940,114 shares issued and outstanding; Liquidation preference of $161.2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167,110 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G-2 redeemable convertible preferred stock (15,152,630 shares authorized, issued and outstanding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18"/>
              </w:rPr>
            </w:pPr>
            <w:r>
              <w:rPr>
                <w:rFonts w:ascii="Times New Roman;serif" w:hAnsi="Times New Roman;serif"/>
                <w:b w:val="false"/>
                <w:color w:val="000000"/>
                <w:sz w:val="18"/>
              </w:rPr>
              <w:t>Series G-1 redeemable convertible preferred stock (15,152,630 shares authorized, 0 share issued and outstanding; Liquidation preference of $100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G redeemable convertible preferred stock (6,170,984 shares authorized, 6,061,885 shares issued and outstanding; Liquidation preference of $105.6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109,145 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F redeemable convertible preferred stock (7,865,260 shares authorized, 7,865,260 shares issued and outstanding; Liquidation preference of $25.5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26,887 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E redeemable convertible preferred stock (19,871,248 shares authorized, 19,871,248 shares issued and outstanding; Liquidation preference of $20.9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21,997 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D redeemable convertible preferred stock (191,201,672 shares authorized, 187,069,507 shares issued and outstanding; Liquidation preference of $18.9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19,862 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C redeemable convertible preferred stock (21,650,000 shares authorized, 15,053,511 shares issued and outstanding; Liquidation preference of $19.9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B redeemable convertible preferred stock (5,300,000 shares authorized, 5,181,342 shares issued and outstanding; Liquidation preference of $7.8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8,150 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A-2 redeemable convertible preferred stock (1,724,678 shares authorized, 1,724,678 shares issued and outstanding; Liquidation preference of $5.1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5,082 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Series A-1 redeemable convertible preferred stock (5,800,000 shares authorized, 3,962,374 shares issued and outstanding; Liquidation preference of $14.5 at June 30, 2025)</w:t>
            </w:r>
          </w:p>
        </w:tc>
        <w:tc>
          <w:tcPr>
            <w:tcW w:w="998"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14,791 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Redeemable Preferred Stock</w:t>
            </w:r>
          </w:p>
        </w:tc>
        <w:tc>
          <w:tcPr>
            <w:tcW w:w="2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393,903 </w:t>
            </w:r>
          </w:p>
        </w:tc>
        <w:tc>
          <w:tcPr>
            <w:tcW w:w="16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holders of Preferred Stock have the following rights and preferences:</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Each share of Preferred Stock is convertible, at the holder’s option, into shares of Common Stock as determined by the preferred applicable conversion rate set forth in the Articles. As adjusted for stock splits, the conversion rate for all Series A-1 Preferred Stock, Series A-2 Preferred Stock, Series B Preferred Stock, Series C Preferred Stock and Series D Preferred Stock is ten shares of Preferred Stock for one share of Common Stock, subject to anti-dilution provisions. The conversion rate for Series E Preferred Stock, Series F Preferred Stock, Series G Preferred Stock, Series G-1 Preferred stock, and Series G-3 Preferred Stock is one share of Preferred Stock for one share of Common Stock, subject to anti-dilution provisions.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Mandatory conversion of Preferred Stock (excluding Series G-2 Preferred Stock) will occur when the Company yields aggregate proceeds of at least $75 million, net of underwriting discounts and commissions, from a qualified public offering or if the holders of a majority of the Preferred Stock (excluding Series G-2 Preferred Stock), voting together as a single class on an as-converted basis, elect to convert in connection with a public offering. Mandatory conversion of Preferred Stock (excluding Series G Preferred Stock, Series G-1 Preferred Stock, Series G-2 Preferred Stock and Series G-3 Preferred Stock) will occur if the holders of a majority of the Preferred Stock (excluding Series G-2 Preferred Stock), voting together as a single class, elect to convert. Mandatory conversion of Series G Preferred Stock will occur if the holders of a majority of the Series </w:t>
      </w:r>
    </w:p>
    <w:p>
      <w:pPr>
        <w:pStyle w:val="TextBody"/>
        <w:bidi w:val="0"/>
        <w:spacing w:before="0" w:after="20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2560"/>
                <wp:effectExtent l="0" t="0" r="0" b="0"/>
                <wp:wrapNone/>
                <wp:docPr id="59" name="Frame5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F-16</w:t>
                      </w:r>
                    </w:p>
                  </w:txbxContent>
                </v:textbox>
                <w10:wrap type="none"/>
              </v:rect>
            </w:pict>
          </mc:Fallback>
        </mc:AlternateContent>
      </w:r>
    </w:p>
    <w:p>
      <w:pPr>
        <w:pStyle w:val="TextBody"/>
        <w:bidi w:val="0"/>
        <w:spacing w:lineRule="auto" w:line="319" w:before="240" w:after="283"/>
        <w:jc w:val="both"/>
        <w:rPr>
          <w:rFonts w:ascii="Times New Roman;serif" w:hAnsi="Times New Roman;serif"/>
          <w:b w:val="false"/>
          <w:color w:val="000000"/>
          <w:sz w:val="20"/>
        </w:rPr>
      </w:pPr>
      <w:r>
        <w:rPr>
          <w:rFonts w:ascii="Times New Roman;serif" w:hAnsi="Times New Roman;serif"/>
          <w:b w:val="false"/>
          <w:color w:val="000000"/>
          <w:sz w:val="20"/>
        </w:rPr>
        <w:t>G Preferred Stock elect to convert. Mandatory conversion of Series G-1 Preferred Stock will occur if the holders of a majority of the Series G-1 Preferred Stock and Series G-2 Preferred Stock, voting together as a single class on an as converted basis, elect to convert. Mandatory conversion of Series G-3 Preferred Stock will occur if the holders of a majority of the Preferred Stock (excluding Series G-2 Preferred Stock), voting together as a single class on an as-converted basis, the holders of at least two-thirds of Series G Preferred Stock, and the holders of a majority of Series G-3 Preferred Stock, each elect to convert.</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the event of a mandatory conversion in connection with the Company’s initial public offering “IPO” in which the initial price per share of the Common Stock, as set forth on the cover of the final IPO prospectus, is less than the qualified IPO factor (1.75x) times the Series G-3 Redeemable Preferred Stock original issue price the holder of Series G through Series G-3 shall receive additional shares of Common Stock equal to the difference between the IPO Factor times Series G-3 Redeemable Preferred Stock less initial price per share.</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From and after the date of the initial issuance of Series B Preferred Stock (January 31, 2008), dividends shall accrue on shares of Series A-1 Preferred Stock and Series B Preferred Stock at a rate per annum of $0.04632 per share. From and after the date of the initial issuance of Series C Preferred Stock (September 10, 2008), dividends shall accrue on shares of Series C Preferred Stock at a rate per annum of $0.0416 per share. From and after the date of the initial issuance of Series D Preferred Stock (April 1, 2010), dividends shall accrue on shares of Series D Preferred Stock at a rate per annum of $0.00337 per share. From and after the date of the initial issuance of Series E Preferred Stock (July 15, 2011), dividends shall accrue on shares of Series E Preferred Stock at a rate per annum of $0.03613. From and after the date of the initial issuance of Series F Preferred Stock (August 21, 2012), dividends shall accrue on shares of Series F Preferred Stock at a rate per annum of $0.11575. From and after the date of the initial issuance of Series G Preferred Stock (May 10, 2013), dividends shall accrue on shares of Series G Preferred Stock at a rate per annum of $0.39597. From and after the date of the initial issuance of Series G-3 Preferred Stock (March 31, 2015), dividends shall accrue on shares of Series G-3 Preferred Stock at a rate per annum of $0.39597.</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From and after the date of a potential future issuance of Series G-1 Preferred Stock, dividends shall accrue on shares of Series G-1 Preferred Stock at a rate per annum of $0.39597 as if the Series G-1 Preferred Stock was issued on December 15, 2014.</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holders of Series A-2 Preferred Stock, Series G-2 Preferred Stock are not entitled to any dividends.</w:t>
      </w:r>
    </w:p>
    <w:p>
      <w:pPr>
        <w:pStyle w:val="TextBody"/>
        <w:bidi w:val="0"/>
        <w:spacing w:lineRule="auto" w:line="288" w:before="0" w:after="280"/>
        <w:jc w:val="both"/>
        <w:rPr>
          <w:rFonts w:ascii="Times New Roman;serif" w:hAnsi="Times New Roman;serif"/>
          <w:b w:val="false"/>
          <w:color w:val="000000"/>
          <w:sz w:val="20"/>
        </w:rPr>
      </w:pPr>
      <w:r>
        <w:rPr>
          <w:rFonts w:ascii="Times New Roman;serif" w:hAnsi="Times New Roman;serif"/>
          <w:b w:val="false"/>
          <w:color w:val="000000"/>
          <w:sz w:val="20"/>
        </w:rPr>
        <w:t>The Accruing Dividends, as defined above, shall accrue from day to day, whether or not declared, and shall be cumulative. In the event dividends are paid on any share of Common Stock, the Company shall pay an additional dividend on all outstanding shares of Series A-1 Preferred Stock, Series B Preferred Stock, Series C Preferred Stock, Series D Preferred Stock, Series E Preferred Stock, Series F Preferred Stock, Series G Preferred Stock and Series G-3 Preferred Stock in a per share amount equal (on an as-if-converted to Common Stock basis) to the amount paid for each share of Common Stock.</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Company’s accrued and undeclared dividends on outstanding Preferred Stock as of June 30, 2025 (in thousands):</w:t>
      </w:r>
    </w:p>
    <w:p>
      <w:pPr>
        <w:pStyle w:val="TextBody"/>
        <w:bidi w:val="0"/>
        <w:spacing w:before="0" w:after="20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2560"/>
                <wp:effectExtent l="0" t="0" r="0" b="0"/>
                <wp:wrapNone/>
                <wp:docPr id="60" name="Frame5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F-17</w:t>
                      </w:r>
                    </w:p>
                  </w:txbxContent>
                </v:textbox>
                <w10:wrap type="none"/>
              </v:rect>
            </w:pict>
          </mc:Fallback>
        </mc:AlternateContent>
      </w:r>
    </w:p>
    <w:tbl>
      <w:tblPr>
        <w:tblW w:w="5458" w:type="dxa"/>
        <w:jc w:val="left"/>
        <w:tblInd w:w="0" w:type="dxa"/>
        <w:tblLayout w:type="fixed"/>
        <w:tblCellMar>
          <w:top w:w="28" w:type="dxa"/>
          <w:left w:w="28" w:type="dxa"/>
          <w:bottom w:w="28" w:type="dxa"/>
          <w:right w:w="28" w:type="dxa"/>
        </w:tblCellMar>
      </w:tblPr>
      <w:tblGrid>
        <w:gridCol w:w="1501"/>
        <w:gridCol w:w="1315"/>
        <w:gridCol w:w="1323"/>
        <w:gridCol w:w="384"/>
        <w:gridCol w:w="384"/>
        <w:gridCol w:w="551"/>
      </w:tblGrid>
      <w:tr>
        <w:trPr/>
        <w:tc>
          <w:tcPr>
            <w:tcW w:w="150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June 30, 2025</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G-3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$ 35,910 </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G-2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G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29,134</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F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11,774</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E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10,033</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D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9,366</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C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10,438</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B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4,150</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A-2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Series A-1 redeemable convertible preferred stock</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3,115</w:t>
            </w:r>
          </w:p>
        </w:tc>
      </w:tr>
      <w:tr>
        <w:trPr/>
        <w:tc>
          <w:tcPr>
            <w:tcW w:w="41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dividends accrued</w:t>
            </w:r>
          </w:p>
        </w:tc>
        <w:tc>
          <w:tcPr>
            <w:tcW w:w="131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$ 113,920</w:t>
            </w:r>
          </w:p>
        </w:tc>
      </w:tr>
    </w:tbl>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From and after the date of the initial future issuance of Series G-1 Preferred Stock (upon conversion of the Series G-1 Units in Interactions LLC), dividends shall accrue on shares of Series G-1 Preferred Stock at a rate per annum of $0.39597 as if the Series G-1 Preferred Stock was issued on December 15, 2014. As of June 30, 2025, the unaccrued and undeclared dividends on the Series G-1 Preferred Stock were $65 million.</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Liquidation Preference</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the event of any liquidation, dissolution or winding up of the Company, either voluntary or involuntary, the holders of Series G-3 Preferred Stock have a liquidating preference over all stockholders. The holder of Series G-2 Preferred Stock and Series G-1 units in the LLC, through conversion to the authorized, but unissued, Series G-1 Preferred Stock and Series G Preferred Stock have a liquidating preference over all stockholders except Series G-3 preferred stockholders. Series F Preferred Stock, Series E Preferred Stock and the holders of Series D Preferred Stock have a liquidating preference over the holders of Series C Preferred Stock, Series B Preferred Stock, Series A-1 Preferred Stock, Series A-2 Preferred Stock, and Common Stock.</w:t>
      </w:r>
    </w:p>
    <w:p>
      <w:pPr>
        <w:pStyle w:val="TextBody"/>
        <w:bidi w:val="0"/>
        <w:spacing w:lineRule="auto" w:line="288" w:before="0" w:after="280"/>
        <w:jc w:val="both"/>
        <w:rPr>
          <w:rFonts w:ascii="Times New Roman;serif" w:hAnsi="Times New Roman;serif"/>
          <w:b w:val="false"/>
          <w:color w:val="000000"/>
          <w:sz w:val="20"/>
        </w:rPr>
      </w:pPr>
      <w:r>
        <w:rPr>
          <w:rFonts w:ascii="Times New Roman;serif" w:hAnsi="Times New Roman;serif"/>
          <w:b w:val="false"/>
          <w:color w:val="000000"/>
          <w:sz w:val="20"/>
        </w:rPr>
        <w:t>The holders of Series G-3 Preferred Stock are entitled to receive an amount equal to two times the Series G-3 Original Issue price of $6.59951407 per share plus Accruing Dividends, as defined in the Agreement, at the rate of $0.39597 per share plus any other declared but unpaid dividends.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holders of Series G Preferred Stock are entitled to receive an amount equal to two times the Series G Original Issue price of $6.59951407 per share plus Accruing Dividends, as defined in the Agreement, at the rate of $0.39597 per share plus any other declared but unpaid dividends.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Series G-1 Preferred Stock are entitled to receive an amount equal to two times the Series G-1 Original Issue price of $6.59951407 per share plus Accruing Dividends, as defined in the Agreement, at the </w:t>
      </w:r>
    </w:p>
    <w:p>
      <w:pPr>
        <w:pStyle w:val="TextBody"/>
        <w:bidi w:val="0"/>
        <w:spacing w:before="0" w:after="20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2560"/>
                <wp:effectExtent l="0" t="0" r="0" b="0"/>
                <wp:wrapNone/>
                <wp:docPr id="61" name="Frame5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F-18</w:t>
                      </w:r>
                    </w:p>
                  </w:txbxContent>
                </v:textbox>
                <w10:wrap type="none"/>
              </v:rect>
            </w:pict>
          </mc:Fallback>
        </mc:AlternateContent>
      </w:r>
    </w:p>
    <w:p>
      <w:pPr>
        <w:pStyle w:val="TextBody"/>
        <w:bidi w:val="0"/>
        <w:spacing w:lineRule="auto" w:line="319" w:before="240" w:after="283"/>
        <w:jc w:val="both"/>
        <w:rPr>
          <w:rFonts w:ascii="Times New Roman;serif" w:hAnsi="Times New Roman;serif"/>
          <w:b w:val="false"/>
          <w:color w:val="000000"/>
          <w:sz w:val="20"/>
        </w:rPr>
      </w:pPr>
      <w:r>
        <w:rPr>
          <w:rFonts w:ascii="Times New Roman;serif" w:hAnsi="Times New Roman;serif"/>
          <w:b w:val="false"/>
          <w:color w:val="000000"/>
          <w:sz w:val="20"/>
        </w:rPr>
        <w:t>rate of $0.39597 per share plus any other declared but unpaid dividends. In no event shall the aggregate amount paid be greater than $100 million plus accrued dividends.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holders of Series F Preferred Stock are entitled to receive an amount equal to the Series F Original Issue price of $1.92915275 per share up to their liquidation preference plus Accruing Dividends, as defined in the Agreement, at the rate of $0.11575 per share plus any other declared but unpaid dividends.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holders of Series E Preferred Stock are entitled to receive an amount equal to the Series E Original Issue Price of $0.60209914 per share up to their liquidation preference plus Accruing Dividends, as defined in the Agreement, at the rate of $0.03613 per share plus any other declared but unpaid dividends.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holders of Series D Preferred Stock are entitled to receive an amount equal to the Series D Original Issue Price of $0.0561085 per share up to their liquidation preference plus Accruing Dividends, as defined in the Agreement, at the rate of $0.00337 per share plus any other declared but unpaid dividends.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holders of Series C Preferred Stock have a liquidating preference over the holders of Series B Preferred Stock, Series A-1 Preferred Stock, Series A-2 Preferred Stock (collectively, the “Junior Stockholders”), and Common Stock. The holders of Series C Preferred Stock are entitled to receive an amount equal to the Series C Original Issue Price of $0.69347657 per share up to their liquidation preference plus Accruing Dividends, as defined in the Agreement, at the rate of $0.0416 per share plus any other declared but unpaid dividends.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Junior Stockholders have a preference in liquidation over the holders of Common Stock. The holders of Series A-1 Preferred Stock are entitled to receive an amount equal to $2.94667 per share up to their liquidation preference plus Accruing Dividends, as defined in the Articles, at the rate of $0.04632 per share plus any other declared but unpaid dividends. The holders of Series A-2 Preferred Stock are entitled to receive an amount equal to $2.94667 per share up to their liquidation preference. The holders of Series B Preferred Stock are entitled to receive an amount equal to the Series B Original Issue Price of $0.7720 per share up to their liquidation preference plus Accruing Dividends, as defined in the Articles, at the rate of $0.04632 per share plus any other declared but unpaid dividends.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If upon occurrence of such event, the assets and funds thus distributed among the holders of Preferred Stock shall be insufficient to permit payment to such holders, the funds available will be distributed ratably among the holders of Preferred Stock in proportion to the number of shares of stock held by such holder and the applicable liquidation preference. The remaining assets, if any, shall be distributed ratably to the holders of the Common Stock.</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Redemption</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Pursuant to a vote of the majority of the holders of Preferred Stock, the Company may be required to redeem all of the outstanding shares of Preferred Stock in three equal installments commencing in June 2026 out of legally available funds subject to Delaware law and restrictions from the Company’s borrowing agreements on redemption of shares. The holders of Series A-1 Preferred Stock, Series B Preferred Stock, Series C Preferred Stock, Series D Preferred Stock, Series E Preferred Stock, Series F Preferred Stock, Series G Preferred Stock, Series G-1 Preferred Stock, and Series G-3 Preferred Stock shall be redeemed at a price equal to $2.94667, $0.7720, $0.69347657, $0.0561085, $0.60209914, $1.9215275, $13.19902814, $13.19902814, and $13.19902814 per share, respectively, plus any Accruing Dividends accrued but unpaid thereon, whether or not declared, together with any other dividends declared but unpaid. The holders of Series A-2 Preferred Stock shall be redeemed at a price equal to $2.94667 per share. The Holders of Series G-2 Preferred Stock shall not have any redemption rights.</w:t>
      </w:r>
    </w:p>
    <w:p>
      <w:pPr>
        <w:pStyle w:val="TextBody"/>
        <w:bidi w:val="0"/>
        <w:spacing w:before="0" w:after="20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2560"/>
                <wp:effectExtent l="0" t="0" r="0" b="0"/>
                <wp:wrapNone/>
                <wp:docPr id="62" name="Frame6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F-19</w:t>
                      </w:r>
                    </w:p>
                  </w:txbxContent>
                </v:textbox>
                <w10:wrap type="none"/>
              </v:rect>
            </w:pict>
          </mc:Fallback>
        </mc:AlternateConten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Each holder of Preferred Stock, except Series G-2 Preferred Stockholders, is entitled to the number of votes equal to the number of shares of Common Stock into which such holder’s shares are convertible. The holders of Series G-2 Preferred Stock are entitled to the number of votes equal to the number of Common Stock into which the shares of Series G-1 Preferred Stock shares are convertible. The holders of the Preferred Stock and Common Stock will vote together as a single class. In addition, if a group of certain stockholders, as defined in the Agreement, hold at least 20% of the aggregate number of shares of Preferred Stock, the Company is not authorized to perform certain activities without the written consent or affirmative vote of the holders of at least a majority of the then outstanding shares of Preferred Stock.</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Outstanding Warrants</w:t>
      </w:r>
    </w:p>
    <w:p>
      <w:pPr>
        <w:pStyle w:val="TextBody"/>
        <w:bidi w:val="0"/>
        <w:spacing w:lineRule="auto" w:line="319"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Warrants to Purchase Preferred and Common Stock</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issued warrants to purchase Preferred and Common Stock in conjunction with the Company’s debt and equity financing arrangements. The Company’s warrants to purchase Preferred and Common stock provide for net share settlement under which the maximum number of shares that could be issued represents the total amount of shares under the warrant agreements. These warrants are classified as other long-term liabilities and are marked to market each quarter based on changes in the warrants’ fair value calculating using the Black-Scholes model with changes reported in other income (expense). There has been no changes in the fair value of warrants to purchase redeemable preferred and common stock, for the six months ended June 30, 2025. During 2023, the Company entered into an agreement with a channel partner in which the partner is entitled to earn up to 5,531,543 warrants for Common Stock upon achieving certain performance obligations such as revenue milestones. As of June 30, 2025, the channel partner did not achieve such milestones nor was it probable that such milestones would be achieved in the future and, therefore, the Company did not record any expense related to this agreement. </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As of June 30, 2025, warrants to purchase the following classes of stock were outstanding:</w:t>
      </w:r>
    </w:p>
    <w:tbl>
      <w:tblPr>
        <w:tblW w:w="10205" w:type="dxa"/>
        <w:jc w:val="left"/>
        <w:tblInd w:w="0" w:type="dxa"/>
        <w:tblLayout w:type="fixed"/>
        <w:tblCellMar>
          <w:top w:w="28" w:type="dxa"/>
          <w:left w:w="28" w:type="dxa"/>
          <w:bottom w:w="28" w:type="dxa"/>
          <w:right w:w="28" w:type="dxa"/>
        </w:tblCellMar>
      </w:tblPr>
      <w:tblGrid>
        <w:gridCol w:w="709"/>
        <w:gridCol w:w="500"/>
        <w:gridCol w:w="503"/>
        <w:gridCol w:w="229"/>
        <w:gridCol w:w="229"/>
        <w:gridCol w:w="233"/>
        <w:gridCol w:w="319"/>
        <w:gridCol w:w="240"/>
        <w:gridCol w:w="201"/>
        <w:gridCol w:w="413"/>
        <w:gridCol w:w="251"/>
        <w:gridCol w:w="231"/>
        <w:gridCol w:w="408"/>
        <w:gridCol w:w="408"/>
        <w:gridCol w:w="409"/>
        <w:gridCol w:w="401"/>
        <w:gridCol w:w="401"/>
        <w:gridCol w:w="402"/>
        <w:gridCol w:w="719"/>
        <w:gridCol w:w="568"/>
        <w:gridCol w:w="570"/>
        <w:gridCol w:w="352"/>
        <w:gridCol w:w="352"/>
        <w:gridCol w:w="353"/>
        <w:gridCol w:w="361"/>
        <w:gridCol w:w="223"/>
        <w:gridCol w:w="220"/>
      </w:tblGrid>
      <w:tr>
        <w:trPr/>
        <w:tc>
          <w:tcPr>
            <w:tcW w:w="7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9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147" w:type="dxa"/>
            <w:gridSpan w:val="15"/>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Valuation Assumptions at June 30, 2025</w:t>
            </w:r>
          </w:p>
        </w:tc>
      </w:tr>
      <w:tr>
        <w:trPr/>
        <w:tc>
          <w:tcPr>
            <w:tcW w:w="1712"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Warrants to Purchase Stock by Class</w:t>
            </w:r>
          </w:p>
        </w:tc>
        <w:tc>
          <w:tcPr>
            <w:tcW w:w="69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60"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895"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Exercise Price</w:t>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Risk-Free Interest Rates</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Expected Dividend Yield</w:t>
            </w:r>
          </w:p>
        </w:tc>
        <w:tc>
          <w:tcPr>
            <w:tcW w:w="1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Remaining Contractual Term in Years</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Expected Volatility</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Fair Value</w:t>
            </w:r>
          </w:p>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(‘000)</w:t>
            </w:r>
          </w:p>
        </w:tc>
      </w:tr>
      <w:tr>
        <w:trPr/>
        <w:tc>
          <w:tcPr>
            <w:tcW w:w="1712"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85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r>
        <w:trPr/>
        <w:tc>
          <w:tcPr>
            <w:tcW w:w="1712" w:type="dxa"/>
            <w:gridSpan w:val="3"/>
            <w:tcBorders/>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r>
              <w:rPr>
                <w:rFonts w:ascii="Times New Roman;serif" w:hAnsi="Times New Roman;serif"/>
                <w:b w:val="false"/>
                <w:color w:val="000000"/>
                <w:sz w:val="18"/>
              </w:rPr>
              <w:t>Series G-3 (1)</w:t>
            </w:r>
          </w:p>
        </w:tc>
        <w:tc>
          <w:tcPr>
            <w:tcW w:w="6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68,645</w:t>
            </w:r>
          </w:p>
        </w:tc>
        <w:tc>
          <w:tcPr>
            <w:tcW w:w="319"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413"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225"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204"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857" w:type="dxa"/>
            <w:gridSpan w:val="3"/>
            <w:tcBorders/>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r>
              <w:rPr>
                <w:rFonts w:ascii="Times New Roman;serif" w:hAnsi="Times New Roman;serif"/>
                <w:b w:val="false"/>
                <w:color w:val="000000"/>
                <w:sz w:val="18"/>
              </w:rPr>
              <w:t>0.58</w:t>
            </w:r>
          </w:p>
        </w:tc>
        <w:tc>
          <w:tcPr>
            <w:tcW w:w="1057"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361"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r>
      <w:tr>
        <w:trPr/>
        <w:tc>
          <w:tcPr>
            <w:tcW w:w="1712" w:type="dxa"/>
            <w:gridSpan w:val="3"/>
            <w:tcBorders/>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r>
              <w:rPr>
                <w:rFonts w:ascii="Times New Roman;serif" w:hAnsi="Times New Roman;serif"/>
                <w:b w:val="false"/>
                <w:color w:val="000000"/>
                <w:sz w:val="18"/>
              </w:rPr>
              <w:t>Series G-3 (1)</w:t>
            </w:r>
          </w:p>
        </w:tc>
        <w:tc>
          <w:tcPr>
            <w:tcW w:w="6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68,358</w:t>
            </w:r>
          </w:p>
        </w:tc>
        <w:tc>
          <w:tcPr>
            <w:tcW w:w="319"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413"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225"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204"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857"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0.96</w:t>
            </w:r>
          </w:p>
        </w:tc>
        <w:tc>
          <w:tcPr>
            <w:tcW w:w="1057"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361"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r>
      <w:tr>
        <w:trPr/>
        <w:tc>
          <w:tcPr>
            <w:tcW w:w="1712" w:type="dxa"/>
            <w:gridSpan w:val="3"/>
            <w:tcBorders/>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r>
              <w:rPr>
                <w:rFonts w:ascii="Times New Roman;serif" w:hAnsi="Times New Roman;serif"/>
                <w:b w:val="false"/>
                <w:color w:val="000000"/>
                <w:sz w:val="18"/>
              </w:rPr>
              <w:t>Common (2)</w:t>
            </w:r>
          </w:p>
        </w:tc>
        <w:tc>
          <w:tcPr>
            <w:tcW w:w="6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189,408</w:t>
            </w:r>
          </w:p>
        </w:tc>
        <w:tc>
          <w:tcPr>
            <w:tcW w:w="319"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413"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225"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204"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857"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1057"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361"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6487" w:type="dxa"/>
            <w:gridSpan w:val="18"/>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7" w:type="dxa"/>
            <w:gridSpan w:val="3"/>
            <w:tcBorders/>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0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61" w:type="dxa"/>
            <w:tcBorders>
              <w:top w:val="single" w:sz="1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r>
      <w:tr>
        <w:trPr/>
        <w:tc>
          <w:tcPr>
            <w:tcW w:w="6487" w:type="dxa"/>
            <w:gridSpan w:val="18"/>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(1) Issued in connection with series G-3 various extensions</w:t>
            </w:r>
          </w:p>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(2) Issued in connection with the Company's Term Loan (see Note 4)</w:t>
            </w:r>
          </w:p>
        </w:tc>
        <w:tc>
          <w:tcPr>
            <w:tcW w:w="18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2560"/>
                <wp:effectExtent l="0" t="0" r="0" b="0"/>
                <wp:wrapNone/>
                <wp:docPr id="63" name="Frame6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F-20</w:t>
                      </w:r>
                    </w:p>
                  </w:txbxContent>
                </v:textbox>
                <w10:wrap type="none"/>
              </v:rect>
            </w:pict>
          </mc:Fallback>
        </mc:AlternateConten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7. Stock-Based Compensation</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June 2023, the Company terminated the 2013 Equity Incentive Plan and approved the 2023 Equity Incentive Plan (the “Plan”). Such termination did not affect outstanding awards issued under the 2013 Plan and such awards remain subject to the terms of the 2013 Plan. Under terms of the Plan, incentive stock options ("ISO") may be granted to officers and employees and nonqualified stock options ("NSOs") and awards may be granted to directors, consultants, officers and employees of the Company. The exercise price of the ISOs and NSOs cannot be less than the fair value of the Company's Common Stock on the grant date. The options vest over a period determined by the Board of Directors, generally four years, and expire not more than ten years from the date of grant. During the current period, there were 638,121 stock options that expired at the end of their ten-year term. The Company granted new awards whereby the expired stock options were replaced with the newly granted stock options at current fair market value as well as a contingent cash bonus to cover the fair market value difference between the expired and new awards. Stock option activity under the Plan during the six months ended June 30 2025 is as follows:</w:t>
      </w:r>
    </w:p>
    <w:tbl>
      <w:tblPr>
        <w:tblW w:w="10205" w:type="dxa"/>
        <w:jc w:val="left"/>
        <w:tblInd w:w="0" w:type="dxa"/>
        <w:tblLayout w:type="fixed"/>
        <w:tblCellMar>
          <w:top w:w="28" w:type="dxa"/>
          <w:left w:w="28" w:type="dxa"/>
          <w:bottom w:w="28" w:type="dxa"/>
          <w:right w:w="28" w:type="dxa"/>
        </w:tblCellMar>
      </w:tblPr>
      <w:tblGrid>
        <w:gridCol w:w="981"/>
        <w:gridCol w:w="861"/>
        <w:gridCol w:w="866"/>
        <w:gridCol w:w="304"/>
        <w:gridCol w:w="304"/>
        <w:gridCol w:w="308"/>
        <w:gridCol w:w="716"/>
        <w:gridCol w:w="716"/>
        <w:gridCol w:w="718"/>
        <w:gridCol w:w="843"/>
        <w:gridCol w:w="843"/>
        <w:gridCol w:w="846"/>
        <w:gridCol w:w="579"/>
        <w:gridCol w:w="579"/>
        <w:gridCol w:w="741"/>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270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1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2150"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Weighted-Average Exercise Price</w:t>
            </w:r>
          </w:p>
        </w:tc>
        <w:tc>
          <w:tcPr>
            <w:tcW w:w="2532"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Weighted- Average Contractual Life (In Yrs)</w:t>
            </w:r>
          </w:p>
        </w:tc>
        <w:tc>
          <w:tcPr>
            <w:tcW w:w="189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Aggregate Intrinsic Value</w:t>
            </w:r>
          </w:p>
        </w:tc>
      </w:tr>
      <w:tr>
        <w:trPr/>
        <w:tc>
          <w:tcPr>
            <w:tcW w:w="270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2024</w:t>
            </w:r>
          </w:p>
        </w:tc>
        <w:tc>
          <w:tcPr>
            <w:tcW w:w="916"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10,927,875</w:t>
            </w:r>
          </w:p>
        </w:tc>
        <w:tc>
          <w:tcPr>
            <w:tcW w:w="2150" w:type="dxa"/>
            <w:gridSpan w:val="3"/>
            <w:tcBorders/>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r>
              <w:rPr>
                <w:rFonts w:ascii="Times New Roman;serif" w:hAnsi="Times New Roman;serif"/>
                <w:b w:val="false"/>
                <w:color w:val="000000"/>
                <w:sz w:val="18"/>
              </w:rPr>
              <w:t>$ 0.58</w:t>
            </w:r>
          </w:p>
        </w:tc>
        <w:tc>
          <w:tcPr>
            <w:tcW w:w="253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5.87</w:t>
            </w:r>
          </w:p>
        </w:tc>
        <w:tc>
          <w:tcPr>
            <w:tcW w:w="189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 -</w:t>
            </w:r>
          </w:p>
        </w:tc>
      </w:tr>
      <w:tr>
        <w:trPr/>
        <w:tc>
          <w:tcPr>
            <w:tcW w:w="270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1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907,750</w:t>
            </w:r>
          </w:p>
        </w:tc>
        <w:tc>
          <w:tcPr>
            <w:tcW w:w="2150"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0.58</w:t>
            </w:r>
          </w:p>
        </w:tc>
        <w:tc>
          <w:tcPr>
            <w:tcW w:w="25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9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70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916"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(181,027)</w:t>
            </w:r>
          </w:p>
        </w:tc>
        <w:tc>
          <w:tcPr>
            <w:tcW w:w="2150"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0.58</w:t>
            </w:r>
          </w:p>
        </w:tc>
        <w:tc>
          <w:tcPr>
            <w:tcW w:w="25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99"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70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June 30, 2025</w:t>
            </w:r>
          </w:p>
        </w:tc>
        <w:tc>
          <w:tcPr>
            <w:tcW w:w="91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11,656,661</w:t>
            </w:r>
          </w:p>
        </w:tc>
        <w:tc>
          <w:tcPr>
            <w:tcW w:w="2150"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0.58</w:t>
            </w:r>
          </w:p>
        </w:tc>
        <w:tc>
          <w:tcPr>
            <w:tcW w:w="253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1899" w:type="dxa"/>
            <w:gridSpan w:val="3"/>
            <w:tcBorders/>
            <w:tcMar>
              <w:top w:w="0" w:type="dxa"/>
              <w:left w:w="0" w:type="dxa"/>
              <w:bottom w:w="0" w:type="dxa"/>
              <w:right w:w="0" w:type="dxa"/>
            </w:tcMar>
            <w:vAlign w:val="center"/>
          </w:tcPr>
          <w:p>
            <w:pPr>
              <w:pStyle w:val="TableContents"/>
              <w:bidi w:val="0"/>
              <w:spacing w:lineRule="auto" w:line="319" w:before="0" w:after="0"/>
              <w:jc w:val="right"/>
              <w:rPr>
                <w:color w:val="000000"/>
              </w:rPr>
            </w:pPr>
            <w:r>
              <w:rPr>
                <w:color w:val="000000"/>
              </w:rPr>
              <w:t>                         </w:t>
            </w:r>
            <w:r>
              <w:rPr>
                <w:rFonts w:ascii="Times New Roman;serif" w:hAnsi="Times New Roman;serif"/>
                <w:b w:val="false"/>
                <w:color w:val="000000"/>
                <w:sz w:val="18"/>
              </w:rPr>
              <w:t>-</w:t>
            </w:r>
          </w:p>
        </w:tc>
      </w:tr>
      <w:tr>
        <w:trPr/>
        <w:tc>
          <w:tcPr>
            <w:tcW w:w="270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Options vested and exercisable at June 30, 2025</w:t>
            </w:r>
          </w:p>
        </w:tc>
        <w:tc>
          <w:tcPr>
            <w:tcW w:w="91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9,833,432</w:t>
            </w:r>
          </w:p>
        </w:tc>
        <w:tc>
          <w:tcPr>
            <w:tcW w:w="2150"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0.58</w:t>
            </w:r>
          </w:p>
        </w:tc>
        <w:tc>
          <w:tcPr>
            <w:tcW w:w="253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7.42</w:t>
            </w:r>
          </w:p>
        </w:tc>
        <w:tc>
          <w:tcPr>
            <w:tcW w:w="189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 </w:t>
            </w:r>
          </w:p>
        </w:tc>
      </w:tr>
    </w:tbl>
    <w:p>
      <w:pPr>
        <w:pStyle w:val="TextBody"/>
        <w:bidi w:val="0"/>
        <w:spacing w:lineRule="auto" w:line="319"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grant date fair value during the six months ended June 30 2025 was $0.27. </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approximately $0.3 million of total unrecognized compensation expense related to unvested employee share-based compensation arrangements, which is expected to be recognized over a weighted-average period of 1.84 years.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determining the fair value of share-based awards for the six months ended June 30:</w:t>
      </w:r>
    </w:p>
    <w:tbl>
      <w:tblPr>
        <w:tblW w:w="3340"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351"/>
        <w:gridCol w:w="351"/>
        <w:gridCol w:w="497"/>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4.27%</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62.5%</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5.00</w:t>
            </w:r>
          </w:p>
        </w:tc>
      </w:tr>
    </w:tbl>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Given the absence of an active market for the Company’s Common Stock, the Board of Directors, the members of which the Company believes had extensive business, finance, and venture capital experience, estimated the fair value of the Company’s Common Stock at the time of each option grant. The Board of Directors considered numerous objective and subjective factors in determining the value of the Company’s Common Stock at each option grant date, including the following factors: (i) prices for the Company’s Preferred Stock, which the Company had sold to outside investors in arm’s-length transactions, and the rights, preferences, and privileges of the Company’s Preferred Stock and Common Stock; (ii) valuations performed by an independent valuation specialist; (iii) the Company’s stage of development and revenue growth; (iv) the fact that the option grants involved illiquid securities in a private company; and (v) the likelihood of achieving a </w:t>
      </w:r>
    </w:p>
    <w:p>
      <w:pPr>
        <w:pStyle w:val="TextBody"/>
        <w:bidi w:val="0"/>
        <w:spacing w:before="0" w:after="20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2560"/>
                <wp:effectExtent l="0" t="0" r="0" b="0"/>
                <wp:wrapNone/>
                <wp:docPr id="64" name="Frame6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F-21</w:t>
                      </w:r>
                    </w:p>
                  </w:txbxContent>
                </v:textbox>
                <w10:wrap type="none"/>
              </v:rect>
            </w:pict>
          </mc:Fallback>
        </mc:AlternateContent>
      </w:r>
    </w:p>
    <w:p>
      <w:pPr>
        <w:pStyle w:val="TextBody"/>
        <w:bidi w:val="0"/>
        <w:spacing w:lineRule="auto" w:line="319" w:before="240" w:after="283"/>
        <w:jc w:val="both"/>
        <w:rPr>
          <w:rFonts w:ascii="Times New Roman;serif" w:hAnsi="Times New Roman;serif"/>
          <w:b w:val="false"/>
          <w:color w:val="000000"/>
          <w:sz w:val="20"/>
        </w:rPr>
      </w:pPr>
      <w:r>
        <w:rPr>
          <w:rFonts w:ascii="Times New Roman;serif" w:hAnsi="Times New Roman;serif"/>
          <w:b w:val="false"/>
          <w:color w:val="000000"/>
          <w:sz w:val="20"/>
        </w:rPr>
        <w:t>liquidity event for the shares of Common Stock underlying the options, such as an initial public offering or sale of the Company, given prevailing market conditions.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based its expected volatility on the volatilities of certain publicly-traded peer companies. Management believes that the historical volatility of the Company’s stock price does not best represent the expected volatility of the stock price. The Company is a privately-held company and therefore lacks company-specific historical and implied volatility information. The Company intends to continue to consistently use the same group of publicly-traded peer companies to determine volatility in the future until such a time that sufficient information regarding the volatility of the Company’s share price becomes available or that the selected companies are no longer useful for this purpose.</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has not declared or paid any cash dividends on its Common Stock and does not expect to do so in the foreseeable future. Accordingly, the Company utilizes an expected dividend yield of zero.</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risk-free interest rate used for each grant is equal to the U.S. Treasury yield curve in effect at the time of grant for instruments with a similar expected life. The expected life was determined based on considerations related to the vesting period and contractual term of the options, and projected periods in which the options would be exercised. Accounting for stock-based compensation also requires that the Company recognize compensation expense for only the portion of options that are expected to vest. Therefore, the Company has estimated expected forfeitures of stock options. In developing a forfeiture rate estimate, the Company considered its historical experience. If the actual number of forfeitures differs from those estimated by management, additional adjustments to compensation expense may be required in future periods.</w: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 xml:space="preserve">8. Income Taxes </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tax expense and the effective tax rate were as follows (in thousands): </w:t>
      </w:r>
    </w:p>
    <w:tbl>
      <w:tblPr>
        <w:tblW w:w="5183" w:type="dxa"/>
        <w:jc w:val="left"/>
        <w:tblInd w:w="0" w:type="dxa"/>
        <w:tblLayout w:type="fixed"/>
        <w:tblCellMar>
          <w:top w:w="28" w:type="dxa"/>
          <w:left w:w="28" w:type="dxa"/>
          <w:bottom w:w="28" w:type="dxa"/>
          <w:right w:w="28" w:type="dxa"/>
        </w:tblCellMar>
      </w:tblPr>
      <w:tblGrid>
        <w:gridCol w:w="1046"/>
        <w:gridCol w:w="922"/>
        <w:gridCol w:w="927"/>
        <w:gridCol w:w="109"/>
        <w:gridCol w:w="109"/>
        <w:gridCol w:w="109"/>
        <w:gridCol w:w="529"/>
        <w:gridCol w:w="529"/>
        <w:gridCol w:w="531"/>
        <w:gridCol w:w="109"/>
        <w:gridCol w:w="109"/>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Six Months Ended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(870)</w:t>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96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368</w:t>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96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18.7%</w:t>
            </w:r>
          </w:p>
        </w:tc>
      </w:tr>
    </w:tbl>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Company’s recorded effective tax rate differs from the U.S. statutory rate primarily due to an increase in valuation allowance related to tax losses, and outside basis difference of partnership investment.</w: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is committed under non-cancelable, long-term operating and finance leases for certain of its facilities and equipment. Rent expense charged to operations amounted to approximately $0.3 million during the six months ended June 30, 2025. Rent expense related to agreements which have escalating payment terms is straight-lined for accounting purposes.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Minimum annual rental payments, including renewable option periods required by these operating leases, but excluding free-rent periods, are approximately as follows (in thousands):</w:t>
      </w:r>
    </w:p>
    <w:p>
      <w:pPr>
        <w:pStyle w:val="TextBody"/>
        <w:bidi w:val="0"/>
        <w:spacing w:before="240" w:after="283"/>
        <w:ind w:left="0" w:right="0" w:firstLine="475"/>
        <w:jc w:val="both"/>
        <w:rPr/>
      </w:pPr>
      <w:r>
        <w:rPr/>
      </w:r>
    </w:p>
    <w:p>
      <w:pPr>
        <w:pStyle w:val="TextBody"/>
        <w:bidi w:val="0"/>
        <w:spacing w:before="0" w:after="20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2560"/>
                <wp:effectExtent l="0" t="0" r="0" b="0"/>
                <wp:wrapNone/>
                <wp:docPr id="65" name="Frame6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F-22</w:t>
                      </w:r>
                    </w:p>
                  </w:txbxContent>
                </v:textbox>
                <w10:wrap type="none"/>
              </v:rect>
            </w:pict>
          </mc:Fallback>
        </mc:AlternateContent>
      </w:r>
    </w:p>
    <w:tbl>
      <w:tblPr>
        <w:tblW w:w="2983" w:type="dxa"/>
        <w:jc w:val="left"/>
        <w:tblInd w:w="0" w:type="dxa"/>
        <w:tblLayout w:type="fixed"/>
        <w:tblCellMar>
          <w:top w:w="28" w:type="dxa"/>
          <w:left w:w="28" w:type="dxa"/>
          <w:bottom w:w="28" w:type="dxa"/>
          <w:right w:w="28" w:type="dxa"/>
        </w:tblCellMar>
      </w:tblPr>
      <w:tblGrid>
        <w:gridCol w:w="761"/>
        <w:gridCol w:w="666"/>
        <w:gridCol w:w="673"/>
        <w:gridCol w:w="109"/>
        <w:gridCol w:w="109"/>
        <w:gridCol w:w="109"/>
        <w:gridCol w:w="162"/>
        <w:gridCol w:w="162"/>
        <w:gridCol w:w="232"/>
      </w:tblGrid>
      <w:tr>
        <w:trPr/>
        <w:tc>
          <w:tcPr>
            <w:tcW w:w="7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Six months ending June 30:</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56"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100"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2025 (remainder)</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367</w:t>
            </w:r>
          </w:p>
        </w:tc>
      </w:tr>
      <w:tr>
        <w:trPr/>
        <w:tc>
          <w:tcPr>
            <w:tcW w:w="210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5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674</w:t>
            </w:r>
          </w:p>
        </w:tc>
      </w:tr>
      <w:tr>
        <w:trPr/>
        <w:tc>
          <w:tcPr>
            <w:tcW w:w="210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5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439</w:t>
            </w:r>
          </w:p>
        </w:tc>
      </w:tr>
      <w:tr>
        <w:trPr/>
        <w:tc>
          <w:tcPr>
            <w:tcW w:w="210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5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153</w:t>
            </w:r>
          </w:p>
        </w:tc>
      </w:tr>
      <w:tr>
        <w:trPr/>
        <w:tc>
          <w:tcPr>
            <w:tcW w:w="210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2029 and thereafter</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5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0</w:t>
            </w:r>
          </w:p>
        </w:tc>
      </w:tr>
      <w:tr>
        <w:trPr/>
        <w:tc>
          <w:tcPr>
            <w:tcW w:w="210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Total rent payments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r>
          </w:p>
        </w:tc>
        <w:tc>
          <w:tcPr>
            <w:tcW w:w="5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1,633</w:t>
            </w:r>
          </w:p>
        </w:tc>
      </w:tr>
      <w:tr>
        <w:trPr/>
        <w:tc>
          <w:tcPr>
            <w:tcW w:w="210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5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(248)</w:t>
            </w:r>
          </w:p>
        </w:tc>
      </w:tr>
      <w:tr>
        <w:trPr/>
        <w:tc>
          <w:tcPr>
            <w:tcW w:w="210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1,385</w:t>
            </w:r>
          </w:p>
        </w:tc>
      </w:tr>
    </w:tbl>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operating leases at June 30, 2025:</w:t>
      </w:r>
    </w:p>
    <w:p>
      <w:pPr>
        <w:pStyle w:val="TextBody"/>
        <w:bidi w:val="0"/>
        <w:spacing w:before="240" w:after="283"/>
        <w:jc w:val="both"/>
        <w:rPr/>
      </w:pPr>
      <w:r>
        <w:rPr/>
      </w:r>
    </w:p>
    <w:tbl>
      <w:tblPr>
        <w:tblW w:w="4063" w:type="dxa"/>
        <w:jc w:val="left"/>
        <w:tblInd w:w="0" w:type="dxa"/>
        <w:tblLayout w:type="fixed"/>
        <w:tblCellMar>
          <w:top w:w="28" w:type="dxa"/>
          <w:left w:w="28" w:type="dxa"/>
          <w:bottom w:w="28" w:type="dxa"/>
          <w:right w:w="28" w:type="dxa"/>
        </w:tblCellMar>
      </w:tblPr>
      <w:tblGrid>
        <w:gridCol w:w="1152"/>
        <w:gridCol w:w="1010"/>
        <w:gridCol w:w="1018"/>
        <w:gridCol w:w="109"/>
        <w:gridCol w:w="109"/>
        <w:gridCol w:w="109"/>
        <w:gridCol w:w="161"/>
        <w:gridCol w:w="161"/>
        <w:gridCol w:w="23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3"/>
            <w:tcBorders/>
            <w:tcMar>
              <w:top w:w="0" w:type="dxa"/>
              <w:left w:w="0" w:type="dxa"/>
              <w:bottom w:w="0" w:type="dxa"/>
              <w:right w:w="0" w:type="dxa"/>
            </w:tcMar>
            <w:vAlign w:val="center"/>
          </w:tcPr>
          <w:p>
            <w:pPr>
              <w:pStyle w:val="TableContents"/>
              <w:bidi w:val="0"/>
              <w:spacing w:lineRule="auto" w:line="319" w:before="0" w:after="0"/>
              <w:jc w:val="right"/>
              <w:rPr>
                <w:color w:val="000000"/>
              </w:rPr>
            </w:pPr>
            <w:r>
              <w:rPr>
                <w:color w:val="000000"/>
              </w:rPr>
              <w:t> </w:t>
            </w:r>
            <w:r>
              <w:rPr>
                <w:rFonts w:ascii="Times New Roman;serif" w:hAnsi="Times New Roman;serif"/>
                <w:b w:val="false"/>
                <w:color w:val="000000"/>
                <w:sz w:val="18"/>
              </w:rPr>
              <w:t>550</w:t>
            </w:r>
          </w:p>
        </w:tc>
      </w:tr>
      <w:tr>
        <w:trPr/>
        <w:tc>
          <w:tcPr>
            <w:tcW w:w="31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long-term liabilities </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56"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835</w:t>
            </w:r>
          </w:p>
        </w:tc>
      </w:tr>
      <w:tr>
        <w:trPr/>
        <w:tc>
          <w:tcPr>
            <w:tcW w:w="318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Total operating leases</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0"/>
              <w:jc w:val="right"/>
              <w:rPr>
                <w:rFonts w:ascii="Times New Roman;serif" w:hAnsi="Times New Roman;serif"/>
                <w:b w:val="false"/>
                <w:color w:val="000000"/>
                <w:sz w:val="18"/>
              </w:rPr>
            </w:pPr>
            <w:r>
              <w:rPr>
                <w:rFonts w:ascii="Times New Roman;serif" w:hAnsi="Times New Roman;serif"/>
                <w:b w:val="false"/>
                <w:color w:val="000000"/>
                <w:sz w:val="18"/>
              </w:rPr>
              <w:t>1,385</w:t>
            </w:r>
          </w:p>
        </w:tc>
      </w:tr>
    </w:tbl>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other information related to leases (amount in thousands, except lease term and discount rate data):</w:t>
      </w:r>
    </w:p>
    <w:p>
      <w:pPr>
        <w:pStyle w:val="TextBody"/>
        <w:bidi w:val="0"/>
        <w:spacing w:before="240" w:after="283"/>
        <w:ind w:left="0" w:right="0" w:firstLine="475"/>
        <w:jc w:val="both"/>
        <w:rPr/>
      </w:pPr>
      <w:r>
        <w:rPr/>
      </w:r>
    </w:p>
    <w:tbl>
      <w:tblPr>
        <w:tblW w:w="6192" w:type="dxa"/>
        <w:jc w:val="left"/>
        <w:tblInd w:w="0" w:type="dxa"/>
        <w:tblLayout w:type="fixed"/>
        <w:tblCellMar>
          <w:top w:w="28" w:type="dxa"/>
          <w:left w:w="28" w:type="dxa"/>
          <w:bottom w:w="28" w:type="dxa"/>
          <w:right w:w="28" w:type="dxa"/>
        </w:tblCellMar>
      </w:tblPr>
      <w:tblGrid>
        <w:gridCol w:w="1924"/>
        <w:gridCol w:w="1690"/>
        <w:gridCol w:w="1695"/>
        <w:gridCol w:w="109"/>
        <w:gridCol w:w="109"/>
        <w:gridCol w:w="109"/>
        <w:gridCol w:w="162"/>
        <w:gridCol w:w="162"/>
        <w:gridCol w:w="232"/>
      </w:tblGrid>
      <w:tr>
        <w:trPr/>
        <w:tc>
          <w:tcPr>
            <w:tcW w:w="1924"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56"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Cash payments included in operating cash flows from lease arrangements</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$ 360</w:t>
            </w:r>
          </w:p>
        </w:tc>
      </w:tr>
    </w:tbl>
    <w:p>
      <w:pPr>
        <w:pStyle w:val="TextBody"/>
        <w:bidi w:val="0"/>
        <w:spacing w:before="0" w:after="0"/>
        <w:jc w:val="left"/>
        <w:rPr/>
      </w:pPr>
      <w:r>
        <w:rPr/>
      </w:r>
    </w:p>
    <w:p>
      <w:pPr>
        <w:pStyle w:val="TextBody"/>
        <w:bidi w:val="0"/>
        <w:spacing w:lineRule="auto" w:line="288" w:before="0" w:after="0"/>
        <w:ind w:left="0" w:right="0" w:hanging="187"/>
        <w:jc w:val="left"/>
        <w:rPr>
          <w:rFonts w:ascii="Times New Roman;serif" w:hAnsi="Times New Roman;serif"/>
          <w:b/>
          <w:color w:val="000000"/>
          <w:sz w:val="20"/>
        </w:rPr>
      </w:pPr>
      <w:r>
        <w:rPr>
          <w:rFonts w:ascii="Times New Roman;serif" w:hAnsi="Times New Roman;serif"/>
          <w:b/>
          <w:color w:val="000000"/>
          <w:sz w:val="20"/>
        </w:rPr>
        <w:t>Additional lease information</w:t>
      </w:r>
    </w:p>
    <w:tbl>
      <w:tblPr>
        <w:tblW w:w="3765" w:type="dxa"/>
        <w:jc w:val="left"/>
        <w:tblInd w:w="0" w:type="dxa"/>
        <w:tblLayout w:type="fixed"/>
        <w:tblCellMar>
          <w:top w:w="28" w:type="dxa"/>
          <w:left w:w="28" w:type="dxa"/>
          <w:bottom w:w="28" w:type="dxa"/>
          <w:right w:w="28" w:type="dxa"/>
        </w:tblCellMar>
      </w:tblPr>
      <w:tblGrid>
        <w:gridCol w:w="1041"/>
        <w:gridCol w:w="915"/>
        <w:gridCol w:w="924"/>
        <w:gridCol w:w="259"/>
        <w:gridCol w:w="259"/>
        <w:gridCol w:w="367"/>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2.46 years</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13.70%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recognized operating lease costs of approximately $0.4 million. Variable lease costs were immaterial, and the Company did not incur any short-term lease costs during the period.</w: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 xml:space="preserve">10. Contingencies </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legal actions arising in the ordinary course of business. Each of these matters is subject to various uncertainties, and it is possible that some of these matters may be resolved unfavorably. The Company establishes accruals for losses that management deems to be probable and subject to reasonable estimates. As of June 30, 2025, no such accruals were required.</w:t>
      </w:r>
    </w:p>
    <w:p>
      <w:pPr>
        <w:pStyle w:val="TextBody"/>
        <w:bidi w:val="0"/>
        <w:spacing w:lineRule="auto" w:line="319" w:before="360" w:after="283"/>
        <w:jc w:val="both"/>
        <w:rPr>
          <w:rFonts w:ascii="Times New Roman;serif" w:hAnsi="Times New Roman;serif"/>
          <w:b/>
          <w:i/>
          <w:color w:val="000000"/>
          <w:sz w:val="20"/>
        </w:rPr>
      </w:pPr>
      <w:r>
        <w:rPr>
          <w:rFonts w:ascii="Times New Roman;serif" w:hAnsi="Times New Roman;serif"/>
          <w:b/>
          <w:i/>
          <w:color w:val="000000"/>
          <w:sz w:val="20"/>
        </w:rPr>
        <w:t>Guarantees and Indemnification Obligations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standard indemnification agreements in the ordinary course of business. Pursuant to these agreements, the Company indemnifies and agrees to reimburse the indemnified party for losses and costs incurred by the indemnified party, generally the Company’s customers, in connection with any third-party claims, including third-party claims that the Company’s products or services infringe any patent, copyright, trade secret, or other intellectual property or personal right of a third party. The term of these indemnification agreements is generally perpetual after execution of the agreement. The maximum potential </w:t>
      </w:r>
    </w:p>
    <w:p>
      <w:pPr>
        <w:pStyle w:val="TextBody"/>
        <w:bidi w:val="0"/>
        <w:spacing w:before="0" w:after="20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2560"/>
                <wp:effectExtent l="0" t="0" r="0" b="0"/>
                <wp:wrapNone/>
                <wp:docPr id="66" name="Frame6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F-23</w:t>
                      </w:r>
                    </w:p>
                  </w:txbxContent>
                </v:textbox>
                <w10:wrap type="none"/>
              </v:rect>
            </w:pict>
          </mc:Fallback>
        </mc:AlternateContent>
      </w:r>
    </w:p>
    <w:p>
      <w:pPr>
        <w:pStyle w:val="TextBody"/>
        <w:bidi w:val="0"/>
        <w:spacing w:lineRule="auto" w:line="319" w:before="120" w:after="283"/>
        <w:jc w:val="both"/>
        <w:rPr>
          <w:rFonts w:ascii="Times New Roman;serif" w:hAnsi="Times New Roman;serif"/>
          <w:b w:val="false"/>
          <w:color w:val="000000"/>
          <w:sz w:val="20"/>
        </w:rPr>
      </w:pPr>
      <w:r>
        <w:rPr>
          <w:rFonts w:ascii="Times New Roman;serif" w:hAnsi="Times New Roman;serif"/>
          <w:b w:val="false"/>
          <w:color w:val="000000"/>
          <w:sz w:val="20"/>
        </w:rPr>
        <w:t>amount of future payments the Company could be required to make under certain of these indemnification agreements is unlimited. Based on historical experience and information known as of June 30, 2025, the Company has not accrued any liabilities for the above guarantees and indemnities.</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certain circumstances, the Company warrants that its services will be performed in all material respects in accordance with its standard service conditions. To date, the Company has not incurred significant expense under its warranties and, as a result, the Company believes the estimated fair value of these agreements is immaterial.</w: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11. Retirement Plan</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Company sponsors a 401(k) retirement plan (the “Retirement Plan”) covering all employees upon completion of certain eligibility requirements. Employer-matching and other contributions to the Retirement Plan are discretionary. The Company contributed $0.4 million to the Retirement Plan for the six months ended June 30, 2025.</w: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12. Related Parties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In 2012, the Company entered into the SLT License Agreement, where the licensor was granted 3,200,000 shares of Series F Preferred Stock. In 2014, the Company through a Business Combination acquired the previously licensed SLT from the same party in exchange for the Non-Controlling Interest issued, see Note 5. The Company recognized revenue of $1.0 million from this related party for the six months ended June 30, 2025. The Company purchased goods and services from the same related party of $0.4 million for the six months ended June 30, 2025. The Company had receivables of $6.4 million from the same related party as of June 30, 2025. </w:t>
      </w:r>
    </w:p>
    <w:p>
      <w:pPr>
        <w:pStyle w:val="TextBody"/>
        <w:bidi w:val="0"/>
        <w:spacing w:lineRule="auto" w:line="319" w:before="360" w:after="283"/>
        <w:ind w:left="0" w:right="0" w:hanging="475"/>
        <w:jc w:val="both"/>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319" w:before="12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In accordance with ASC 855, Subsequent Events, the Company evaluated subsequent events through November 14, 2025, the date these condensed consolidated financial statements were available to be issued.</w:t>
      </w:r>
    </w:p>
    <w:p>
      <w:pPr>
        <w:pStyle w:val="TextBody"/>
        <w:bidi w:val="0"/>
        <w:spacing w:lineRule="auto" w:line="319" w:before="24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On September 3, 2025, SoundHound AI, Inc. (“SoundHound”) completed its acquisition of the Company pursuant to the merger agreement by and among SoundHound, Inc., Iris Merger Sub, Inc., Interactions Corporation, and Shareholder Representative Services LLC and the SoundHound. As a result of the acquisition, all shares, options and warrants are cancelled in exchange for no consideration, except Series G-1 and G-3 preferred stock. The Term loan debt was fully paid off as part of purchase consideration. All non-controlling interest is cancelled after closing of acquisition.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2560"/>
                <wp:effectExtent l="0" t="0" r="0" b="0"/>
                <wp:wrapNone/>
                <wp:docPr id="67" name="Frame6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F-24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Unaudited Pro Forma Condensed Combined Financial Information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unaudited pro forma condensed combined financial information of SoundHound AI, Inc. (“SoundHound” or the “Company”) has been prepared in accordance with Article 11 of Regulation S-X and presents the combination of the historical financial information of SoundHound and Interactions Corporation (“Interactions” or the “Target”), adjusted to give effect to the Acquisition. The unaudited pro forma condensed combined financial information of SoundHound also gives effect to the acquisition of Amelia and paydown of the assumed Amelia debt completed by SoundHound that occurred in 2024 but were not reflected in the historical financial information of SoundHound for a full fiscal year and were considered material transactions separate from the acquisition of Interactions.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the Acquisition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September 3, 2025 (the “Acquisition Date”), SoundHound completed its acquisition of Interactions (the “Acquisition” or “Interactions Acquisition”), pursuant to the terms of the Agreement and Plan of Merger (the “Merger Agreement”). Under the terms of the Merger Agreement, total consideration consists of: </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(i)approximately $60.0 million in cash (the “Upfront Consideration”), payable on the Acquisition Date and subject to adjustment for net working capital, company cash, transaction expenses, company debt, the Series G-1 consideration, and other items as set forth in the Merger agreement, of which approximately $41.5 million is attributable to settlement of Interactions’ outstanding debt at closing, and</w:t>
      </w:r>
    </w:p>
    <w:p>
      <w:pPr>
        <w:pStyle w:val="TextBody"/>
        <w:bidi w:val="0"/>
        <w:spacing w:lineRule="auto" w:line="288" w:before="0" w:after="0"/>
        <w:ind w:left="0" w:right="0" w:hanging="720"/>
        <w:jc w:val="both"/>
        <w:rPr>
          <w:shd w:fill="FFFFFF" w:val="clear"/>
        </w:rPr>
      </w:pPr>
      <w:r>
        <w:rPr>
          <w:rFonts w:ascii="Times New Roman;serif" w:hAnsi="Times New Roman;serif"/>
          <w:b w:val="false"/>
          <w:color w:val="000000"/>
          <w:sz w:val="20"/>
          <w:shd w:fill="FFFFFF" w:val="clear"/>
        </w:rPr>
        <w:t>(ii)up to $25.0 million of additional cash consideration to certain stockholders of the Target based on certain revenue targets for each of calendar years 2026 and 2027 (the ’</w:t>
      </w:r>
      <w:r>
        <w:rPr>
          <w:rFonts w:ascii="Times New Roman;serif" w:hAnsi="Times New Roman;serif"/>
          <w:b/>
          <w:color w:val="000000"/>
          <w:sz w:val="20"/>
          <w:shd w:fill="FFFFFF" w:val="clear"/>
        </w:rPr>
        <w:t>Earnout Amount</w:t>
      </w:r>
      <w:r>
        <w:rPr>
          <w:color w:val="000000"/>
          <w:shd w:fill="FFFFFF" w:val="clear"/>
        </w:rPr>
        <w:t>”</w:t>
      </w:r>
      <w:r>
        <w:rPr>
          <w:rFonts w:ascii="Times New Roman;serif" w:hAnsi="Times New Roman;serif"/>
          <w:b w:val="false"/>
          <w:color w:val="000000"/>
          <w:sz w:val="20"/>
          <w:shd w:fill="FFFFFF" w:val="clear"/>
        </w:rPr>
        <w:t>). Included within the earnout is a $1.25 million additional Management Incentive Plan (MIP)</w:t>
      </w:r>
      <w:r>
        <w:rPr>
          <w:color w:val="000000"/>
          <w:shd w:fill="FFFFFF" w:val="clear"/>
        </w:rPr>
        <w:t xml:space="preserve"> </w:t>
      </w:r>
      <w:r>
        <w:rPr>
          <w:rFonts w:ascii="Times New Roman;serif" w:hAnsi="Times New Roman;serif"/>
          <w:b w:val="false"/>
          <w:color w:val="000000"/>
          <w:sz w:val="20"/>
          <w:shd w:fill="FFFFFF" w:val="clear"/>
        </w:rPr>
        <w:t xml:space="preserve">bonus payable to key employees so long as the employees are still employed with the Company, and the revenue targets are achieved in 2026 and 2027.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closing of the Acquisition, $0.2 million in cash of the Upfront Consideration is being withheld for a period of 12 months after the closing to partially secure the indemnification obligations of the Target’s stockholders under the Merger Agreement and $1.0 million in cash of the Upfront Consideration is being withheld for purposes of changes in the closing net working capital adjustments and will be released after the such adjustments are completed.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the Acquisition Date, each outstanding share of Target capital stock, Target stock option, Target warrant to purchase capital stock, and Target treasury stock was cancelled and extinguished without any present or future right to receive any consideration with the exception of certain shares of Target preferred stock that were converted into the right to receive the consideration defined above.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Description of Amelia Acquisition and debt paydown during the year ended December 31, 2024 </w:t>
      </w:r>
    </w:p>
    <w:p>
      <w:pPr>
        <w:pStyle w:val="TextBody"/>
        <w:bidi w:val="0"/>
        <w:spacing w:before="0" w:after="0"/>
        <w:jc w:val="left"/>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On August 6, 2024, SoundHound completed its acquisition of Amelia (the “Amelia Acquisition”), pursuant to the terms of the Stock Purchase Agreement (the “Purchase Agreement”) entered into by and among SoundHound, Firehorse Merger Sub, LLC (“Purchaser Sub”), IPSoft Global Holdings, Inc., and BuildGroup, LLC (each of IPSoft Global Holdings, Inc. and BuildGroup LLC, a “Seller” and collectively, the “Sellers”). The Company issued a total of 5,959,050 shares of the SoundHound Class A common stock to the Sellers, and deposited 2,149,530 out of the 5,959,050 shares into an escrow account in order to partially secure the indemnification obligations of the Sellers under the Purchase Agreement.</w:t>
      </w:r>
      <w:r>
        <w:rPr>
          <w:color w:val="000000"/>
          <w:shd w:fill="FFFFFF" w:val="clear"/>
        </w:rPr>
        <w:t xml:space="preserve"> </w:t>
      </w:r>
      <w:r>
        <w:rPr>
          <w:rFonts w:ascii="Times New Roman;serif" w:hAnsi="Times New Roman;serif"/>
          <w:b w:val="false"/>
          <w:color w:val="000000"/>
          <w:sz w:val="20"/>
          <w:shd w:fill="FFFFFF" w:val="clear"/>
        </w:rPr>
        <w:t xml:space="preserve">The Company also paid $8.4 million in cash for seller transaction expenses in connection with the closing of the Amelia Acquisition. At the effective time of the Amelia Acquisition, each outstanding Amelia stock option expired and was cancelled and extinguished without any right to receive any consideration and each outstanding Amelia warrant to purchase Amelia capital stock expired and was cancelled and extinguished without any right to receive any consideration. In addition, the Company agreed to issue up to 16,822,429 shares to the Sellers based on achievement of certain revenue targets in fiscal years 2025 and 2026. </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In connection with the Amelia Acquisition, the Company assumed the amended senior secured term loan facility of Amelia (“Amended Term Loan Facility”).</w:t>
      </w:r>
      <w:r>
        <w:rPr>
          <w:color w:val="000000"/>
          <w:shd w:fill="FFFFFF" w:val="clear"/>
        </w:rPr>
        <w:t xml:space="preserve"> </w:t>
      </w:r>
      <w:r>
        <w:rPr>
          <w:rFonts w:ascii="Times New Roman;serif" w:hAnsi="Times New Roman;serif"/>
          <w:b w:val="false"/>
          <w:color w:val="000000"/>
          <w:sz w:val="20"/>
          <w:shd w:fill="FFFFFF" w:val="clear"/>
        </w:rPr>
        <w:t xml:space="preserve">In accordance with the amended terms, on August 7, 2024, the Company paid $70.0 million in cash and issued 2,943,917 shares to pay down a portion of the outstanding principal balance and settle certain fees associated with the Amended Term Loan Facility. The remaining outstanding balance of $39.7 million on the Amended Term Loan Facility was repaid in full on December 3, 2024 (together with the initial Amelia debt paydown, the “Amelia Debt Paydown”).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Other Information</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8"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 unaudited pro forma condensed consolidated balance sheet has not been presented as the historical condensed consolidated balance sheet of SoundHound as of September 30, 2025 already reflects the Acquisition. The unaudited pro forma condensed combined statements of operations for the year ended December 31, 2024 and nine months ended September 30, 2025 assume that the Acquisition, Amelia Acquisition, and Amelia Debt Paydown (the “Transactions”) occurred as of January 1, 2024, and combine the historical results of SoundHound, Amelia, and Interactions giving pro forma effect for the periods then ended.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unaudited pro forma condensed combined financial information is derived from the historical financial information of SoundHound, Amelia, and Interactions, and should be read in conjunction with the following information:</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historical audited consolidated financial statements of SoundHound for the year ended December 31, 2024, included in its Annual Report on Form 10-K filed with the Securities and Exchange Commission (“SEC”) on March 11, 2025,</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historical unaudited condensed consolidated financial statements of SoundHound for the nine months ended September 30, 2025, included in its Quarterly Report on Form 10-Q filed with the SEC on November 10, 2025,</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the historical audited consolidated financial statements of Interactions for the year ended December 31, 2024, that are included as Exhibit 99.1 in the Company’s Report on Form 8-K/A filed with the SEC on November 14, 2025, to which this unaudited pro forma condensed combined financial information is being filed as an exhibit, </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historical unaudited condensed consolidated financial statements of Interactions for the six months ended June 30, 2025, that are included as Exhibit 99.2 in the Company’s Report on Form 8-K/A filed with the SEC on November 14, 2025, to which this unaudited pro forma condensed combined financial information is being filed as an exhibit, and</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the historical unaudited financial information of Amelia for the period from January 1, 2024 to August 5, 2024 is derived from the historical unaudited pro forma condensed combined statement of operations of SoundHound for the nine months ended September 30, 2024, included in the Form S-3 filed with the SEC on January 28,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Such adjustments are estimates and actual experience may differ from expectations.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Acquisition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9"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data) </w:t>
      </w:r>
    </w:p>
    <w:p>
      <w:pPr>
        <w:pStyle w:val="TextBody"/>
        <w:bidi w:val="0"/>
        <w:spacing w:before="0" w:after="0"/>
        <w:jc w:val="center"/>
        <w:rPr/>
      </w:pPr>
      <w:r>
        <w:rPr/>
      </w:r>
    </w:p>
    <w:tbl>
      <w:tblPr>
        <w:tblW w:w="11877" w:type="dxa"/>
        <w:jc w:val="left"/>
        <w:tblInd w:w="0" w:type="dxa"/>
        <w:tblLayout w:type="fixed"/>
        <w:tblCellMar>
          <w:top w:w="28" w:type="dxa"/>
          <w:left w:w="28" w:type="dxa"/>
          <w:bottom w:w="28" w:type="dxa"/>
          <w:right w:w="28" w:type="dxa"/>
        </w:tblCellMar>
      </w:tblPr>
      <w:tblGrid>
        <w:gridCol w:w="692"/>
        <w:gridCol w:w="277"/>
        <w:gridCol w:w="222"/>
        <w:gridCol w:w="220"/>
        <w:gridCol w:w="142"/>
        <w:gridCol w:w="133"/>
        <w:gridCol w:w="433"/>
        <w:gridCol w:w="438"/>
        <w:gridCol w:w="134"/>
        <w:gridCol w:w="109"/>
        <w:gridCol w:w="109"/>
        <w:gridCol w:w="109"/>
        <w:gridCol w:w="243"/>
        <w:gridCol w:w="146"/>
        <w:gridCol w:w="146"/>
        <w:gridCol w:w="410"/>
        <w:gridCol w:w="146"/>
        <w:gridCol w:w="149"/>
        <w:gridCol w:w="109"/>
        <w:gridCol w:w="109"/>
        <w:gridCol w:w="109"/>
        <w:gridCol w:w="243"/>
        <w:gridCol w:w="178"/>
        <w:gridCol w:w="146"/>
        <w:gridCol w:w="485"/>
        <w:gridCol w:w="146"/>
        <w:gridCol w:w="149"/>
        <w:gridCol w:w="109"/>
        <w:gridCol w:w="109"/>
        <w:gridCol w:w="109"/>
        <w:gridCol w:w="265"/>
        <w:gridCol w:w="160"/>
        <w:gridCol w:w="160"/>
        <w:gridCol w:w="381"/>
        <w:gridCol w:w="160"/>
        <w:gridCol w:w="161"/>
        <w:gridCol w:w="109"/>
        <w:gridCol w:w="109"/>
        <w:gridCol w:w="109"/>
        <w:gridCol w:w="209"/>
        <w:gridCol w:w="126"/>
        <w:gridCol w:w="126"/>
        <w:gridCol w:w="346"/>
        <w:gridCol w:w="135"/>
        <w:gridCol w:w="128"/>
        <w:gridCol w:w="109"/>
        <w:gridCol w:w="109"/>
        <w:gridCol w:w="109"/>
        <w:gridCol w:w="225"/>
        <w:gridCol w:w="225"/>
        <w:gridCol w:w="226"/>
        <w:gridCol w:w="109"/>
        <w:gridCol w:w="109"/>
        <w:gridCol w:w="109"/>
        <w:gridCol w:w="181"/>
        <w:gridCol w:w="199"/>
        <w:gridCol w:w="199"/>
        <w:gridCol w:w="434"/>
        <w:gridCol w:w="437"/>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SoundHound Historical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Amelia Historical &amp; Transaction Accounting Adjustments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SoundHound and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Amelia Historical &amp; Transaction Accounting Adjustments Combined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Interactions Historical – After Reclassification Adjustments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Transaction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Note Reference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 Forma Combined</w:t>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Revenues</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46"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84,693 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8"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54,579 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55"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139,272 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1"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82,058 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3"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69"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221,330 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Operating expenses: </w:t>
            </w:r>
          </w:p>
        </w:tc>
        <w:tc>
          <w:tcPr>
            <w:tcW w:w="49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Cost of revenues</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(5,961)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4(a), 4(b)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Sales and marketing</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4(b), (4c)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Research and development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70,555 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Change in fair value of contingent acquisition liabilities</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222,670 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222,670 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19,038 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color w:val="000000"/>
              </w:rPr>
            </w:pPr>
            <w:r>
              <w:rPr>
                <w:color w:val="000000"/>
              </w:rPr>
              <w:t>     </w:t>
            </w:r>
            <w:r>
              <w:rPr>
                <w:rFonts w:ascii="Times New Roman;serif" w:hAnsi="Times New Roman;serif"/>
                <w:b w:val="false"/>
                <w:color w:val="000000"/>
                <w:sz w:val="14"/>
              </w:rPr>
              <w:t>Total operating expenses</w:t>
            </w:r>
          </w:p>
        </w:tc>
        <w:tc>
          <w:tcPr>
            <w:tcW w:w="4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426,046 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80,415 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506,461 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71,074 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578,099 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from operations</w:t>
            </w:r>
          </w:p>
        </w:tc>
        <w:tc>
          <w:tcPr>
            <w:tcW w:w="4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(341,353)</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(25,836)</w:t>
            </w:r>
          </w:p>
        </w:tc>
        <w:tc>
          <w:tcPr>
            <w:tcW w:w="1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(367,189)</w:t>
            </w:r>
          </w:p>
        </w:tc>
        <w:tc>
          <w:tcPr>
            <w:tcW w:w="1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10,984 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(356,769)</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Loss on early extinguishment of debt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(15,629)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(15,629)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(12,168)</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(11,117)</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0"/>
              <w:jc w:val="left"/>
              <w:rPr>
                <w:color w:val="000000"/>
              </w:rPr>
            </w:pPr>
            <w:r>
              <w:rPr>
                <w:color w:val="000000"/>
              </w:rPr>
              <w:t>     </w:t>
            </w:r>
            <w:r>
              <w:rPr>
                <w:rFonts w:ascii="Times New Roman;serif" w:hAnsi="Times New Roman;serif"/>
                <w:b w:val="false"/>
                <w:color w:val="000000"/>
                <w:sz w:val="14"/>
              </w:rPr>
              <w:t>Total other income (expense), net</w:t>
            </w:r>
          </w:p>
        </w:tc>
        <w:tc>
          <w:tcPr>
            <w:tcW w:w="4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(18,575)</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579 </w:t>
            </w:r>
          </w:p>
        </w:tc>
        <w:tc>
          <w:tcPr>
            <w:tcW w:w="1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(17,996)</w:t>
            </w:r>
          </w:p>
        </w:tc>
        <w:tc>
          <w:tcPr>
            <w:tcW w:w="1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(6,458)</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6,223 </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(18,231)</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(Income) loss before provision (benefit) for income taxes</w:t>
            </w:r>
          </w:p>
        </w:tc>
        <w:tc>
          <w:tcPr>
            <w:tcW w:w="4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(359,928)</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(25,257)</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(385,185)</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4,526 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5,659 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(375,000)</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(benefit) for income taxes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(9,247)</w:t>
            </w:r>
          </w:p>
        </w:tc>
        <w:tc>
          <w:tcPr>
            <w:tcW w:w="13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4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(9,159)</w:t>
            </w:r>
          </w:p>
        </w:tc>
        <w:tc>
          <w:tcPr>
            <w:tcW w:w="14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w:t>
            </w:r>
          </w:p>
        </w:tc>
        <w:tc>
          <w:tcPr>
            <w:tcW w:w="16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793 </w:t>
            </w:r>
          </w:p>
        </w:tc>
        <w:tc>
          <w:tcPr>
            <w:tcW w:w="128"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(9,001)</w:t>
            </w:r>
          </w:p>
        </w:tc>
        <w:tc>
          <w:tcPr>
            <w:tcW w:w="15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46"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(350,681)</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8"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(25,345)</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55"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(376,026)</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1"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5,161 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3"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4,866 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69"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(365,999)</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Cumulative dividends attributable to Series A Preferred</w:t>
            </w:r>
          </w:p>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Stock</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C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Earnings attributable to non-controlling interest</w:t>
            </w:r>
          </w:p>
        </w:tc>
        <w:tc>
          <w:tcPr>
            <w:tcW w:w="49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4" w:space="0" w:color="000000"/>
            </w:tcBorders>
            <w:shd w:fill="CCEC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34" w:type="dxa"/>
            <w:tcBorders>
              <w:bottom w:val="single" w:sz="4" w:space="0" w:color="000000"/>
            </w:tcBorders>
            <w:shd w:fill="CCEC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CCEC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49" w:type="dxa"/>
            <w:tcBorders>
              <w:bottom w:val="single" w:sz="4" w:space="0" w:color="000000"/>
            </w:tcBorders>
            <w:shd w:fill="CCEC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4" w:space="0" w:color="000000"/>
            </w:tcBorders>
            <w:shd w:fill="CCEC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49" w:type="dxa"/>
            <w:tcBorders>
              <w:bottom w:val="single" w:sz="4" w:space="0" w:color="000000"/>
            </w:tcBorders>
            <w:shd w:fill="CCEC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CCEC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1,023 </w:t>
            </w:r>
          </w:p>
        </w:tc>
        <w:tc>
          <w:tcPr>
            <w:tcW w:w="161" w:type="dxa"/>
            <w:tcBorders>
              <w:bottom w:val="single" w:sz="4" w:space="0" w:color="000000"/>
            </w:tcBorders>
            <w:shd w:fill="CCEC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4" w:space="0" w:color="000000"/>
            </w:tcBorders>
            <w:shd w:fill="CCEC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(1,023)</w:t>
            </w:r>
          </w:p>
        </w:tc>
        <w:tc>
          <w:tcPr>
            <w:tcW w:w="128" w:type="dxa"/>
            <w:tcBorders>
              <w:bottom w:val="single" w:sz="4" w:space="0" w:color="000000"/>
            </w:tcBorders>
            <w:shd w:fill="CCEC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4(g)</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4" w:space="0" w:color="000000"/>
            </w:tcBorders>
            <w:shd w:fill="CCEC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54" w:type="dxa"/>
            <w:tcBorders>
              <w:bottom w:val="single" w:sz="4" w:space="0" w:color="000000"/>
            </w:tcBorders>
            <w:shd w:fill="CCEC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88" w:before="0" w:after="0"/>
              <w:ind w:left="0" w:right="0" w:hanging="15"/>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SoundHound common shareholders</w:t>
            </w:r>
          </w:p>
        </w:tc>
        <w:tc>
          <w:tcPr>
            <w:tcW w:w="2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46"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(351,097)</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8"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(25,345)</w:t>
            </w:r>
          </w:p>
        </w:tc>
        <w:tc>
          <w:tcPr>
            <w:tcW w:w="1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55"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(376,442)</w:t>
            </w:r>
          </w:p>
        </w:tc>
        <w:tc>
          <w:tcPr>
            <w:tcW w:w="1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1"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4,138 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3"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5,889 </w:t>
            </w:r>
          </w:p>
        </w:tc>
        <w:tc>
          <w:tcPr>
            <w:tcW w:w="12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69"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(366,415)</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CFF" w:val="clear"/>
            <w:tcMar>
              <w:top w:w="0" w:type="dxa"/>
              <w:left w:w="0" w:type="dxa"/>
              <w:bottom w:w="0" w:type="dxa"/>
              <w:right w:w="0" w:type="dxa"/>
            </w:tcMar>
            <w:vAlign w:val="center"/>
          </w:tcPr>
          <w:p>
            <w:pPr>
              <w:pStyle w:val="TableContents"/>
              <w:bidi w:val="0"/>
              <w:spacing w:before="0" w:after="0"/>
              <w:ind w:left="0" w:right="0" w:hanging="15"/>
              <w:jc w:val="left"/>
              <w:rPr/>
            </w:pPr>
            <w:r>
              <w:rPr/>
            </w:r>
          </w:p>
        </w:tc>
        <w:tc>
          <w:tcPr>
            <w:tcW w:w="495"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Net loss per share: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C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 xml:space="preserve">Basic and diluted: </w:t>
            </w:r>
          </w:p>
        </w:tc>
        <w:tc>
          <w:tcPr>
            <w:tcW w:w="220"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46" w:type="dxa"/>
            <w:gridSpan w:val="4"/>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13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4(h)</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69" w:type="dxa"/>
            <w:gridSpan w:val="4"/>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Weighted-average common shares outstanding: </w:t>
            </w:r>
          </w:p>
        </w:tc>
        <w:tc>
          <w:tcPr>
            <w:tcW w:w="49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Basic and diluted</w:t>
            </w:r>
          </w:p>
        </w:tc>
        <w:tc>
          <w:tcPr>
            <w:tcW w:w="49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double" w:sz="5"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338,462,574 </w:t>
            </w:r>
          </w:p>
        </w:tc>
        <w:tc>
          <w:tcPr>
            <w:tcW w:w="134" w:type="dxa"/>
            <w:tcBorders>
              <w:bottom w:val="double" w:sz="5"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double" w:sz="5"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342,503,565 </w:t>
            </w:r>
          </w:p>
        </w:tc>
        <w:tc>
          <w:tcPr>
            <w:tcW w:w="154" w:type="dxa"/>
            <w:tcBorders>
              <w:bottom w:val="double" w:sz="5"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the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70"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Pro Forma Condensed Combined Statement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data)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38"/>
        <w:gridCol w:w="467"/>
        <w:gridCol w:w="426"/>
        <w:gridCol w:w="250"/>
        <w:gridCol w:w="219"/>
        <w:gridCol w:w="151"/>
        <w:gridCol w:w="432"/>
        <w:gridCol w:w="439"/>
        <w:gridCol w:w="152"/>
        <w:gridCol w:w="109"/>
        <w:gridCol w:w="109"/>
        <w:gridCol w:w="109"/>
        <w:gridCol w:w="410"/>
        <w:gridCol w:w="247"/>
        <w:gridCol w:w="247"/>
        <w:gridCol w:w="427"/>
        <w:gridCol w:w="247"/>
        <w:gridCol w:w="249"/>
        <w:gridCol w:w="109"/>
        <w:gridCol w:w="109"/>
        <w:gridCol w:w="109"/>
        <w:gridCol w:w="277"/>
        <w:gridCol w:w="167"/>
        <w:gridCol w:w="167"/>
        <w:gridCol w:w="346"/>
        <w:gridCol w:w="174"/>
        <w:gridCol w:w="169"/>
        <w:gridCol w:w="109"/>
        <w:gridCol w:w="109"/>
        <w:gridCol w:w="109"/>
        <w:gridCol w:w="243"/>
        <w:gridCol w:w="243"/>
        <w:gridCol w:w="244"/>
        <w:gridCol w:w="109"/>
        <w:gridCol w:w="109"/>
        <w:gridCol w:w="109"/>
        <w:gridCol w:w="209"/>
        <w:gridCol w:w="199"/>
        <w:gridCol w:w="199"/>
        <w:gridCol w:w="432"/>
        <w:gridCol w:w="439"/>
        <w:gridCol w:w="188"/>
      </w:tblGrid>
      <w:tr>
        <w:trPr/>
        <w:tc>
          <w:tcPr>
            <w:tcW w:w="8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SoundHound Historical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Interactions Historical – After Reclassification Adjustments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Transaction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Note Reference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 Forma Combined</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Revenues</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41"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113,861 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68"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42,781 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4"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69"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156,642 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Operating expenses: </w:t>
            </w:r>
          </w:p>
        </w:tc>
        <w:tc>
          <w:tcPr>
            <w:tcW w:w="6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Cost of revenues</w:t>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68,660 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20,323 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4(a), 4(b)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Sales and marketing</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4(b), 4(c)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49,879 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Research and development</w:t>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73,409 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75,616 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12,912 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73,100 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Change in fair value of contingent acquisition liabilities</w:t>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(78,496)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(78,496)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14,752 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color w:val="000000"/>
              </w:rPr>
            </w:pPr>
            <w:r>
              <w:rPr>
                <w:color w:val="000000"/>
              </w:rPr>
              <w:t>     </w:t>
            </w:r>
            <w:r>
              <w:rPr>
                <w:rFonts w:ascii="Times New Roman;serif" w:hAnsi="Times New Roman;serif"/>
                <w:b w:val="false"/>
                <w:color w:val="000000"/>
                <w:sz w:val="14"/>
              </w:rPr>
              <w:t>Total operating expenses</w:t>
            </w:r>
          </w:p>
        </w:tc>
        <w:tc>
          <w:tcPr>
            <w:tcW w:w="6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179,706 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42,114 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(2,918)</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218,902 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from operations</w:t>
            </w:r>
          </w:p>
        </w:tc>
        <w:tc>
          <w:tcPr>
            <w:tcW w:w="6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(65,845)</w:t>
            </w:r>
          </w:p>
        </w:tc>
        <w:tc>
          <w:tcPr>
            <w:tcW w:w="1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667 </w:t>
            </w:r>
          </w:p>
        </w:tc>
        <w:tc>
          <w:tcPr>
            <w:tcW w:w="2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2,918 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(62,260)</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Loss on early extinguishment of debt</w:t>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color w:val="000000"/>
              </w:rPr>
            </w:pPr>
            <w:r>
              <w:rPr>
                <w:color w:val="000000"/>
              </w:rPr>
              <w:t>     </w:t>
            </w:r>
            <w:r>
              <w:rPr>
                <w:rFonts w:ascii="Times New Roman;serif" w:hAnsi="Times New Roman;serif"/>
                <w:b w:val="false"/>
                <w:color w:val="000000"/>
                <w:sz w:val="14"/>
              </w:rPr>
              <w:t>Total other income (expense), net</w:t>
            </w:r>
          </w:p>
        </w:tc>
        <w:tc>
          <w:tcPr>
            <w:tcW w:w="6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14,314 </w:t>
            </w:r>
          </w:p>
        </w:tc>
        <w:tc>
          <w:tcPr>
            <w:tcW w:w="1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(2,680)</w:t>
            </w:r>
          </w:p>
        </w:tc>
        <w:tc>
          <w:tcPr>
            <w:tcW w:w="2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2,968 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14,602 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provision (benefit) for income taxes</w:t>
            </w:r>
          </w:p>
        </w:tc>
        <w:tc>
          <w:tcPr>
            <w:tcW w:w="6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(51,531)</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(2,013)</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5,886 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(47,658)</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(benefit) for income taxes</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w:t>
            </w:r>
          </w:p>
        </w:tc>
        <w:tc>
          <w:tcPr>
            <w:tcW w:w="24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629 </w:t>
            </w:r>
          </w:p>
        </w:tc>
        <w:tc>
          <w:tcPr>
            <w:tcW w:w="16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2,532 </w:t>
            </w:r>
          </w:p>
        </w:tc>
        <w:tc>
          <w:tcPr>
            <w:tcW w:w="188"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6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(54,063)</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5"/>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(1,384)</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4"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5,257 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69"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(50,190)</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Earnings attributable to non-controlling interest</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w:t>
            </w:r>
          </w:p>
        </w:tc>
        <w:tc>
          <w:tcPr>
            <w:tcW w:w="24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276 </w:t>
            </w:r>
          </w:p>
        </w:tc>
        <w:tc>
          <w:tcPr>
            <w:tcW w:w="16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88"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SoundHound common shareholders</w:t>
            </w:r>
          </w:p>
        </w:tc>
        <w:tc>
          <w:tcPr>
            <w:tcW w:w="620"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gridSpan w:val="2"/>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(54,063)</w:t>
            </w:r>
          </w:p>
        </w:tc>
        <w:tc>
          <w:tcPr>
            <w:tcW w:w="152"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68" w:type="dxa"/>
            <w:gridSpan w:val="4"/>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(1,108)</w:t>
            </w:r>
          </w:p>
        </w:tc>
        <w:tc>
          <w:tcPr>
            <w:tcW w:w="249"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4" w:type="dxa"/>
            <w:gridSpan w:val="4"/>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4,981 </w:t>
            </w:r>
          </w:p>
        </w:tc>
        <w:tc>
          <w:tcPr>
            <w:tcW w:w="169"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69" w:type="dxa"/>
            <w:gridSpan w:val="4"/>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(50,190)</w:t>
            </w:r>
          </w:p>
        </w:tc>
        <w:tc>
          <w:tcPr>
            <w:tcW w:w="188" w:type="dxa"/>
            <w:tcBorders>
              <w:top w:val="single" w:sz="4"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C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Net loss per share:</w:t>
            </w:r>
          </w:p>
        </w:tc>
        <w:tc>
          <w:tcPr>
            <w:tcW w:w="250" w:type="dxa"/>
            <w:tcBorders>
              <w:bottom w:val="double" w:sz="5" w:space="0" w:color="000000"/>
            </w:tcBorders>
            <w:shd w:fill="CCEC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41" w:type="dxa"/>
            <w:gridSpan w:val="4"/>
            <w:tcBorders>
              <w:bottom w:val="double" w:sz="5" w:space="0" w:color="000000"/>
            </w:tcBorders>
            <w:shd w:fill="CCEC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(0.13)</w:t>
            </w:r>
          </w:p>
        </w:tc>
        <w:tc>
          <w:tcPr>
            <w:tcW w:w="152" w:type="dxa"/>
            <w:tcBorders>
              <w:bottom w:val="double" w:sz="5" w:space="0" w:color="000000"/>
            </w:tcBorders>
            <w:shd w:fill="CCEC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Basic</w:t>
            </w:r>
          </w:p>
        </w:tc>
        <w:tc>
          <w:tcPr>
            <w:tcW w:w="250" w:type="dxa"/>
            <w:tcBorders>
              <w:top w:val="double" w:sz="5"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41" w:type="dxa"/>
            <w:gridSpan w:val="4"/>
            <w:tcBorders>
              <w:top w:val="double" w:sz="5"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(0.14)</w:t>
            </w:r>
          </w:p>
        </w:tc>
        <w:tc>
          <w:tcPr>
            <w:tcW w:w="152" w:type="dxa"/>
            <w:tcBorders>
              <w:top w:val="double" w:sz="5"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double" w:sz="5"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69" w:type="dxa"/>
            <w:gridSpan w:val="4"/>
            <w:tcBorders>
              <w:bottom w:val="double" w:sz="5"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(0.13)</w:t>
            </w:r>
          </w:p>
        </w:tc>
        <w:tc>
          <w:tcPr>
            <w:tcW w:w="188" w:type="dxa"/>
            <w:tcBorders>
              <w:bottom w:val="double" w:sz="5"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C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Diluted</w:t>
            </w:r>
          </w:p>
        </w:tc>
        <w:tc>
          <w:tcPr>
            <w:tcW w:w="620"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5"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4(h)</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5"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69" w:type="dxa"/>
            <w:gridSpan w:val="4"/>
            <w:tcBorders>
              <w:top w:val="double" w:sz="5"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(0.13)</w:t>
            </w:r>
          </w:p>
        </w:tc>
        <w:tc>
          <w:tcPr>
            <w:tcW w:w="188" w:type="dxa"/>
            <w:tcBorders>
              <w:top w:val="double" w:sz="5"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Weighted-average common shares outstanding: </w:t>
            </w:r>
          </w:p>
        </w:tc>
        <w:tc>
          <w:tcPr>
            <w:tcW w:w="6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Basic</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401,325,300 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401,325,300 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C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Diluted</w:t>
            </w:r>
          </w:p>
        </w:tc>
        <w:tc>
          <w:tcPr>
            <w:tcW w:w="620" w:type="dxa"/>
            <w:gridSpan w:val="3"/>
            <w:tcBorders>
              <w:top w:val="double" w:sz="5" w:space="0" w:color="000000"/>
              <w:bottom w:val="double" w:sz="5"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5" w:space="0" w:color="000000"/>
              <w:bottom w:val="double" w:sz="5"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403,252,575 </w:t>
            </w:r>
          </w:p>
        </w:tc>
        <w:tc>
          <w:tcPr>
            <w:tcW w:w="152" w:type="dxa"/>
            <w:tcBorders>
              <w:top w:val="double" w:sz="5" w:space="0" w:color="000000"/>
              <w:bottom w:val="double" w:sz="5"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4(h)</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double" w:sz="5" w:space="0" w:color="000000"/>
              <w:bottom w:val="double" w:sz="5" w:space="0" w:color="000000"/>
            </w:tcBorders>
            <w:shd w:fill="CCEC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5" w:space="0" w:color="000000"/>
              <w:bottom w:val="double" w:sz="5"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403,252,575 </w:t>
            </w:r>
          </w:p>
        </w:tc>
        <w:tc>
          <w:tcPr>
            <w:tcW w:w="188" w:type="dxa"/>
            <w:tcBorders>
              <w:top w:val="double" w:sz="5" w:space="0" w:color="000000"/>
              <w:bottom w:val="double" w:sz="5"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Notes to the Unaudited Pro Forma Condensed Combined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Unaudited Pro Forma Condensed Combined Financial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unaudited pro forma condensed combined financial information has been prepared in accordance with Article 11 of Regulation S-X. The historical financial information of SoundHound, Amelia, and Interactions has been adjusted in the unaudited pro forma condensed combined financial information to reflect transaction accounting adjustments related to the Transactions</w:t>
      </w:r>
      <w:r>
        <w:rPr>
          <w:color w:val="000000"/>
        </w:rPr>
        <w:t xml:space="preserve"> </w:t>
      </w:r>
      <w:r>
        <w:rPr>
          <w:rFonts w:ascii="Times New Roman;serif" w:hAnsi="Times New Roman;serif"/>
          <w:b w:val="false"/>
          <w:color w:val="000000"/>
          <w:sz w:val="20"/>
        </w:rPr>
        <w:t>in accordance with generally accepted accounting principles (“GAAP”), based on the assumptions and adjustments that are described in the accompanying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in accordance with the acquisition method of accounting under GAAP. Under this method of accounting, SoundHound has been determined to be the accounting acquirer and Interactions to be the accounting acquiree. The acquisition method of accounting requires, among other things, that the assets acquired, and liabilities assumed in a business combination are measured and recognized at fair value as of the acquisition date. The excess of the purchase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includes certain reclassifications to conform Interactions’ and Amelia’s historical accounting presentation to SoundHound’s accounting presentation. 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does not give effect to any anticipated synergies, operating efficiencies, tax savings, or cost savings that may be associated with the Acquisition. Both companies are in a historical cumulative loss position and both companies have established valuation allowances against net deferred tax assets. The income tax effects of the pro forma adjustments would be fully offset by corresponding adjustments to the valuation allowances, resulting in no net effect on the pro forma condensed combined statements of operations. The effective tax rate of the combined company could be significantly different than what is presented in these unaudited pro forma financial statements depending on post-business combination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Reclassification Adjustments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used in the preparation of the unaudited pro forma condensed combined financial information are those set out in SoundHound’s audited annual financial statements as of and for the year ended December 31, 2024. Certain reclassifications are reflected in the unaudited pro forma condensed combined statements of operations to conform presentation between SoundHound and Interactions. These reclassifications have no effect on previously reported net income (loss) of SoundHound or Interactions.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the table below for a summary of identified reclassification adjustments made to present Interactions’ consolidated statement of operations for the year ended of December 31, 2024, to conform presentation to that of SoundHound (in thousands):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04"/>
        <w:gridCol w:w="704"/>
        <w:gridCol w:w="710"/>
        <w:gridCol w:w="109"/>
        <w:gridCol w:w="109"/>
        <w:gridCol w:w="109"/>
        <w:gridCol w:w="740"/>
        <w:gridCol w:w="740"/>
        <w:gridCol w:w="743"/>
        <w:gridCol w:w="109"/>
        <w:gridCol w:w="109"/>
        <w:gridCol w:w="109"/>
        <w:gridCol w:w="281"/>
        <w:gridCol w:w="189"/>
        <w:gridCol w:w="169"/>
        <w:gridCol w:w="169"/>
        <w:gridCol w:w="169"/>
        <w:gridCol w:w="172"/>
        <w:gridCol w:w="109"/>
        <w:gridCol w:w="109"/>
        <w:gridCol w:w="109"/>
        <w:gridCol w:w="234"/>
        <w:gridCol w:w="234"/>
        <w:gridCol w:w="234"/>
        <w:gridCol w:w="234"/>
        <w:gridCol w:w="234"/>
        <w:gridCol w:w="239"/>
        <w:gridCol w:w="109"/>
        <w:gridCol w:w="109"/>
        <w:gridCol w:w="109"/>
        <w:gridCol w:w="443"/>
        <w:gridCol w:w="267"/>
        <w:gridCol w:w="267"/>
        <w:gridCol w:w="267"/>
        <w:gridCol w:w="267"/>
        <w:gridCol w:w="387"/>
      </w:tblGrid>
      <w:tr>
        <w:trPr/>
        <w:tc>
          <w:tcPr>
            <w:tcW w:w="8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Interactions Consolidated Statement of Operations Line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SoundHound Consolidated Statement of Operations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Interactions Historical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Interactions Historical After Reclassification</w:t>
            </w:r>
          </w:p>
        </w:tc>
      </w:tr>
      <w:tr>
        <w:trPr/>
        <w:tc>
          <w:tcPr>
            <w:tcW w:w="221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6"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82,058 </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68"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82,058 </w:t>
            </w:r>
          </w:p>
        </w:tc>
        <w:tc>
          <w:tcPr>
            <w:tcW w:w="3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09"/>
        <w:gridCol w:w="1024"/>
        <w:gridCol w:w="1031"/>
        <w:gridCol w:w="109"/>
        <w:gridCol w:w="109"/>
        <w:gridCol w:w="109"/>
        <w:gridCol w:w="889"/>
        <w:gridCol w:w="848"/>
        <w:gridCol w:w="835"/>
        <w:gridCol w:w="109"/>
        <w:gridCol w:w="109"/>
        <w:gridCol w:w="109"/>
        <w:gridCol w:w="181"/>
        <w:gridCol w:w="109"/>
        <w:gridCol w:w="109"/>
        <w:gridCol w:w="270"/>
        <w:gridCol w:w="271"/>
        <w:gridCol w:w="109"/>
        <w:gridCol w:w="109"/>
        <w:gridCol w:w="109"/>
        <w:gridCol w:w="109"/>
        <w:gridCol w:w="181"/>
        <w:gridCol w:w="109"/>
        <w:gridCol w:w="109"/>
        <w:gridCol w:w="170"/>
        <w:gridCol w:w="170"/>
        <w:gridCol w:w="175"/>
        <w:gridCol w:w="109"/>
        <w:gridCol w:w="109"/>
        <w:gridCol w:w="109"/>
        <w:gridCol w:w="181"/>
        <w:gridCol w:w="109"/>
        <w:gridCol w:w="109"/>
        <w:gridCol w:w="270"/>
        <w:gridCol w:w="271"/>
        <w:gridCol w:w="158"/>
      </w:tblGrid>
      <w:tr>
        <w:trPr/>
        <w:tc>
          <w:tcPr>
            <w:tcW w:w="12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Costs and expenses, excluding 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Cost of services provided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1,778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(a)</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1,365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(a)</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(3,143)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(a)</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71,074 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10,984 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10,984 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4,526 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5,161 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1,023 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1,023 </w:t>
            </w:r>
          </w:p>
        </w:tc>
        <w:tc>
          <w:tcPr>
            <w:tcW w:w="15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Interactions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9" w:type="dxa"/>
            <w:gridSpan w:val="4"/>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4,138 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8" w:type="dxa"/>
            <w:gridSpan w:val="4"/>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7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9" w:type="dxa"/>
            <w:gridSpan w:val="4"/>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4,138 </w:t>
            </w:r>
          </w:p>
        </w:tc>
        <w:tc>
          <w:tcPr>
            <w:tcW w:w="15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(a)</w:t>
      </w:r>
      <w:r>
        <w:rPr>
          <w:rFonts w:ascii="Times New Roman;serif" w:hAnsi="Times New Roman;serif"/>
          <w:b w:val="false"/>
          <w:color w:val="000000"/>
          <w:sz w:val="20"/>
        </w:rPr>
        <w:t>Reclassification of historical Interactions’ amortization of software development costs to cost of revenues and the depreciation of property and equipment to general and administrative expense within SoundHound’s statement of operations line items.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(b)Reclassification of historical Interactions’ interest income from interest expense, net to other income (expense), net within SoundHound’s statement of operations line item.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Refer to the table below for a summary of identified reclassification adjustments made to present Interactions’ historical condensed consolidated statement of operations for the period from January 1, 2025 to September 2, 2025, to conform presentation to that of SoundHound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3"/>
        <w:gridCol w:w="648"/>
        <w:gridCol w:w="653"/>
        <w:gridCol w:w="109"/>
        <w:gridCol w:w="109"/>
        <w:gridCol w:w="109"/>
        <w:gridCol w:w="763"/>
        <w:gridCol w:w="680"/>
        <w:gridCol w:w="683"/>
        <w:gridCol w:w="109"/>
        <w:gridCol w:w="109"/>
        <w:gridCol w:w="109"/>
        <w:gridCol w:w="271"/>
        <w:gridCol w:w="185"/>
        <w:gridCol w:w="163"/>
        <w:gridCol w:w="270"/>
        <w:gridCol w:w="271"/>
        <w:gridCol w:w="166"/>
        <w:gridCol w:w="109"/>
        <w:gridCol w:w="109"/>
        <w:gridCol w:w="109"/>
        <w:gridCol w:w="338"/>
        <w:gridCol w:w="204"/>
        <w:gridCol w:w="204"/>
        <w:gridCol w:w="204"/>
        <w:gridCol w:w="204"/>
        <w:gridCol w:w="205"/>
        <w:gridCol w:w="109"/>
        <w:gridCol w:w="109"/>
        <w:gridCol w:w="109"/>
        <w:gridCol w:w="418"/>
        <w:gridCol w:w="252"/>
        <w:gridCol w:w="252"/>
        <w:gridCol w:w="391"/>
        <w:gridCol w:w="252"/>
        <w:gridCol w:w="367"/>
      </w:tblGrid>
      <w:tr>
        <w:trPr/>
        <w:tc>
          <w:tcPr>
            <w:tcW w:w="85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Interactions Consolidated Statement of Operations Line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SoundHound Consolidated Statement of Operations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Interactions Historical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Interactions Historical After Reclassification</w:t>
            </w:r>
          </w:p>
        </w:tc>
      </w:tr>
      <w:tr>
        <w:trPr/>
        <w:tc>
          <w:tcPr>
            <w:tcW w:w="21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89"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42,781 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47"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42,781 </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Costs and expenses, excluding 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Cost of services provided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2,530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20,323 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12,912 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(3,192)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42,114 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42,114 </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667 </w:t>
            </w:r>
          </w:p>
        </w:tc>
        <w:tc>
          <w:tcPr>
            <w:tcW w:w="3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3"/>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(2,013)</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(2,013)</w:t>
            </w:r>
          </w:p>
        </w:tc>
        <w:tc>
          <w:tcPr>
            <w:tcW w:w="3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(1,384)</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(1,384)</w:t>
            </w:r>
          </w:p>
        </w:tc>
        <w:tc>
          <w:tcPr>
            <w:tcW w:w="3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w:t>
            </w:r>
          </w:p>
        </w:tc>
        <w:tc>
          <w:tcPr>
            <w:tcW w:w="1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w:t>
            </w:r>
          </w:p>
        </w:tc>
        <w:tc>
          <w:tcPr>
            <w:tcW w:w="367"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Interactions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89" w:type="dxa"/>
            <w:gridSpan w:val="4"/>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(1,108)</w:t>
            </w:r>
          </w:p>
        </w:tc>
        <w:tc>
          <w:tcPr>
            <w:tcW w:w="16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6" w:type="dxa"/>
            <w:gridSpan w:val="4"/>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20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47" w:type="dxa"/>
            <w:gridSpan w:val="4"/>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(1,108)</w:t>
            </w:r>
          </w:p>
        </w:tc>
        <w:tc>
          <w:tcPr>
            <w:tcW w:w="36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(c)Reclassification of historical Interactions’ amortization of software development costs to cost of revenues and the depreciation of property and equipment to general and administrative expense within SoundHound’s statement of operations line items.</w:t>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(d)Reclassification of historical Interactions’ interest income from interest expense, net to other income (expense), net within SoundHound’s statement of operations line item.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 Transaction Accounting Adjustments to Unaudited Pro Forma Condensed Combined Statement of Operations for the year ended December 31, 2024 pertaining to Amelia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statement of operations information for Amelia from August 6 to December 31, 2024, is already included in SoundHound’s fiscal year 2024 results. The transaction accounting adjustments for the Amelia Acquisition and Amelia Debt Paydown in the unaudited pro forma condensed combined statement of operations for the year ended December 31, 2024, are intended to derive pro forma financial information from January 1 to August 5, 2024, as if the Amelia Acquisition closed on January 1, 2024, as follows: </w:t>
      </w:r>
    </w:p>
    <w:p>
      <w:pPr>
        <w:pStyle w:val="TextBody"/>
        <w:bidi w:val="0"/>
        <w:spacing w:before="0" w:after="0"/>
        <w:jc w:val="both"/>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0"/>
        <w:gridCol w:w="860"/>
        <w:gridCol w:w="854"/>
        <w:gridCol w:w="109"/>
        <w:gridCol w:w="109"/>
        <w:gridCol w:w="109"/>
        <w:gridCol w:w="259"/>
        <w:gridCol w:w="174"/>
        <w:gridCol w:w="164"/>
        <w:gridCol w:w="292"/>
        <w:gridCol w:w="294"/>
        <w:gridCol w:w="160"/>
        <w:gridCol w:w="109"/>
        <w:gridCol w:w="109"/>
        <w:gridCol w:w="109"/>
        <w:gridCol w:w="362"/>
        <w:gridCol w:w="362"/>
        <w:gridCol w:w="362"/>
        <w:gridCol w:w="441"/>
        <w:gridCol w:w="362"/>
        <w:gridCol w:w="364"/>
        <w:gridCol w:w="109"/>
        <w:gridCol w:w="109"/>
        <w:gridCol w:w="109"/>
        <w:gridCol w:w="640"/>
        <w:gridCol w:w="386"/>
        <w:gridCol w:w="386"/>
        <w:gridCol w:w="469"/>
        <w:gridCol w:w="386"/>
        <w:gridCol w:w="557"/>
      </w:tblGrid>
      <w:tr>
        <w:trPr/>
        <w:tc>
          <w:tcPr>
            <w:tcW w:w="109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24"/>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January 1, 2024, to August 5, 2024</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24"/>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6"/>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Amelia Historical</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Amelia Transaction Accounting Adjustments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6"/>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Amelia Historical &amp;Transaction Accounting Adjustment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4"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54,579 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8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627"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54,579 </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Operating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w:t>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34,325 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(574)</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12,284 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6,905 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14,979 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Change in fair value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4,812 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w:t>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11,922 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color w:val="000000"/>
              </w:rPr>
            </w:pPr>
            <w:r>
              <w:rPr>
                <w:color w:val="000000"/>
              </w:rPr>
              <w:t>     </w:t>
            </w:r>
            <w:r>
              <w:rPr>
                <w:rFonts w:ascii="Times New Roman;serif" w:hAnsi="Times New Roman;serif"/>
                <w:b w:val="false"/>
                <w:color w:val="000000"/>
                <w:sz w:val="14"/>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72,996 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7,419 </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80,415 </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(18,417)</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(7,419)</w:t>
            </w:r>
          </w:p>
        </w:tc>
        <w:tc>
          <w:tcPr>
            <w:tcW w:w="3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(25,836)</w:t>
            </w:r>
          </w:p>
        </w:tc>
        <w:tc>
          <w:tcPr>
            <w:tcW w:w="5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(12,256)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13,307 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color w:val="000000"/>
              </w:rPr>
            </w:pPr>
            <w:r>
              <w:rPr>
                <w:color w:val="000000"/>
              </w:rPr>
              <w:t>     </w:t>
            </w:r>
            <w:r>
              <w:rPr>
                <w:rFonts w:ascii="Times New Roman;serif" w:hAnsi="Times New Roman;serif"/>
                <w:b w:val="false"/>
                <w:color w:val="000000"/>
                <w:sz w:val="14"/>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(12,728)</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13,307 </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579 </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(31,145)</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5,888 </w:t>
            </w:r>
          </w:p>
        </w:tc>
        <w:tc>
          <w:tcPr>
            <w:tcW w:w="3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(25,257)</w:t>
            </w:r>
          </w:p>
        </w:tc>
        <w:tc>
          <w:tcPr>
            <w:tcW w:w="5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000000"/>
              <w:bottom w:val="double" w:sz="5"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(31,233)</w:t>
            </w:r>
          </w:p>
        </w:tc>
        <w:tc>
          <w:tcPr>
            <w:tcW w:w="16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bottom w:val="double" w:sz="5"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5,888 </w:t>
            </w:r>
          </w:p>
        </w:tc>
        <w:tc>
          <w:tcPr>
            <w:tcW w:w="36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bottom w:val="double" w:sz="5"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(25,345)</w:t>
            </w:r>
          </w:p>
        </w:tc>
        <w:tc>
          <w:tcPr>
            <w:tcW w:w="55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(a)Reflects the elimination of Amelia’s historical amortization expense and the recognition of new amortization expense related to the acquired identifiable intangible assets based on the fair value as of the acquisition date. Amortization expense is calculated based on the fair value of each of the identifiable intangible asset and the associated useful lives.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fair value of intangible assets based on a valuation conducted by a third-party valuation specialist. The acquired intangible assets have been amortized using a straight-line method based on their useful lives as if the Amelia Acquisition had been completed on January 1, 2024. </w:t>
      </w:r>
    </w:p>
    <w:p>
      <w:pPr>
        <w:pStyle w:val="TextBody"/>
        <w:bidi w:val="0"/>
        <w:spacing w:before="0" w:after="0"/>
        <w:jc w:val="left"/>
        <w:rPr/>
      </w:pPr>
      <w:r>
        <w:rPr/>
      </w:r>
    </w:p>
    <w:tbl>
      <w:tblPr>
        <w:tblW w:w="6716" w:type="dxa"/>
        <w:jc w:val="left"/>
        <w:tblInd w:w="0" w:type="dxa"/>
        <w:tblLayout w:type="fixed"/>
        <w:tblCellMar>
          <w:top w:w="28" w:type="dxa"/>
          <w:left w:w="28" w:type="dxa"/>
          <w:bottom w:w="28" w:type="dxa"/>
          <w:right w:w="28" w:type="dxa"/>
        </w:tblCellMar>
      </w:tblPr>
      <w:tblGrid>
        <w:gridCol w:w="1211"/>
        <w:gridCol w:w="1062"/>
        <w:gridCol w:w="1071"/>
        <w:gridCol w:w="299"/>
        <w:gridCol w:w="165"/>
        <w:gridCol w:w="165"/>
        <w:gridCol w:w="337"/>
        <w:gridCol w:w="309"/>
        <w:gridCol w:w="165"/>
        <w:gridCol w:w="109"/>
        <w:gridCol w:w="109"/>
        <w:gridCol w:w="109"/>
        <w:gridCol w:w="470"/>
        <w:gridCol w:w="470"/>
        <w:gridCol w:w="665"/>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assets acquired</w:t>
            </w:r>
          </w:p>
        </w:tc>
        <w:tc>
          <w:tcPr>
            <w:tcW w:w="144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Proprietary technology</w:t>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98,900 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6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names</w:t>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7,000 </w:t>
            </w:r>
          </w:p>
        </w:tc>
        <w:tc>
          <w:tcPr>
            <w:tcW w:w="165"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fair value of intangible assets acquired</w:t>
            </w:r>
          </w:p>
        </w:tc>
        <w:tc>
          <w:tcPr>
            <w:tcW w:w="299" w:type="dxa"/>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gridSpan w:val="4"/>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174,500 </w:t>
            </w:r>
          </w:p>
        </w:tc>
        <w:tc>
          <w:tcPr>
            <w:tcW w:w="165" w:type="dxa"/>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7</w:t>
                      </w:r>
                    </w:p>
                  </w:txbxContent>
                </v:textbox>
                <w10:wrap type="none"/>
              </v:rect>
            </w:pict>
          </mc:Fallback>
        </mc:AlternateContent>
      </w:r>
    </w:p>
    <w:tbl>
      <w:tblPr>
        <w:tblW w:w="9642" w:type="dxa"/>
        <w:jc w:val="left"/>
        <w:tblInd w:w="0" w:type="dxa"/>
        <w:tblLayout w:type="fixed"/>
        <w:tblCellMar>
          <w:top w:w="28" w:type="dxa"/>
          <w:left w:w="28" w:type="dxa"/>
          <w:bottom w:w="28" w:type="dxa"/>
          <w:right w:w="28" w:type="dxa"/>
        </w:tblCellMar>
      </w:tblPr>
      <w:tblGrid>
        <w:gridCol w:w="1976"/>
        <w:gridCol w:w="1739"/>
        <w:gridCol w:w="1744"/>
        <w:gridCol w:w="1043"/>
        <w:gridCol w:w="580"/>
        <w:gridCol w:w="580"/>
        <w:gridCol w:w="580"/>
        <w:gridCol w:w="580"/>
        <w:gridCol w:w="820"/>
      </w:tblGrid>
      <w:tr>
        <w:trPr/>
        <w:tc>
          <w:tcPr>
            <w:tcW w:w="197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period from January 1, 2024 to August 5, 2024</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expense for acquired intangible assets (proprietary technology)</w:t>
            </w:r>
          </w:p>
        </w:tc>
        <w:tc>
          <w:tcPr>
            <w:tcW w:w="10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320"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8,438 </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historical Amelia’s intangible asset amortization expense</w:t>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(5,257)</w:t>
            </w:r>
          </w:p>
        </w:tc>
        <w:tc>
          <w:tcPr>
            <w:tcW w:w="820"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adjustment to cost of revenues</w:t>
            </w:r>
          </w:p>
        </w:tc>
        <w:tc>
          <w:tcPr>
            <w:tcW w:w="1043"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320" w:type="dxa"/>
            <w:gridSpan w:val="4"/>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3,181 </w:t>
            </w:r>
          </w:p>
        </w:tc>
        <w:tc>
          <w:tcPr>
            <w:tcW w:w="820"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8"/>
        <w:gridCol w:w="1977"/>
        <w:gridCol w:w="1982"/>
        <w:gridCol w:w="992"/>
        <w:gridCol w:w="556"/>
        <w:gridCol w:w="549"/>
        <w:gridCol w:w="572"/>
        <w:gridCol w:w="549"/>
        <w:gridCol w:w="780"/>
      </w:tblGrid>
      <w:tr>
        <w:trPr/>
        <w:tc>
          <w:tcPr>
            <w:tcW w:w="2248"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6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period from January 1, 2024 to August 5, 2024</w:t>
            </w:r>
          </w:p>
        </w:tc>
      </w:tr>
      <w:tr>
        <w:trPr/>
        <w:tc>
          <w:tcPr>
            <w:tcW w:w="6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expense for acquired intangible assets (customer relationships and trade names)</w:t>
            </w:r>
          </w:p>
        </w:tc>
        <w:tc>
          <w:tcPr>
            <w:tcW w:w="9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26" w:type="dxa"/>
            <w:gridSpan w:val="4"/>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6,689 </w:t>
            </w:r>
          </w:p>
        </w:tc>
        <w:tc>
          <w:tcPr>
            <w:tcW w:w="7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historical Amelia’s intangible asset amortization expense</w:t>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w:t>
            </w:r>
          </w:p>
        </w:tc>
        <w:tc>
          <w:tcPr>
            <w:tcW w:w="780"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adjustment to amortization of intangible assets</w:t>
            </w:r>
          </w:p>
        </w:tc>
        <w:tc>
          <w:tcPr>
            <w:tcW w:w="992"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26" w:type="dxa"/>
            <w:gridSpan w:val="4"/>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4,812 </w:t>
            </w:r>
          </w:p>
        </w:tc>
        <w:tc>
          <w:tcPr>
            <w:tcW w:w="780"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(b)Reflects the elimination of Amelia’s deferred commission amortization expense of deferred costs that were not assets as defined by ASC 805.</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(c)Reflects the reduction of $13.3 million in historical Amelia’s interest expense related to the terms of the Amended Term Loan Facility in connection with the Amelia Acquisition and the Amelia Debt Paydown.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Note 4 — Transaction Accounting Adjustments to Unaudited Pro Forma Condensed Combined Statements of Operations </w:t>
      </w:r>
      <w:r>
        <w:rPr>
          <w:color w:val="000000"/>
        </w:rPr>
        <w:t xml:space="preserve">– </w:t>
      </w:r>
      <w:r>
        <w:rPr>
          <w:rFonts w:ascii="Times New Roman;serif" w:hAnsi="Times New Roman;serif"/>
          <w:b/>
          <w:color w:val="000000"/>
          <w:sz w:val="20"/>
        </w:rPr>
        <w:t>Interactions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adjustments related to the acquisition of Interactions included in the unaudited pro forma condensed combined statement of operations for the year ended December 31, 2024 and nine months ended September 30,2025 are as follows: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(a)Reflects the elimination of Interactions’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assets and the associated estimated useful lives.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acquired intangible assets have been amortized using a straight-line method based on their estimated useful lives as if the Acquisition had been completed on January 1, 2024. Note that for the nine months ended September 30, 2025, the SoundHound Historical period includes amortization of any intangibles recorded subsequent to the Acquisition. </w:t>
      </w:r>
    </w:p>
    <w:p>
      <w:pPr>
        <w:pStyle w:val="TextBody"/>
        <w:bidi w:val="0"/>
        <w:spacing w:before="0" w:after="0"/>
        <w:jc w:val="both"/>
        <w:rPr/>
      </w:pPr>
      <w:r>
        <w:rPr/>
      </w:r>
    </w:p>
    <w:tbl>
      <w:tblPr>
        <w:tblW w:w="10118" w:type="dxa"/>
        <w:jc w:val="left"/>
        <w:tblInd w:w="0" w:type="dxa"/>
        <w:tblLayout w:type="fixed"/>
        <w:tblCellMar>
          <w:top w:w="28" w:type="dxa"/>
          <w:left w:w="28" w:type="dxa"/>
          <w:bottom w:w="28" w:type="dxa"/>
          <w:right w:w="28" w:type="dxa"/>
        </w:tblCellMar>
      </w:tblPr>
      <w:tblGrid>
        <w:gridCol w:w="1542"/>
        <w:gridCol w:w="1353"/>
        <w:gridCol w:w="1364"/>
        <w:gridCol w:w="255"/>
        <w:gridCol w:w="255"/>
        <w:gridCol w:w="255"/>
        <w:gridCol w:w="255"/>
        <w:gridCol w:w="255"/>
        <w:gridCol w:w="255"/>
        <w:gridCol w:w="109"/>
        <w:gridCol w:w="109"/>
        <w:gridCol w:w="109"/>
        <w:gridCol w:w="345"/>
        <w:gridCol w:w="345"/>
        <w:gridCol w:w="345"/>
        <w:gridCol w:w="345"/>
        <w:gridCol w:w="345"/>
        <w:gridCol w:w="345"/>
        <w:gridCol w:w="109"/>
        <w:gridCol w:w="109"/>
        <w:gridCol w:w="109"/>
        <w:gridCol w:w="470"/>
        <w:gridCol w:w="470"/>
        <w:gridCol w:w="665"/>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For the nine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Estimated useful life</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Intangible assets acquired</w:t>
            </w:r>
          </w:p>
        </w:tc>
        <w:tc>
          <w:tcPr>
            <w:tcW w:w="39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Trademark/trade name</w:t>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5,340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3,560 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Developed technology</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2,400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42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Total amortization expense for acquired intangible assets</w:t>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8,140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5,427 </w:t>
            </w:r>
          </w:p>
        </w:tc>
        <w:tc>
          <w:tcPr>
            <w:tcW w:w="3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Adjustment to Cost of revenues - </w:t>
      </w:r>
    </w:p>
    <w:p>
      <w:pPr>
        <w:pStyle w:val="TextBody"/>
        <w:bidi w:val="0"/>
        <w:spacing w:before="0" w:after="0"/>
        <w:jc w:val="both"/>
        <w:rPr/>
      </w:pPr>
      <w:r>
        <w:rPr/>
      </w:r>
    </w:p>
    <w:tbl>
      <w:tblPr>
        <w:tblW w:w="4310" w:type="dxa"/>
        <w:jc w:val="left"/>
        <w:tblInd w:w="0" w:type="dxa"/>
        <w:tblLayout w:type="fixed"/>
        <w:tblCellMar>
          <w:top w:w="28" w:type="dxa"/>
          <w:left w:w="28" w:type="dxa"/>
          <w:bottom w:w="28" w:type="dxa"/>
          <w:right w:w="28" w:type="dxa"/>
        </w:tblCellMar>
      </w:tblPr>
      <w:tblGrid>
        <w:gridCol w:w="124"/>
        <w:gridCol w:w="109"/>
        <w:gridCol w:w="109"/>
        <w:gridCol w:w="255"/>
        <w:gridCol w:w="255"/>
        <w:gridCol w:w="255"/>
        <w:gridCol w:w="255"/>
        <w:gridCol w:w="255"/>
        <w:gridCol w:w="255"/>
        <w:gridCol w:w="109"/>
        <w:gridCol w:w="109"/>
        <w:gridCol w:w="109"/>
        <w:gridCol w:w="329"/>
        <w:gridCol w:w="329"/>
        <w:gridCol w:w="329"/>
        <w:gridCol w:w="329"/>
        <w:gridCol w:w="329"/>
        <w:gridCol w:w="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For the nine months ended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8</w:t>
                      </w:r>
                    </w:p>
                  </w:txbxContent>
                </v:textbox>
                <w10:wrap type="none"/>
              </v:rect>
            </w:pict>
          </mc:Fallback>
        </mc:AlternateContent>
      </w:r>
    </w:p>
    <w:tbl>
      <w:tblPr>
        <w:tblW w:w="7493" w:type="dxa"/>
        <w:jc w:val="left"/>
        <w:tblInd w:w="0" w:type="dxa"/>
        <w:tblLayout w:type="fixed"/>
        <w:tblCellMar>
          <w:top w:w="28" w:type="dxa"/>
          <w:left w:w="28" w:type="dxa"/>
          <w:bottom w:w="28" w:type="dxa"/>
          <w:right w:w="28" w:type="dxa"/>
        </w:tblCellMar>
      </w:tblPr>
      <w:tblGrid>
        <w:gridCol w:w="1954"/>
        <w:gridCol w:w="1720"/>
        <w:gridCol w:w="1725"/>
        <w:gridCol w:w="196"/>
        <w:gridCol w:w="139"/>
        <w:gridCol w:w="139"/>
        <w:gridCol w:w="139"/>
        <w:gridCol w:w="139"/>
        <w:gridCol w:w="109"/>
        <w:gridCol w:w="109"/>
        <w:gridCol w:w="109"/>
        <w:gridCol w:w="109"/>
        <w:gridCol w:w="196"/>
        <w:gridCol w:w="139"/>
        <w:gridCol w:w="139"/>
        <w:gridCol w:w="139"/>
        <w:gridCol w:w="139"/>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expense for acquired intangible assets (developed technology)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historical Interactions’ intangible asset amortization expense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adjustment to cost of revenues</w:t>
            </w:r>
          </w:p>
        </w:tc>
        <w:tc>
          <w:tcPr>
            <w:tcW w:w="19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4"/>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2,400 </w:t>
            </w:r>
          </w:p>
        </w:tc>
        <w:tc>
          <w:tcPr>
            <w:tcW w:w="10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4"/>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154"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Adjustment to Amortization of intangible assets -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3"/>
        <w:gridCol w:w="1586"/>
        <w:gridCol w:w="1591"/>
        <w:gridCol w:w="572"/>
        <w:gridCol w:w="343"/>
        <w:gridCol w:w="317"/>
        <w:gridCol w:w="354"/>
        <w:gridCol w:w="317"/>
        <w:gridCol w:w="325"/>
        <w:gridCol w:w="109"/>
        <w:gridCol w:w="109"/>
        <w:gridCol w:w="109"/>
        <w:gridCol w:w="648"/>
        <w:gridCol w:w="378"/>
        <w:gridCol w:w="361"/>
        <w:gridCol w:w="394"/>
        <w:gridCol w:w="361"/>
        <w:gridCol w:w="518"/>
      </w:tblGrid>
      <w:tr>
        <w:trPr/>
        <w:tc>
          <w:tcPr>
            <w:tcW w:w="181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nine months ended September 30, 2025</w:t>
            </w:r>
          </w:p>
        </w:tc>
      </w:tr>
      <w:tr>
        <w:trPr/>
        <w:tc>
          <w:tcPr>
            <w:tcW w:w="4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expense for acquired intangible assets (customer relationship and trademark/trade name)</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3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5,740 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4"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3,827 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historical Interactions’ intangible asset amortization expense</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325"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518"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adjustment to amortization of intangible assets</w:t>
            </w:r>
          </w:p>
        </w:tc>
        <w:tc>
          <w:tcPr>
            <w:tcW w:w="572"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31" w:type="dxa"/>
            <w:gridSpan w:val="4"/>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5,685 </w:t>
            </w:r>
          </w:p>
        </w:tc>
        <w:tc>
          <w:tcPr>
            <w:tcW w:w="325"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4" w:type="dxa"/>
            <w:gridSpan w:val="4"/>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3,790 </w:t>
            </w:r>
          </w:p>
        </w:tc>
        <w:tc>
          <w:tcPr>
            <w:tcW w:w="51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(b)Reflects the elimination of historical deferred commission amortization and capitalized contract expense from sales and marketing expenses, and historical amortization of capitalized software development costs from Cost of revenue.</w:t>
      </w:r>
    </w:p>
    <w:tbl>
      <w:tblPr>
        <w:tblW w:w="8018" w:type="dxa"/>
        <w:jc w:val="left"/>
        <w:tblInd w:w="0" w:type="dxa"/>
        <w:tblLayout w:type="fixed"/>
        <w:tblCellMar>
          <w:top w:w="28" w:type="dxa"/>
          <w:left w:w="28" w:type="dxa"/>
          <w:bottom w:w="28" w:type="dxa"/>
          <w:right w:w="28" w:type="dxa"/>
        </w:tblCellMar>
      </w:tblPr>
      <w:tblGrid>
        <w:gridCol w:w="1385"/>
        <w:gridCol w:w="1217"/>
        <w:gridCol w:w="1223"/>
        <w:gridCol w:w="404"/>
        <w:gridCol w:w="225"/>
        <w:gridCol w:w="225"/>
        <w:gridCol w:w="314"/>
        <w:gridCol w:w="316"/>
        <w:gridCol w:w="225"/>
        <w:gridCol w:w="109"/>
        <w:gridCol w:w="109"/>
        <w:gridCol w:w="109"/>
        <w:gridCol w:w="527"/>
        <w:gridCol w:w="293"/>
        <w:gridCol w:w="293"/>
        <w:gridCol w:w="315"/>
        <w:gridCol w:w="315"/>
        <w:gridCol w:w="414"/>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For the nine months ended </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 expenses</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 </w:t>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(8,361)</w:t>
            </w:r>
          </w:p>
        </w:tc>
        <w:tc>
          <w:tcPr>
            <w:tcW w:w="225"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(6,532)</w:t>
            </w:r>
          </w:p>
        </w:tc>
        <w:tc>
          <w:tcPr>
            <w:tcW w:w="41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adjustment to amortization of intangible assets</w:t>
            </w:r>
          </w:p>
        </w:tc>
        <w:tc>
          <w:tcPr>
            <w:tcW w:w="404"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gridSpan w:val="4"/>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(8,974)</w:t>
            </w:r>
          </w:p>
        </w:tc>
        <w:tc>
          <w:tcPr>
            <w:tcW w:w="225"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6" w:type="dxa"/>
            <w:gridSpan w:val="4"/>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(6,855)</w:t>
            </w:r>
          </w:p>
        </w:tc>
        <w:tc>
          <w:tcPr>
            <w:tcW w:w="414"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(c)</w:t>
      </w:r>
      <w:r>
        <w:rPr>
          <w:rFonts w:ascii="Times New Roman;serif" w:hAnsi="Times New Roman;serif"/>
          <w:b w:val="false"/>
          <w:color w:val="000000"/>
          <w:sz w:val="20"/>
        </w:rPr>
        <w:t>Reflects the adjustment to record MIP bonus, incurred and paid upon close of the Acquisition.</w:t>
      </w:r>
    </w:p>
    <w:p>
      <w:pPr>
        <w:pStyle w:val="TextBody"/>
        <w:bidi w:val="0"/>
        <w:spacing w:before="0" w:after="0"/>
        <w:jc w:val="left"/>
        <w:rPr/>
      </w:pPr>
      <w:r>
        <w:rPr/>
      </w:r>
    </w:p>
    <w:tbl>
      <w:tblPr>
        <w:tblW w:w="5949" w:type="dxa"/>
        <w:jc w:val="left"/>
        <w:tblInd w:w="0" w:type="dxa"/>
        <w:tblLayout w:type="fixed"/>
        <w:tblCellMar>
          <w:top w:w="28" w:type="dxa"/>
          <w:left w:w="28" w:type="dxa"/>
          <w:bottom w:w="28" w:type="dxa"/>
          <w:right w:w="28" w:type="dxa"/>
        </w:tblCellMar>
      </w:tblPr>
      <w:tblGrid>
        <w:gridCol w:w="717"/>
        <w:gridCol w:w="630"/>
        <w:gridCol w:w="633"/>
        <w:gridCol w:w="404"/>
        <w:gridCol w:w="225"/>
        <w:gridCol w:w="225"/>
        <w:gridCol w:w="225"/>
        <w:gridCol w:w="225"/>
        <w:gridCol w:w="225"/>
        <w:gridCol w:w="109"/>
        <w:gridCol w:w="109"/>
        <w:gridCol w:w="109"/>
        <w:gridCol w:w="527"/>
        <w:gridCol w:w="293"/>
        <w:gridCol w:w="293"/>
        <w:gridCol w:w="293"/>
        <w:gridCol w:w="293"/>
        <w:gridCol w:w="41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For the nine months ended </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2"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225"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w:t>
            </w:r>
          </w:p>
        </w:tc>
        <w:tc>
          <w:tcPr>
            <w:tcW w:w="414"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adjustment</w:t>
            </w:r>
          </w:p>
        </w:tc>
        <w:tc>
          <w:tcPr>
            <w:tcW w:w="40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gridSpan w:val="4"/>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22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2" w:type="dxa"/>
            <w:gridSpan w:val="4"/>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w:t>
            </w:r>
          </w:p>
        </w:tc>
        <w:tc>
          <w:tcPr>
            <w:tcW w:w="41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(d)Reflects an adjustment to eliminate the historical fair value adjustments of warrant liabilities extinguished as a result of the Acquisition, resulting in a reduction of $0.1 million and $1.1 million of historical gains from the year ended December 31, 2024 and nine months ended September 30, 2025, respectively.</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(e)Reflects the reduction of $6.3 million and $4.1 million, in historical interest expense for the year ended December 31, 2024, and nine months ended September 30, 2025, respectively, related to the settlement of Interactions’ debt at closing.</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(f)Reflects the elimination of $0.8 million income tax expense and $0.6 million of tax benefit for the year ended December 31, 2024, and nine months ended September 30, 2025, respectively. Prior to the acquisition, Interactions held interest in a partnership and recorded a deferred tax liability associated with the outside basis difference and recorded the corresponding deferred tax expense/benefit as a result of changes to the deferred tax liability. However, upon the Acquisition, the partnership became a single member LLC and the deferred tax liability is no longer needed. Accordingly, no deferred tax expense/benefit would be recorded.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9</w:t>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0"/>
        </w:rPr>
        <w:t xml:space="preserve">Reflects the elimination of $1.0 million of income and $0.3 million of loss, from earnings attributable to non-controlling interest due to changes in Interactions’ ownership structure, for the year ended December 31, 2024, and nine months ended September 30, 2025.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(h)Reflects the pro forma basic and diluted net loss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however, no allocation has been made because the participating securities are not participating losses.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pro forma basic net loss per share attributable to the combined entity’s common stockholders is calculated using the historical basic weighted average shares of SoundHound’s common stock outstanding, adjusted for the additional new shares of SoundHound Class A common stock issued to consummate the Amelia Acquisition and for the Amelia Debt Paydown, assuming the shares were issued and outstanding as of January 1, 2024. Pro forma diluted net loss per share attributable to the combined entity’s common stockholders is calculated using the historical diluted weighted average shares of SoundHound Class A Common Stock outstanding. The pro forma weighted average shares outstanding used to calculate pro forma basic and diluted net loss per share attributable to common stockholders for December 31, 2024, excludes 2,149,530 shares of SoundHound Class A Common Stock held in escrow as they are considered contingently returnable shares until the indemnifications subject to escrow have been resolved. The weighted average shares outstanding used to calculate basic and diluted net loss per share attributable to common stockholders for the nine months ended September 30, 2025 excludes the 2,149,530 shares and 230,561 shares, respectively, of the Company's Class A Common Stock held in escrow as they are considered contingently returnable shares until the indemnifications subject to escrow have been resolved.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Pro forma earnings per share computation for the year ended December 31, 2024: </w:t>
      </w:r>
    </w:p>
    <w:p>
      <w:pPr>
        <w:pStyle w:val="TextBody"/>
        <w:bidi w:val="0"/>
        <w:spacing w:before="0" w:after="0"/>
        <w:jc w:val="both"/>
        <w:rPr/>
      </w:pPr>
      <w:r>
        <w:rPr/>
      </w:r>
    </w:p>
    <w:tbl>
      <w:tblPr>
        <w:tblW w:w="8889" w:type="dxa"/>
        <w:jc w:val="center"/>
        <w:tblInd w:w="0" w:type="dxa"/>
        <w:tblLayout w:type="fixed"/>
        <w:tblCellMar>
          <w:top w:w="28" w:type="dxa"/>
          <w:left w:w="28" w:type="dxa"/>
          <w:bottom w:w="28" w:type="dxa"/>
          <w:right w:w="28" w:type="dxa"/>
        </w:tblCellMar>
      </w:tblPr>
      <w:tblGrid>
        <w:gridCol w:w="1808"/>
        <w:gridCol w:w="1591"/>
        <w:gridCol w:w="1596"/>
        <w:gridCol w:w="109"/>
        <w:gridCol w:w="109"/>
        <w:gridCol w:w="109"/>
        <w:gridCol w:w="224"/>
        <w:gridCol w:w="224"/>
        <w:gridCol w:w="224"/>
        <w:gridCol w:w="404"/>
        <w:gridCol w:w="2174"/>
        <w:gridCol w:w="317"/>
      </w:tblGrid>
      <w:tr>
        <w:trPr/>
        <w:tc>
          <w:tcPr>
            <w:tcW w:w="180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 2024</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r>
      <w:tr>
        <w:trPr/>
        <w:tc>
          <w:tcPr>
            <w:tcW w:w="4995" w:type="dxa"/>
            <w:gridSpan w:val="3"/>
            <w:tcBorders/>
            <w:shd w:fill="CCEC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Pro forma net loss attributable to stockholders, December 31, 2024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0"/>
              <w:ind w:left="0" w:right="0" w:hanging="3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7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(366,415)</w:t>
            </w:r>
          </w:p>
        </w:tc>
        <w:tc>
          <w:tcPr>
            <w:tcW w:w="31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74"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342,503,565 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C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Pro forma net loss per share – basic and diluted</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0"/>
              <w:ind w:left="0" w:right="0" w:hanging="3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7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31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C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Pro forma weighted average shares outstanding – basic and diluted</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SoundHound historical,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74"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338,462,574 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C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Adjustment for Amelia Acquisition and Amelia Debt Paydown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C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404" w:type="dxa"/>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74" w:type="dxa"/>
            <w:tcBorders/>
            <w:shd w:fill="CCEC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4,040,991 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Pro forma weighted average shares outstanding –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7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342,503,565 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Pro forma earnings per share computation for the nine months ended September 30, 2025: </w:t>
      </w:r>
    </w:p>
    <w:p>
      <w:pPr>
        <w:pStyle w:val="TextBody"/>
        <w:bidi w:val="0"/>
        <w:spacing w:before="0" w:after="0"/>
        <w:jc w:val="left"/>
        <w:rPr/>
      </w:pPr>
      <w:r>
        <w:rPr/>
      </w:r>
    </w:p>
    <w:tbl>
      <w:tblPr>
        <w:tblW w:w="9774" w:type="dxa"/>
        <w:jc w:val="center"/>
        <w:tblInd w:w="0" w:type="dxa"/>
        <w:tblLayout w:type="fixed"/>
        <w:tblCellMar>
          <w:top w:w="28" w:type="dxa"/>
          <w:left w:w="28" w:type="dxa"/>
          <w:bottom w:w="28" w:type="dxa"/>
          <w:right w:w="28" w:type="dxa"/>
        </w:tblCellMar>
      </w:tblPr>
      <w:tblGrid>
        <w:gridCol w:w="2128"/>
        <w:gridCol w:w="1873"/>
        <w:gridCol w:w="1878"/>
        <w:gridCol w:w="109"/>
        <w:gridCol w:w="109"/>
        <w:gridCol w:w="109"/>
        <w:gridCol w:w="553"/>
        <w:gridCol w:w="553"/>
        <w:gridCol w:w="553"/>
        <w:gridCol w:w="553"/>
        <w:gridCol w:w="553"/>
        <w:gridCol w:w="803"/>
      </w:tblGrid>
      <w:tr>
        <w:trPr/>
        <w:tc>
          <w:tcPr>
            <w:tcW w:w="212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For the nine months </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ended September 30, 2025</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r>
      <w:tr>
        <w:trPr/>
        <w:tc>
          <w:tcPr>
            <w:tcW w:w="5879" w:type="dxa"/>
            <w:gridSpan w:val="3"/>
            <w:tcBorders/>
            <w:shd w:fill="CCEC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Pro forma net loss attributable to stockholders, September 30, 2025</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0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(50,190)</w:t>
            </w:r>
          </w:p>
        </w:tc>
        <w:tc>
          <w:tcPr>
            <w:tcW w:w="80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401,325,300 </w:t>
            </w:r>
          </w:p>
        </w:tc>
        <w:tc>
          <w:tcPr>
            <w:tcW w:w="8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C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Pro forma net loss per share – basic</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0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80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C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Pro forma net loss attributable to stockholders, September 30, 2025</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(50,190)</w:t>
            </w:r>
          </w:p>
        </w:tc>
        <w:tc>
          <w:tcPr>
            <w:tcW w:w="80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dilutive instruments and undistributed earnings reallocation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(2,709)</w:t>
            </w:r>
          </w:p>
        </w:tc>
        <w:tc>
          <w:tcPr>
            <w:tcW w:w="8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C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Pro forma net loss attributable to Common Shareholders - Diluted</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(52,899)</w:t>
            </w:r>
          </w:p>
        </w:tc>
        <w:tc>
          <w:tcPr>
            <w:tcW w:w="80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10</w:t>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211"/>
        <w:gridCol w:w="1063"/>
        <w:gridCol w:w="1071"/>
        <w:gridCol w:w="109"/>
        <w:gridCol w:w="109"/>
        <w:gridCol w:w="109"/>
        <w:gridCol w:w="109"/>
        <w:gridCol w:w="109"/>
        <w:gridCol w:w="109"/>
        <w:gridCol w:w="525"/>
        <w:gridCol w:w="52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403,252,575 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C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Pro forma net loss per share – diluted</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gridSpan w:val="2"/>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154"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8"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28924</Words>
  <Characters>163851</Characters>
  <CharactersWithSpaces>190897</CharactersWithSpaces>
  <Paragraphs>2752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