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212529"/>
          <w:sz w:val="22"/>
        </w:rPr>
      </w:pPr>
      <w:r>
        <w:rPr>
          <w:rFonts w:ascii="Times New Roman;serif" w:hAnsi="Times New Roman;serif"/>
          <w:b/>
          <w:color w:val="212529"/>
          <w:sz w:val="22"/>
        </w:rPr>
        <w:t>UNITED STATES</w:t>
      </w:r>
    </w:p>
    <w:p>
      <w:pPr>
        <w:pStyle w:val="TextBody"/>
        <w:bidi w:val="0"/>
        <w:spacing w:lineRule="auto" w:line="288" w:before="0" w:after="0"/>
        <w:jc w:val="center"/>
        <w:rPr>
          <w:rFonts w:ascii="Times New Roman;serif" w:hAnsi="Times New Roman;serif"/>
          <w:b/>
          <w:color w:val="212529"/>
          <w:sz w:val="22"/>
        </w:rPr>
      </w:pPr>
      <w:r>
        <w:rPr>
          <w:rFonts w:ascii="Times New Roman;serif" w:hAnsi="Times New Roman;serif"/>
          <w:b/>
          <w:color w:val="212529"/>
          <w:sz w:val="22"/>
        </w:rPr>
        <w:t>SECURITIES AND EXCHANGE COMMISSION</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200" w:after="283"/>
        <w:jc w:val="center"/>
        <w:rPr>
          <w:rFonts w:ascii="Times New Roman;serif" w:hAnsi="Times New Roman;serif"/>
          <w:b/>
          <w:color w:val="212529"/>
          <w:sz w:val="24"/>
        </w:rPr>
      </w:pPr>
      <w:r>
        <w:rPr>
          <w:rFonts w:ascii="Times New Roman;serif" w:hAnsi="Times New Roman;serif"/>
          <w:b/>
          <w:color w:val="212529"/>
          <w:sz w:val="24"/>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40" w:before="0" w:after="20"/>
        <w:jc w:val="left"/>
        <w:rPr>
          <w:color w:val="212529"/>
        </w:rPr>
      </w:pPr>
      <w:r>
        <w:rPr>
          <w:color w:val="212529"/>
        </w:rPr>
        <w:t> </w:t>
      </w:r>
    </w:p>
    <w:p>
      <w:pPr>
        <w:pStyle w:val="TextBody"/>
        <w:bidi w:val="0"/>
        <w:spacing w:lineRule="auto" w:line="288" w:before="120" w:after="283"/>
        <w:jc w:val="center"/>
        <w:rPr>
          <w:rFonts w:ascii="Times New Roman;serif" w:hAnsi="Times New Roman;serif"/>
          <w:b/>
          <w:color w:val="212529"/>
          <w:sz w:val="20"/>
        </w:rPr>
      </w:pPr>
      <w:r>
        <w:rPr>
          <w:rFonts w:ascii="Times New Roman;serif" w:hAnsi="Times New Roman;serif"/>
          <w:b/>
          <w:color w:val="212529"/>
          <w:sz w:val="20"/>
        </w:rPr>
        <w:t>CURRENT REPORT</w:t>
      </w:r>
    </w:p>
    <w:p>
      <w:pPr>
        <w:pStyle w:val="TextBody"/>
        <w:bidi w:val="0"/>
        <w:spacing w:lineRule="auto" w:line="288" w:before="120" w:after="283"/>
        <w:jc w:val="center"/>
        <w:rPr>
          <w:rFonts w:ascii="Times New Roman;serif" w:hAnsi="Times New Roman;serif"/>
          <w:b/>
          <w:color w:val="212529"/>
          <w:sz w:val="20"/>
        </w:rPr>
      </w:pPr>
      <w:r>
        <w:rPr>
          <w:rFonts w:ascii="Times New Roman;serif" w:hAnsi="Times New Roman;serif"/>
          <w:b/>
          <w:color w:val="212529"/>
          <w:sz w:val="20"/>
        </w:rPr>
        <w:t>Pursuant to Section 13 or 15(d)</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of the Securities Exchange Act of 1934</w:t>
      </w:r>
    </w:p>
    <w:p>
      <w:pPr>
        <w:pStyle w:val="TextBody"/>
        <w:bidi w:val="0"/>
        <w:spacing w:lineRule="auto" w:line="288" w:before="120" w:after="283"/>
        <w:jc w:val="center"/>
        <w:rPr/>
      </w:pPr>
      <w:r>
        <w:rPr>
          <w:rFonts w:ascii="Times New Roman;serif" w:hAnsi="Times New Roman;serif"/>
          <w:b w:val="false"/>
          <w:color w:val="212529"/>
          <w:sz w:val="20"/>
        </w:rPr>
        <w:t>Date of Report (Date of earliest event reported): </w:t>
      </w:r>
      <w:r>
        <w:rPr>
          <w:rFonts w:ascii="Times New Roman;serif" w:hAnsi="Times New Roman;serif"/>
          <w:b/>
          <w:color w:val="212529"/>
          <w:sz w:val="20"/>
        </w:rPr>
        <w:t>February 26,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120" w:after="283"/>
        <w:jc w:val="center"/>
        <w:rPr>
          <w:rFonts w:ascii="Times New Roman;serif" w:hAnsi="Times New Roman;serif"/>
          <w:b/>
          <w:color w:val="212529"/>
          <w:sz w:val="22"/>
        </w:rPr>
      </w:pPr>
      <w:r>
        <w:rPr>
          <w:rFonts w:ascii="Times New Roman;serif" w:hAnsi="Times New Roman;serif"/>
          <w:b/>
          <w:color w:val="212529"/>
          <w:sz w:val="22"/>
        </w:rPr>
        <w:t>SOUNDHOUND AI, INC.</w:t>
      </w:r>
    </w:p>
    <w:p>
      <w:pPr>
        <w:pStyle w:val="TextBody"/>
        <w:bidi w:val="0"/>
        <w:spacing w:lineRule="auto" w:line="288" w:before="0" w:after="0"/>
        <w:jc w:val="center"/>
        <w:rPr>
          <w:rFonts w:ascii="Times New Roman;serif" w:hAnsi="Times New Roman;serif"/>
          <w:b w:val="false"/>
          <w:color w:val="212529"/>
          <w:sz w:val="20"/>
        </w:rPr>
      </w:pPr>
      <w:r>
        <w:rPr>
          <w:rFonts w:ascii="Times New Roman;serif" w:hAnsi="Times New Roman;serif"/>
          <w:b w:val="false"/>
          <w:color w:val="212529"/>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tbl>
      <w:tblPr>
        <w:tblW w:w="6096"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513"/>
        <w:gridCol w:w="513"/>
        <w:gridCol w:w="518"/>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85-1286799</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5400 Betsy Ross Drive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Santa Clara,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95054</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Registrant’s telephone number, including area code: (408) 441-3200</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120" w:after="283"/>
        <w:jc w:val="left"/>
        <w:rPr>
          <w:rFonts w:ascii="Times New Roman;serif" w:hAnsi="Times New Roman;serif"/>
          <w:b w:val="false"/>
          <w:color w:val="212529"/>
          <w:sz w:val="20"/>
        </w:rPr>
      </w:pPr>
      <w:r>
        <w:rPr>
          <w:rFonts w:ascii="Times New Roman;serif" w:hAnsi="Times New Roman;serif"/>
          <w:b w:val="false"/>
          <w:color w:val="212529"/>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2299"/>
        <w:gridCol w:w="1803"/>
        <w:gridCol w:w="1824"/>
        <w:gridCol w:w="109"/>
        <w:gridCol w:w="109"/>
        <w:gridCol w:w="109"/>
        <w:gridCol w:w="387"/>
        <w:gridCol w:w="387"/>
        <w:gridCol w:w="389"/>
        <w:gridCol w:w="109"/>
        <w:gridCol w:w="109"/>
        <w:gridCol w:w="109"/>
        <w:gridCol w:w="718"/>
        <w:gridCol w:w="718"/>
        <w:gridCol w:w="1026"/>
      </w:tblGrid>
      <w:tr>
        <w:trPr/>
        <w:tc>
          <w:tcPr>
            <w:tcW w:w="229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exercisable for one share of Class A Common Stock at an exercise price of $11.50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212529"/>
          <w:sz w:val="20"/>
        </w:rPr>
      </w:pPr>
      <w:r>
        <w:rPr>
          <w:rFonts w:ascii="Times New Roman;serif" w:hAnsi="Times New Roman;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212529"/>
          <w:sz w:val="20"/>
        </w:rPr>
        <w:t>Emerging growth company </w:t>
      </w:r>
      <w:r>
        <w:rPr>
          <w:color w:val="212529"/>
        </w:rPr>
        <w:t>☐</w:t>
      </w:r>
    </w:p>
    <w:p>
      <w:pPr>
        <w:pStyle w:val="TextBody"/>
        <w:bidi w:val="0"/>
        <w:spacing w:lineRule="auto" w:line="288" w:before="120" w:after="283"/>
        <w:jc w:val="both"/>
        <w:rPr/>
      </w:pPr>
      <w:r>
        <w:rPr>
          <w:rFonts w:ascii="Times New Roman;serif" w:hAnsi="Times New Roman;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17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both"/>
        <w:rPr/>
      </w:pPr>
      <w:r>
        <w:rPr>
          <w:rFonts w:ascii="Times New Roman;serif" w:hAnsi="Times New Roman;serif"/>
          <w:b w:val="false"/>
          <w:color w:val="212529"/>
          <w:sz w:val="20"/>
        </w:rPr>
        <w:t xml:space="preserve">On </w:t>
      </w:r>
      <w:r>
        <w:rPr>
          <w:rFonts w:ascii="Times New Roman;serif" w:hAnsi="Times New Roman;serif"/>
          <w:b w:val="false"/>
          <w:color w:val="000000"/>
          <w:sz w:val="20"/>
        </w:rPr>
        <w:t>February 26, 2026</w:t>
      </w:r>
      <w:r>
        <w:rPr>
          <w:rFonts w:ascii="Times New Roman;serif" w:hAnsi="Times New Roman;serif"/>
          <w:b w:val="false"/>
          <w:color w:val="212529"/>
          <w:sz w:val="20"/>
        </w:rPr>
        <w:t xml:space="preserve">, SoundHound AI, Inc. (the “Company”) issued a press release announcing financial results and operational highlights for the fourth quarter and year ended </w:t>
      </w:r>
      <w:r>
        <w:rPr>
          <w:rFonts w:ascii="Times New Roman;serif" w:hAnsi="Times New Roman;serif"/>
          <w:b w:val="false"/>
          <w:color w:val="000000"/>
          <w:sz w:val="20"/>
        </w:rPr>
        <w:t>December 31, 2025</w:t>
      </w:r>
      <w:r>
        <w:rPr>
          <w:rFonts w:ascii="Times New Roman;serif" w:hAnsi="Times New Roman;serif"/>
          <w:b w:val="false"/>
          <w:color w:val="212529"/>
          <w:sz w:val="20"/>
        </w:rPr>
        <w:t xml:space="preserve">. A copy of the press release is furnished as Exhibit 99.1 to this current report on Form 8-K. The Company is also furnishing as Exhibit 99.2 to this current report on Form 8-K the consolidated balance sheets of the Company as of </w:t>
      </w:r>
      <w:r>
        <w:rPr>
          <w:rFonts w:ascii="Times New Roman;serif" w:hAnsi="Times New Roman;serif"/>
          <w:b w:val="false"/>
          <w:color w:val="000000"/>
          <w:sz w:val="20"/>
        </w:rPr>
        <w:t>December 31, 2025</w:t>
      </w:r>
      <w:r>
        <w:rPr>
          <w:rFonts w:ascii="Times New Roman;serif" w:hAnsi="Times New Roman;serif"/>
          <w:b w:val="false"/>
          <w:color w:val="212529"/>
          <w:sz w:val="20"/>
        </w:rPr>
        <w:t xml:space="preserve">, and the related consolidated statements of operations and comprehensive loss and consolidated statements of cash flows for the period ended </w:t>
      </w:r>
      <w:r>
        <w:rPr>
          <w:rFonts w:ascii="Times New Roman;serif" w:hAnsi="Times New Roman;serif"/>
          <w:b w:val="false"/>
          <w:color w:val="000000"/>
          <w:sz w:val="20"/>
        </w:rPr>
        <w:t>December 31, 2025</w:t>
      </w:r>
      <w:r>
        <w:rPr>
          <w:rFonts w:ascii="Times New Roman;serif" w:hAnsi="Times New Roman;serif"/>
          <w:b w:val="false"/>
          <w:color w:val="212529"/>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 and Exhibits.</w:t>
      </w:r>
    </w:p>
    <w:tbl>
      <w:tblPr>
        <w:tblW w:w="692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494"/>
        <w:gridCol w:w="1494"/>
        <w:gridCol w:w="212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soun-20260226ex991earnings.htm">
              <w:r>
                <w:rPr>
                  <w:rStyle w:val="InternetLink"/>
                  <w:rFonts w:ascii="Times New Roman;serif" w:hAnsi="Times New Roman;serif"/>
                  <w:b w:val="false"/>
                  <w:color w:val="0000FF"/>
                  <w:sz w:val="20"/>
                  <w:u w:val="single"/>
                </w:rPr>
                <w:t>Press Release, dated February 26, 2026</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oun-20260226ex992financia.htm">
              <w:r>
                <w:rPr>
                  <w:rStyle w:val="InternetLink"/>
                  <w:rFonts w:ascii="Times New Roman;serif" w:hAnsi="Times New Roman;serif"/>
                  <w:b w:val="false"/>
                  <w:color w:val="0000FF"/>
                  <w:sz w:val="20"/>
                  <w:u w:val="single"/>
                </w:rPr>
                <w:t>Financial statements for the period ended December 31, 2025</w:t>
              </w:r>
            </w:hyperlink>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212529"/>
          <w:sz w:val="20"/>
        </w:rPr>
      </w:pPr>
      <w:r>
        <w:rPr>
          <w:rFonts w:ascii="Times New Roman;serif" w:hAnsi="Times New Roman;serif"/>
          <w:b/>
          <w:color w:val="212529"/>
          <w:sz w:val="20"/>
        </w:rPr>
        <w:t>SIGNATURE</w:t>
      </w:r>
    </w:p>
    <w:p>
      <w:pPr>
        <w:pStyle w:val="TextBody"/>
        <w:bidi w:val="0"/>
        <w:spacing w:lineRule="auto" w:line="288" w:before="200" w:after="283"/>
        <w:jc w:val="both"/>
        <w:rPr>
          <w:rFonts w:ascii="Times New Roman;serif" w:hAnsi="Times New Roman;serif"/>
          <w:b w:val="false"/>
          <w:color w:val="212529"/>
          <w:sz w:val="20"/>
        </w:rPr>
      </w:pPr>
      <w:r>
        <w:rPr>
          <w:rFonts w:ascii="Times New Roman;serif" w:hAnsi="Times New Roman;serif"/>
          <w:b w:val="false"/>
          <w:color w:val="212529"/>
          <w:sz w:val="20"/>
        </w:rPr>
        <w:t>Pursuant to the requirements of the Securities Exchange Act of 1934, the registrant has duly caused this Current Report on Form 8-K to be signed on its behalf by the undersigned hereunto duly authorized.</w:t>
      </w:r>
    </w:p>
    <w:tbl>
      <w:tblPr>
        <w:tblW w:w="5075" w:type="dxa"/>
        <w:jc w:val="left"/>
        <w:tblInd w:w="0" w:type="dxa"/>
        <w:tblLayout w:type="fixed"/>
        <w:tblCellMar>
          <w:top w:w="28" w:type="dxa"/>
          <w:left w:w="28" w:type="dxa"/>
          <w:bottom w:w="28" w:type="dxa"/>
          <w:right w:w="28" w:type="dxa"/>
        </w:tblCellMar>
      </w:tblPr>
      <w:tblGrid>
        <w:gridCol w:w="580"/>
        <w:gridCol w:w="511"/>
        <w:gridCol w:w="513"/>
        <w:gridCol w:w="196"/>
        <w:gridCol w:w="196"/>
        <w:gridCol w:w="196"/>
        <w:gridCol w:w="271"/>
        <w:gridCol w:w="271"/>
        <w:gridCol w:w="271"/>
        <w:gridCol w:w="597"/>
        <w:gridCol w:w="597"/>
        <w:gridCol w:w="87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47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SoundHound AI, Inc.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Keyvan Mohajer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Keyvan Mohajer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00" w:after="160"/>
        <w:jc w:val="both"/>
        <w:rPr>
          <w:rFonts w:ascii="Times New Roman;serif" w:hAnsi="Times New Roman;serif"/>
          <w:b/>
          <w:color w:val="000000"/>
          <w:sz w:val="24"/>
        </w:rPr>
      </w:pPr>
      <w:r>
        <w:rPr>
          <w:rFonts w:ascii="Times New Roman;serif" w:hAnsi="Times New Roman;serif"/>
          <w:b/>
          <w:color w:val="000000"/>
          <w:sz w:val="24"/>
        </w:rPr>
        <w:t>SoundHound AI Reports Record Annual Revenue of $169 Million, Up Nearly 100%, Forecasts Strong Growth</w:t>
      </w:r>
    </w:p>
    <w:p>
      <w:pPr>
        <w:pStyle w:val="TextBody"/>
        <w:bidi w:val="0"/>
        <w:spacing w:lineRule="auto" w:line="288" w:before="100" w:after="360"/>
        <w:jc w:val="both"/>
        <w:rPr>
          <w:rFonts w:ascii="Times New Roman;serif" w:hAnsi="Times New Roman;serif"/>
          <w:b w:val="false"/>
          <w:i/>
          <w:color w:val="000000"/>
          <w:sz w:val="24"/>
        </w:rPr>
      </w:pPr>
      <w:r>
        <w:rPr>
          <w:rFonts w:ascii="Times New Roman;serif" w:hAnsi="Times New Roman;serif"/>
          <w:b w:val="false"/>
          <w:i/>
          <w:color w:val="000000"/>
          <w:sz w:val="24"/>
        </w:rPr>
        <w:t>Closed record number of enterprise deals in Q4; Extends lead as the agentic AI partner of choice for businesses amid disruption of legacy software and services.</w:t>
      </w:r>
    </w:p>
    <w:p>
      <w:pPr>
        <w:pStyle w:val="TextBody"/>
        <w:bidi w:val="0"/>
        <w:spacing w:lineRule="auto" w:line="288" w:before="100" w:after="360"/>
        <w:jc w:val="both"/>
        <w:rPr>
          <w:rFonts w:ascii="Times New Roman;serif" w:hAnsi="Times New Roman;serif"/>
          <w:b w:val="false"/>
          <w:color w:val="000000"/>
          <w:sz w:val="24"/>
        </w:rPr>
      </w:pPr>
      <w:r>
        <w:rPr>
          <w:rFonts w:ascii="Times New Roman;serif" w:hAnsi="Times New Roman;serif"/>
          <w:b w:val="false"/>
          <w:color w:val="000000"/>
          <w:sz w:val="24"/>
        </w:rPr>
        <w:t>SANTA CLARA, Calif.--SoundHound AI, Inc. (Nasdaq: SOUN), a global leader in voice and conversational AI, today reported its financial results for the fourth quarter and full year 2025.</w:t>
      </w:r>
    </w:p>
    <w:p>
      <w:pPr>
        <w:pStyle w:val="TextBody"/>
        <w:bidi w:val="0"/>
        <w:spacing w:lineRule="auto" w:line="276" w:before="0" w:after="0"/>
        <w:jc w:val="both"/>
        <w:rPr/>
      </w:pPr>
      <w:r>
        <w:rPr>
          <w:color w:val="000000"/>
        </w:rPr>
        <w:t>“</w:t>
      </w:r>
      <w:r>
        <w:rPr>
          <w:rFonts w:ascii="Times New Roman;serif" w:hAnsi="Times New Roman;serif"/>
          <w:b w:val="false"/>
          <w:i/>
          <w:color w:val="000000"/>
          <w:sz w:val="24"/>
        </w:rPr>
        <w:t xml:space="preserve">As traditional software faces massive AI disruption, businesses are looking to partner with AI natives that can help them achieve success in a new era. This is creating strong tailwinds for SoundHound,” </w:t>
      </w:r>
      <w:r>
        <w:rPr>
          <w:rFonts w:ascii="Times New Roman;serif" w:hAnsi="Times New Roman;serif"/>
          <w:b/>
          <w:i/>
          <w:color w:val="000000"/>
          <w:sz w:val="24"/>
        </w:rPr>
        <w:t>said Keyvan Mohajer, CEO and Co-Founder of SoundHound AI.</w:t>
      </w:r>
      <w:r>
        <w:rPr>
          <w:color w:val="000000"/>
        </w:rPr>
        <w:t xml:space="preserve"> “</w:t>
      </w:r>
      <w:r>
        <w:rPr>
          <w:rFonts w:ascii="Times New Roman;serif" w:hAnsi="Times New Roman;serif"/>
          <w:b w:val="false"/>
          <w:i/>
          <w:color w:val="000000"/>
          <w:sz w:val="24"/>
        </w:rPr>
        <w:t xml:space="preserve">Our results speak for themselves. All key profit metrics were up and in the last quarter we closed a record number of customer deals as we capitalized on the surge in demand for enterprise-grade AI.”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1D2228"/>
          <w:sz w:val="24"/>
        </w:rPr>
      </w:pPr>
      <w:r>
        <w:rPr>
          <w:rFonts w:ascii="Times New Roman;serif" w:hAnsi="Times New Roman;serif"/>
          <w:b/>
          <w:color w:val="1D2228"/>
          <w:sz w:val="24"/>
        </w:rPr>
        <w:t>Financial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1D2228"/>
          <w:sz w:val="24"/>
        </w:rPr>
        <w:t>Fourth quarter r</w:t>
      </w:r>
      <w:r>
        <w:rPr>
          <w:rFonts w:ascii="Times New Roman;serif" w:hAnsi="Times New Roman;serif"/>
          <w:b w:val="false"/>
          <w:color w:val="000000"/>
          <w:sz w:val="24"/>
        </w:rPr>
        <w:t>eported revenue was $55.1 million, an increase of 59% year-over-year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Fourth quarter GAAP gross margin was 47.9%; non-GAAP gross margin was 60.5%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Fourth quarter GAAP net income was $40.1 million; non-GAAP net loss was ($7.3)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Fourth quarter adjusted EBITDA was a loss of ($7.4)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Fourth quarter GAAP earnings per share was $0.10; non-GAAP earnings per share was a loss of ($0.02)</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1D2228"/>
          <w:sz w:val="24"/>
        </w:rPr>
        <w:t>Full year r</w:t>
      </w:r>
      <w:r>
        <w:rPr>
          <w:rFonts w:ascii="Times New Roman;serif" w:hAnsi="Times New Roman;serif"/>
          <w:b w:val="false"/>
          <w:color w:val="000000"/>
          <w:sz w:val="24"/>
        </w:rPr>
        <w:t>eported revenue was $168.9 million, an increase of 99% year-over-year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Full year GAAP gross margin was 42.4%; non-GAAP gross margin was 58.0%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Full year GAAP net loss was ($14.0) million; non-GAAP net loss was ($53.9)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Full year adjusted EBITDA was a loss of ($58.4)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Full year GAAP earnings per share was a loss of ($0.03); non-GAAP earnings per share was a loss of ($0.13)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GAAP results include a gain from the calculated fair value of contingent acquisition liabilities where future earnout shares are marked-to-market on a quarterly basis based on the company’s stock price. Non-GAAP measures exclude this non-operating/non-cash impact. </w:t>
      </w:r>
    </w:p>
    <w:p>
      <w:pPr>
        <w:pStyle w:val="TextBody"/>
        <w:bidi w:val="0"/>
        <w:spacing w:before="0" w:after="0"/>
        <w:jc w:val="both"/>
        <w:rPr/>
      </w:pPr>
      <w:r>
        <w:rPr/>
      </w:r>
    </w:p>
    <w:p>
      <w:pPr>
        <w:pStyle w:val="TextBody"/>
        <w:bidi w:val="0"/>
        <w:spacing w:lineRule="auto" w:line="276" w:before="0" w:after="0"/>
        <w:jc w:val="left"/>
        <w:rPr/>
      </w:pPr>
      <w:r>
        <w:rPr>
          <w:color w:val="000000"/>
        </w:rPr>
        <w:t>“</w:t>
      </w:r>
      <w:r>
        <w:rPr>
          <w:rFonts w:ascii="Times New Roman;serif" w:hAnsi="Times New Roman;serif"/>
          <w:b w:val="false"/>
          <w:i/>
          <w:color w:val="000000"/>
          <w:sz w:val="24"/>
        </w:rPr>
        <w:t xml:space="preserve">The tremendous pace of change in our industry is creating a force multiplier for our voice AI innovation and agentic AI solutions," </w:t>
      </w:r>
      <w:r>
        <w:rPr>
          <w:rFonts w:ascii="Times New Roman;serif" w:hAnsi="Times New Roman;serif"/>
          <w:b/>
          <w:i/>
          <w:color w:val="000000"/>
          <w:sz w:val="24"/>
        </w:rPr>
        <w:t>said Nitesh Sharan, CFO of SoundHound AI</w:t>
      </w:r>
      <w:r>
        <w:rPr>
          <w:rFonts w:ascii="Times New Roman;serif" w:hAnsi="Times New Roman;serif"/>
          <w:b w:val="false"/>
          <w:i/>
          <w:color w:val="000000"/>
          <w:sz w:val="24"/>
        </w:rPr>
        <w:t>. "This traction was demonstrated once again in our Q4 results, with broad-based customer adoption, time to value acceleration and deepening market differentiation."</w:t>
      </w:r>
    </w:p>
    <w:p>
      <w:pPr>
        <w:pStyle w:val="TextBody"/>
        <w:bidi w:val="0"/>
        <w:spacing w:lineRule="auto" w:line="288" w:before="100" w:after="283"/>
        <w:jc w:val="both"/>
        <w:rPr>
          <w:rFonts w:ascii="Times New Roman;serif" w:hAnsi="Times New Roman;serif"/>
          <w:b/>
          <w:color w:val="000000"/>
          <w:sz w:val="26"/>
        </w:rPr>
      </w:pPr>
      <w:r>
        <w:rPr>
          <w:rFonts w:ascii="Times New Roman;serif" w:hAnsi="Times New Roman;serif"/>
          <w:b/>
          <w:color w:val="000000"/>
          <w:sz w:val="26"/>
        </w:rPr>
        <w:t xml:space="preserve">Fourth Quarter Business Highlights </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Automotive</w:t>
      </w:r>
      <w:r>
        <w:rPr>
          <w:rFonts w:ascii="Times New Roman;serif" w:hAnsi="Times New Roman;serif"/>
          <w:b w:val="false"/>
          <w:color w:val="000000"/>
          <w:sz w:val="24"/>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Signed a new prominent OEM in Japan with a seven-digit unit commitment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Closed a deal with a new Korean OEM with a global footprint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An iconic Italian manufacturer of high-performance sports cars chose SoundHound to displace their incumbent native voice assistant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Expanded reach with additional OEMs, including a Chinese and Vietnamese manufacturer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Expanded with Stellantis brands across Europe, Asia, and Latin America to include live generative AI capabilities for real time responses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Signed Ultraviolette, an electric 2-wheeler vehicle company based in India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Expanded further with Iveco to offer SoundHound’s voice assistant to its wide range of vehicles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One of the largest American automobile manufacturers signed a multi-year renewal for SoundHound’s enterprise AI solutions</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Voice Commerce:</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Confirmed first major global automaker to roll out voice commerce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Advancing at different stages of development with four additional car brands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global smart TV manufacturer signed up to become the first to enable on-screen voice ordering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Parkopedia and OpenTable joined growing voice commerce ecosystem, adding to dozens of merchants and thousands of locations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Expanded capabilities to allow event, ticket, and travel bookings, including flights and accommodation reservations</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Restaurants: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A number of top 25 restaurant chains chose Soundhound’s Voice Insights to optimize drive thru performance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Expanded with Panda Express to deliver the company’s solution to more drive-thru locations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Renewed with Casey’s General Stores, a convenience store chain and the fifth-largest pizza retailer in the US, with a multi-year agreement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Signed up additional franchise locations with IHOP, an American multinational pancake house restaurant chain that specializes in American breakfast foods with over 1,800 locations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Signed up additional franchise locations with Jersey Mike’s, an American multinational sandwich chain with over 3,500 locations</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Retail and Consumer Goods:</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One of the world's largest supplier of athletic footwear and apparel renewed its corporate contract for multiple years to use SoundHound’s AI customer service, and expanded services into various European countries including Poland, Turkey, Greece, and Portugal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One of the fastest growing global health clubs in the United States and a multi-hundred unit personal care company chose the SoundHound’s outbound AI solution for customer retention campaigns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nonprofit with over 2,500 fitness locations and a nonprofit organization with a network of over 3,200 retail thrift stores signed on for the SoundHound's AI solution for managing inbound calls</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Financial Services:</w:t>
      </w:r>
      <w:r>
        <w:rPr>
          <w:color w:val="000000"/>
        </w:rPr>
        <w:t xml:space="preser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BNP Paribas SA, a French multinational bank and financial services company headquartered in Paris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New York based global financial services platforms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A large American multinational payment card services corporation </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 xml:space="preserve">Healthcare: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An eyewear and optical retailer which operates or manages over 700 stores in 40 U.S. states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An independent healthcare practice that supports more than 1,300 locations in 45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Virginia based award-winning, non-profit offering healthcare and wellness services company with over 80 healthcare facilities</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 xml:space="preserve">Insurance: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Fortune 100 multinational insurance and asset management company headquartered Germany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global Japanese insurance company that has offices throughout the U.S.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One of the first motor clubs in the U.S., with more than 16 million members across 21 states </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 xml:space="preserve">Government and Education: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United States government-sponsored enterprise helping to make housing more accessible and affordable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Texas-based school offering music lessons for all ages and skill levels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university in Washington D.C. focused on teacher education</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Hospitality: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One of the world's leading providers of food and support services, operating in over 25 countries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An American ticket sales and distribution company with operations in over 35 countries around the world</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 xml:space="preserve">Telecommunications: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U.S. multinational telecommunications conglomerate and one of the largest telecommunication companies in the world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European telecommunications company that provides cable television, broadband internet, and fixed telephony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large British broadcast and telecommunications company</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 xml:space="preserve">Channel Expansion: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One of the largest telecommunications companies in the world, brings SoundHound Agentic AI call center automation to SMBs in their business market place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global technology and professional services company that delivers technology solutions and mission services to every major agency across the U.S. government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leading technology advisory firm, to expand enterprise AI adoption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large customer experience management company providing services to approximately 150,000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 large multinational professional services firm to provide our solutions to financial services firms across Spain</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1D2228"/>
          <w:sz w:val="24"/>
        </w:rPr>
        <w:t>Fourth</w:t>
      </w:r>
      <w:r>
        <w:rPr>
          <w:color w:val="000000"/>
          <w:shd w:fill="FEFEFE" w:val="clear"/>
        </w:rPr>
        <w:t xml:space="preserve"> </w:t>
      </w:r>
      <w:r>
        <w:rPr>
          <w:rFonts w:ascii="Times New Roman;serif" w:hAnsi="Times New Roman;serif"/>
          <w:b/>
          <w:color w:val="000000"/>
          <w:sz w:val="24"/>
          <w:shd w:fill="FEFEFE" w:val="clear"/>
        </w:rPr>
        <w:t xml:space="preserve">Quarter </w:t>
      </w:r>
      <w:r>
        <w:rPr>
          <w:rFonts w:ascii="Times New Roman;serif" w:hAnsi="Times New Roman;serif"/>
          <w:b/>
          <w:color w:val="000000"/>
          <w:sz w:val="24"/>
        </w:rPr>
        <w:t>2025</w:t>
      </w:r>
      <w:r>
        <w:rPr>
          <w:color w:val="000000"/>
          <w:shd w:fill="FEFEFE" w:val="clear"/>
        </w:rPr>
        <w:t xml:space="preserve"> </w:t>
      </w:r>
      <w:r>
        <w:rPr>
          <w:rFonts w:ascii="Times New Roman;serif" w:hAnsi="Times New Roman;serif"/>
          <w:b/>
          <w:color w:val="000000"/>
          <w:sz w:val="24"/>
          <w:shd w:fill="FEFEFE" w:val="clear"/>
        </w:rPr>
        <w:t>Financial Measures</w:t>
      </w:r>
      <w:r>
        <w:rPr>
          <w:rFonts w:ascii="Times New Roman;serif" w:hAnsi="Times New Roman;serif"/>
          <w:b w:val="false"/>
          <w:color w:val="000000"/>
          <w:sz w:val="16"/>
        </w:rPr>
        <w:t>1</w:t>
      </w:r>
    </w:p>
    <w:tbl>
      <w:tblPr>
        <w:tblW w:w="10205" w:type="dxa"/>
        <w:jc w:val="left"/>
        <w:tblInd w:w="0" w:type="dxa"/>
        <w:tblLayout w:type="fixed"/>
        <w:tblCellMar>
          <w:top w:w="28" w:type="dxa"/>
          <w:left w:w="28" w:type="dxa"/>
          <w:bottom w:w="28" w:type="dxa"/>
          <w:right w:w="28" w:type="dxa"/>
        </w:tblCellMar>
      </w:tblPr>
      <w:tblGrid>
        <w:gridCol w:w="1356"/>
        <w:gridCol w:w="1181"/>
        <w:gridCol w:w="1187"/>
        <w:gridCol w:w="109"/>
        <w:gridCol w:w="109"/>
        <w:gridCol w:w="109"/>
        <w:gridCol w:w="562"/>
        <w:gridCol w:w="287"/>
        <w:gridCol w:w="272"/>
        <w:gridCol w:w="275"/>
        <w:gridCol w:w="270"/>
        <w:gridCol w:w="274"/>
        <w:gridCol w:w="109"/>
        <w:gridCol w:w="109"/>
        <w:gridCol w:w="109"/>
        <w:gridCol w:w="562"/>
        <w:gridCol w:w="287"/>
        <w:gridCol w:w="287"/>
        <w:gridCol w:w="278"/>
        <w:gridCol w:w="270"/>
        <w:gridCol w:w="274"/>
        <w:gridCol w:w="109"/>
        <w:gridCol w:w="109"/>
        <w:gridCol w:w="109"/>
        <w:gridCol w:w="270"/>
        <w:gridCol w:w="130"/>
        <w:gridCol w:w="130"/>
        <w:gridCol w:w="263"/>
        <w:gridCol w:w="263"/>
        <w:gridCol w:w="546"/>
      </w:tblGrid>
      <w:tr>
        <w:trPr/>
        <w:tc>
          <w:tcPr>
            <w:tcW w:w="135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lineRule="auto" w:line="333" w:before="0" w:after="0"/>
              <w:jc w:val="right"/>
              <w:rPr>
                <w:color w:val="000000"/>
              </w:rPr>
            </w:pPr>
            <w:r>
              <w:rPr>
                <w:color w:val="000000"/>
              </w:rPr>
              <w:t>                    </w:t>
            </w:r>
          </w:p>
          <w:p>
            <w:pPr>
              <w:pStyle w:val="TableContents"/>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Change</w:t>
            </w:r>
          </w:p>
        </w:tc>
      </w:tr>
      <w:tr>
        <w:trPr/>
        <w:tc>
          <w:tcPr>
            <w:tcW w:w="3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78"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96"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7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96"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4"/>
              </w:rPr>
              <w:t>pp</w:t>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7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96"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85 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8.4 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pp</w:t>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operating income (loss)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0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42,573 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2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(257,072)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117 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0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(7,430)</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2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(16,793)</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net income (loss)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0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40,057 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2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(258,599)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115 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0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(7,348)</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2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(18,993)</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net earnings (loss) per basic share</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0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0.10 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2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(0.69)</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786"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0.79 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Non-GAAP net loss per basic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0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(0.02)</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2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(0.05)</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786"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0.03 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1D2228"/>
          <w:sz w:val="24"/>
        </w:rPr>
        <w:t>Full Year</w:t>
      </w:r>
      <w:r>
        <w:rPr>
          <w:color w:val="000000"/>
          <w:shd w:fill="FEFEFE" w:val="clear"/>
        </w:rPr>
        <w:t xml:space="preserve"> </w:t>
      </w:r>
      <w:r>
        <w:rPr>
          <w:rFonts w:ascii="Times New Roman;serif" w:hAnsi="Times New Roman;serif"/>
          <w:b/>
          <w:color w:val="000000"/>
          <w:sz w:val="24"/>
        </w:rPr>
        <w:t>2025</w:t>
      </w:r>
      <w:r>
        <w:rPr>
          <w:color w:val="000000"/>
          <w:shd w:fill="FEFEFE" w:val="clear"/>
        </w:rPr>
        <w:t xml:space="preserve"> </w:t>
      </w:r>
      <w:r>
        <w:rPr>
          <w:rFonts w:ascii="Times New Roman;serif" w:hAnsi="Times New Roman;serif"/>
          <w:b/>
          <w:color w:val="000000"/>
          <w:sz w:val="24"/>
          <w:shd w:fill="FEFEFE" w:val="clear"/>
        </w:rPr>
        <w:t>Financial Measures</w:t>
      </w:r>
      <w:r>
        <w:rPr>
          <w:rFonts w:ascii="Times New Roman;serif" w:hAnsi="Times New Roman;serif"/>
          <w:b w:val="false"/>
          <w:color w:val="000000"/>
          <w:sz w:val="16"/>
        </w:rPr>
        <w:t>1</w:t>
      </w:r>
    </w:p>
    <w:tbl>
      <w:tblPr>
        <w:tblW w:w="10205" w:type="dxa"/>
        <w:jc w:val="left"/>
        <w:tblInd w:w="0" w:type="dxa"/>
        <w:tblLayout w:type="fixed"/>
        <w:tblCellMar>
          <w:top w:w="28" w:type="dxa"/>
          <w:left w:w="28" w:type="dxa"/>
          <w:bottom w:w="28" w:type="dxa"/>
          <w:right w:w="28" w:type="dxa"/>
        </w:tblCellMar>
      </w:tblPr>
      <w:tblGrid>
        <w:gridCol w:w="1283"/>
        <w:gridCol w:w="1126"/>
        <w:gridCol w:w="1131"/>
        <w:gridCol w:w="109"/>
        <w:gridCol w:w="109"/>
        <w:gridCol w:w="109"/>
        <w:gridCol w:w="593"/>
        <w:gridCol w:w="287"/>
        <w:gridCol w:w="285"/>
        <w:gridCol w:w="285"/>
        <w:gridCol w:w="285"/>
        <w:gridCol w:w="289"/>
        <w:gridCol w:w="109"/>
        <w:gridCol w:w="109"/>
        <w:gridCol w:w="109"/>
        <w:gridCol w:w="593"/>
        <w:gridCol w:w="287"/>
        <w:gridCol w:w="287"/>
        <w:gridCol w:w="286"/>
        <w:gridCol w:w="285"/>
        <w:gridCol w:w="289"/>
        <w:gridCol w:w="109"/>
        <w:gridCol w:w="109"/>
        <w:gridCol w:w="109"/>
        <w:gridCol w:w="270"/>
        <w:gridCol w:w="130"/>
        <w:gridCol w:w="130"/>
        <w:gridCol w:w="276"/>
        <w:gridCol w:w="277"/>
        <w:gridCol w:w="550"/>
      </w:tblGrid>
      <w:tr>
        <w:trPr/>
        <w:tc>
          <w:tcPr>
            <w:tcW w:w="12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Year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6"/>
            <w:tcBorders/>
            <w:tcMar>
              <w:top w:w="0" w:type="dxa"/>
              <w:left w:w="0" w:type="dxa"/>
              <w:bottom w:w="0" w:type="dxa"/>
              <w:right w:w="0" w:type="dxa"/>
            </w:tcMar>
            <w:vAlign w:val="center"/>
          </w:tcPr>
          <w:p>
            <w:pPr>
              <w:pStyle w:val="TableContents"/>
              <w:bidi w:val="0"/>
              <w:spacing w:lineRule="auto" w:line="333" w:before="0" w:after="0"/>
              <w:jc w:val="right"/>
              <w:rPr>
                <w:color w:val="000000"/>
              </w:rPr>
            </w:pPr>
            <w:r>
              <w:rPr>
                <w:color w:val="000000"/>
              </w:rPr>
              <w:t>                    </w:t>
            </w:r>
          </w:p>
          <w:p>
            <w:pPr>
              <w:pStyle w:val="TableContents"/>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Change</w:t>
            </w:r>
          </w:p>
        </w:tc>
      </w:tr>
      <w:tr>
        <w:trPr/>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31"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168,920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34"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84,693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99 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31"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71,551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3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73 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4"/>
              </w:rPr>
              <w:t>pp</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31"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97,969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3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49,538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(0.5)</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pp</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operating loss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(23,272)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5"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(341,353)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93 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(58,448)</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5"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(61,915)</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net loss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(14,006)</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5"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(350,681)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(53,858)</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5"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(69,073)</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net loss per basic share²</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(0.03)</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5"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(1.04)</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13"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Non-GAAP net loss per basic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2"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(0.13)</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45"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(0.20)</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13"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0.07 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40"/>
        <w:ind w:left="0" w:right="0" w:hanging="360"/>
        <w:jc w:val="both"/>
        <w:rPr/>
      </w:pPr>
      <w:r>
        <w:rPr>
          <w:rFonts w:ascii="Times New Roman;serif" w:hAnsi="Times New Roman;serif"/>
          <w:b w:val="false"/>
          <w:color w:val="000000"/>
          <w:sz w:val="14"/>
        </w:rPr>
        <w:t>1)</w:t>
      </w:r>
      <w:r>
        <w:rPr>
          <w:rFonts w:ascii="Times New Roman;serif" w:hAnsi="Times New Roman;serif"/>
          <w:b w:val="false"/>
          <w:color w:val="000000"/>
          <w:sz w:val="14"/>
          <w:shd w:fill="FFFFFF" w:val="clear"/>
        </w:rPr>
        <w:t xml:space="preserve">Please see tables below for a reconciliation from GAAP to non-GAAP. </w:t>
      </w:r>
    </w:p>
    <w:p>
      <w:pPr>
        <w:pStyle w:val="TextBody"/>
        <w:bidi w:val="0"/>
        <w:spacing w:lineRule="auto" w:line="288" w:before="100" w:after="283"/>
        <w:ind w:left="0" w:right="0" w:hanging="360"/>
        <w:jc w:val="left"/>
        <w:rPr/>
      </w:pPr>
      <w:r>
        <w:rPr>
          <w:rFonts w:ascii="Arial;sans-serif" w:hAnsi="Arial;sans-serif"/>
          <w:b w:val="false"/>
          <w:color w:val="000000"/>
          <w:sz w:val="12"/>
        </w:rPr>
        <w:t>2)</w:t>
      </w:r>
      <w:r>
        <w:rPr>
          <w:rFonts w:ascii="Times New Roman;serif" w:hAnsi="Times New Roman;serif"/>
          <w:b w:val="false"/>
          <w:color w:val="000000"/>
          <w:sz w:val="14"/>
        </w:rPr>
        <w:t>GAAP-only operating profit (loss) includes a significant impact from the calculated fair value of contingent acquisition liabilities where future earn-out shares are marked-to-market on a quarterly basis, and with the decrease in stock price compared to the previous quarter the gain associated with this item was $85 million and $163 million in the fourth quarter and full year 2025, respectively. Non-GAAP measures exclude this non-operating/non-cash impact.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1D2228"/>
          <w:sz w:val="24"/>
          <w:shd w:fill="FEFEFE" w:val="clear"/>
        </w:rPr>
      </w:pPr>
      <w:r>
        <w:rPr>
          <w:rFonts w:ascii="Times New Roman;serif" w:hAnsi="Times New Roman;serif"/>
          <w:b/>
          <w:color w:val="1D2228"/>
          <w:sz w:val="24"/>
          <w:shd w:fill="FEFEFE" w:val="clear"/>
        </w:rPr>
        <w:t>Liquidity and Cash Flows</w:t>
      </w:r>
    </w:p>
    <w:p>
      <w:pPr>
        <w:pStyle w:val="TextBody"/>
        <w:bidi w:val="0"/>
        <w:spacing w:lineRule="auto" w:line="288" w:before="100" w:after="360"/>
        <w:jc w:val="both"/>
        <w:rPr/>
      </w:pPr>
      <w:r>
        <w:rPr>
          <w:rFonts w:ascii="Times New Roman;serif" w:hAnsi="Times New Roman;serif"/>
          <w:b w:val="false"/>
          <w:color w:val="000000"/>
          <w:sz w:val="24"/>
          <w:shd w:fill="FEFEFE" w:val="clear"/>
        </w:rPr>
        <w:t xml:space="preserve">The company’s total cash and cash equivalents was </w:t>
      </w:r>
      <w:r>
        <w:rPr>
          <w:rFonts w:ascii="Times New Roman;serif" w:hAnsi="Times New Roman;serif"/>
          <w:b w:val="false"/>
          <w:color w:val="000000"/>
          <w:sz w:val="24"/>
        </w:rPr>
        <w:t>$248 million</w:t>
      </w:r>
      <w:r>
        <w:rPr>
          <w:color w:val="000000"/>
          <w:shd w:fill="FEFEFE" w:val="clear"/>
        </w:rPr>
        <w:t xml:space="preserve"> </w:t>
      </w:r>
      <w:r>
        <w:rPr>
          <w:rFonts w:ascii="Times New Roman;serif" w:hAnsi="Times New Roman;serif"/>
          <w:b w:val="false"/>
          <w:color w:val="000000"/>
          <w:sz w:val="24"/>
          <w:shd w:fill="FEFEFE" w:val="clear"/>
        </w:rPr>
        <w:t xml:space="preserve">at December 31, 2025, with no debt. </w:t>
      </w:r>
    </w:p>
    <w:p>
      <w:pPr>
        <w:pStyle w:val="TextBody"/>
        <w:bidi w:val="0"/>
        <w:spacing w:lineRule="auto" w:line="288" w:before="100" w:after="160"/>
        <w:jc w:val="both"/>
        <w:rPr>
          <w:rFonts w:ascii="Times New Roman;serif" w:hAnsi="Times New Roman;serif"/>
          <w:b/>
          <w:color w:val="1D2228"/>
          <w:sz w:val="24"/>
          <w:shd w:fill="FEFEFE" w:val="clear"/>
        </w:rPr>
      </w:pPr>
      <w:r>
        <w:rPr>
          <w:rFonts w:ascii="Times New Roman;serif" w:hAnsi="Times New Roman;serif"/>
          <w:b/>
          <w:color w:val="1D2228"/>
          <w:sz w:val="24"/>
          <w:shd w:fill="FEFEFE" w:val="clear"/>
        </w:rPr>
        <w:t>Condensed Cash Flow Statement</w:t>
      </w:r>
    </w:p>
    <w:tbl>
      <w:tblPr>
        <w:tblW w:w="9660" w:type="dxa"/>
        <w:jc w:val="left"/>
        <w:tblInd w:w="0" w:type="dxa"/>
        <w:tblLayout w:type="fixed"/>
        <w:tblCellMar>
          <w:top w:w="28" w:type="dxa"/>
          <w:left w:w="28" w:type="dxa"/>
          <w:bottom w:w="28" w:type="dxa"/>
          <w:right w:w="28" w:type="dxa"/>
        </w:tblCellMar>
      </w:tblPr>
      <w:tblGrid>
        <w:gridCol w:w="1494"/>
        <w:gridCol w:w="1313"/>
        <w:gridCol w:w="1318"/>
        <w:gridCol w:w="109"/>
        <w:gridCol w:w="109"/>
        <w:gridCol w:w="109"/>
        <w:gridCol w:w="597"/>
        <w:gridCol w:w="287"/>
        <w:gridCol w:w="287"/>
        <w:gridCol w:w="472"/>
        <w:gridCol w:w="474"/>
        <w:gridCol w:w="291"/>
        <w:gridCol w:w="109"/>
        <w:gridCol w:w="109"/>
        <w:gridCol w:w="109"/>
        <w:gridCol w:w="576"/>
        <w:gridCol w:w="277"/>
        <w:gridCol w:w="277"/>
        <w:gridCol w:w="578"/>
        <w:gridCol w:w="368"/>
        <w:gridCol w:w="397"/>
      </w:tblGrid>
      <w:tr>
        <w:trPr/>
        <w:tc>
          <w:tcPr>
            <w:tcW w:w="149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Year Ended</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2024</w:t>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52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(98,222)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50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(108,878)</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(59,504)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(12,372)</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208,074 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210,906 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Effects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w:t>
            </w:r>
          </w:p>
        </w:tc>
        <w:tc>
          <w:tcPr>
            <w:tcW w:w="2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225 </w:t>
            </w:r>
          </w:p>
        </w:tc>
        <w:tc>
          <w:tcPr>
            <w:tcW w:w="3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20"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50,250</w:t>
            </w:r>
            <w:r>
              <w:rPr>
                <w:color w:val="000000"/>
              </w:rPr>
              <w:t>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0"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89,881</w:t>
            </w:r>
            <w:r>
              <w:rPr>
                <w:color w:val="000000"/>
              </w:rPr>
              <w:t>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Business Outlook</w:t>
      </w:r>
    </w:p>
    <w:p>
      <w:pPr>
        <w:pStyle w:val="TextBody"/>
        <w:bidi w:val="0"/>
        <w:spacing w:lineRule="auto" w:line="288" w:before="100" w:after="16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SoundHound’s full year 2026 revenue outlook is expected to be in a range of $225 - $260 million.</w:t>
      </w:r>
    </w:p>
    <w:p>
      <w:pPr>
        <w:pStyle w:val="TextBody"/>
        <w:bidi w:val="0"/>
        <w:spacing w:lineRule="auto" w:line="288" w:before="100" w:after="10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Additional Information</w:t>
      </w:r>
    </w:p>
    <w:p>
      <w:pPr>
        <w:pStyle w:val="TextBody"/>
        <w:bidi w:val="0"/>
        <w:spacing w:lineRule="auto" w:line="288" w:before="100" w:after="100"/>
        <w:jc w:val="both"/>
        <w:rPr/>
      </w:pPr>
      <w:r>
        <w:rPr>
          <w:rFonts w:ascii="Times New Roman;serif" w:hAnsi="Times New Roman;serif"/>
          <w:b w:val="false"/>
          <w:color w:val="000000"/>
          <w:sz w:val="24"/>
          <w:shd w:fill="FEFEFE" w:val="clear"/>
        </w:rPr>
        <w:t xml:space="preserve">For more information please see the company’s SEC filings which can be obtained on the company’s website at </w:t>
      </w:r>
      <w:r>
        <w:rPr>
          <w:rFonts w:ascii="Times New Roman;serif" w:hAnsi="Times New Roman;serif"/>
          <w:b w:val="false"/>
          <w:color w:val="000000"/>
          <w:sz w:val="24"/>
          <w:u w:val="single"/>
          <w:shd w:fill="FFFFFF" w:val="clear"/>
        </w:rPr>
        <w:t>investors.soundhound.com</w:t>
      </w:r>
      <w:r>
        <w:rPr>
          <w:rFonts w:ascii="Times New Roman;serif" w:hAnsi="Times New Roman;serif"/>
          <w:b w:val="false"/>
          <w:color w:val="000000"/>
          <w:sz w:val="24"/>
          <w:shd w:fill="FEFEFE" w:val="clear"/>
        </w:rPr>
        <w:t>. The financial statements will be posted on the website, and will be included when the company files its 8-K. The financial data presented in this press release should be considered preliminary and unaudited until the company files its 10-K.</w:t>
      </w:r>
    </w:p>
    <w:p>
      <w:pPr>
        <w:pStyle w:val="TextBody"/>
        <w:bidi w:val="0"/>
        <w:spacing w:lineRule="auto" w:line="288" w:before="100" w:after="10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Conference Call and Webcast</w:t>
      </w:r>
    </w:p>
    <w:p>
      <w:pPr>
        <w:pStyle w:val="TextBody"/>
        <w:bidi w:val="0"/>
        <w:spacing w:lineRule="auto" w:line="288" w:before="100" w:after="100"/>
        <w:jc w:val="both"/>
        <w:rPr/>
      </w:pPr>
      <w:r>
        <w:rPr>
          <w:rFonts w:ascii="Times New Roman;serif" w:hAnsi="Times New Roman;serif"/>
          <w:b w:val="false"/>
          <w:color w:val="000000"/>
          <w:sz w:val="24"/>
        </w:rPr>
        <w:t xml:space="preserve">Keyvan Mohajer, Co-Founder and CEO, and Nitesh Sharan, CFO will host a live audio conference call and webcast today at 2:00 p.m. Pacific Time/5:00 p.m. Eastern Time. A live webcast and replay will also be accessible </w:t>
      </w:r>
      <w:r>
        <w:rPr>
          <w:rFonts w:ascii="Times New Roman;serif" w:hAnsi="Times New Roman;serif"/>
          <w:b w:val="false"/>
          <w:color w:val="000000"/>
          <w:sz w:val="24"/>
          <w:shd w:fill="FFFFFF" w:val="clear"/>
        </w:rPr>
        <w:t xml:space="preserve">at </w:t>
      </w:r>
      <w:r>
        <w:rPr>
          <w:rFonts w:ascii="Times New Roman;serif" w:hAnsi="Times New Roman;serif"/>
          <w:b w:val="false"/>
          <w:color w:val="000000"/>
          <w:sz w:val="24"/>
          <w:u w:val="single"/>
          <w:shd w:fill="FFFFFF" w:val="clear"/>
        </w:rPr>
        <w:t>investors.soundhound.com.</w:t>
      </w:r>
    </w:p>
    <w:p>
      <w:pPr>
        <w:pStyle w:val="TextBody"/>
        <w:bidi w:val="0"/>
        <w:spacing w:lineRule="auto" w:line="288" w:before="100" w:after="100"/>
        <w:jc w:val="left"/>
        <w:rPr>
          <w:rFonts w:ascii="Times New Roman;serif" w:hAnsi="Times New Roman;serif"/>
          <w:b/>
          <w:color w:val="000000"/>
          <w:sz w:val="24"/>
          <w:shd w:fill="FEFEFE" w:val="clear"/>
        </w:rPr>
      </w:pPr>
      <w:r>
        <w:rPr>
          <w:rFonts w:ascii="Times New Roman;serif" w:hAnsi="Times New Roman;serif"/>
          <w:b/>
          <w:color w:val="000000"/>
          <w:sz w:val="24"/>
          <w:shd w:fill="FEFEFE" w:val="clear"/>
        </w:rPr>
        <w:t xml:space="preserve">About SoundHound AI </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SoundHound AI (Nasdaq: SOUN),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smart devices, and restaurants. The company’s groundbreaking AI-driven products include Smart Answering, Smart Ordering, Dynamic Drive-Thru, and the Amelia Platform, which powers AI Agents for enterprise. In addition, SoundHound’s Agentic AI for Automotive and Autonomics, a category-leading operations platform that automates IT processes, have enabled SoundHound to power millions of products and services, and process billions of interactions each year for world class businesses. For more information, visit: www.soundhound.com </w:t>
      </w:r>
    </w:p>
    <w:p>
      <w:pPr>
        <w:pStyle w:val="TextBody"/>
        <w:bidi w:val="0"/>
        <w:spacing w:lineRule="auto" w:line="288" w:before="100" w:after="10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Forward Looking Statements</w:t>
      </w:r>
    </w:p>
    <w:p>
      <w:pPr>
        <w:pStyle w:val="TextBody"/>
        <w:bidi w:val="0"/>
        <w:spacing w:lineRule="auto" w:line="288" w:before="100" w:after="10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and guidance for financial results for 2026.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market opportunity and our ability to acquire new customers and retain existing customers, unexpected costs, charges or expenses resulting from our recent acquisitions, the ability of our recent acquisitions to be accretive on the company's financial results, and those other factors described in our risk factors set forth in our filings with the Securities and Exchange Commission from time to time, including our Annual Report on Form 10-K, Quarterly Reports on Form 10-Q and Current Reports on Form 8-K. We do not intend to update or alter our forward-looking statements, whether as a result of new information, future events or otherwise, except as required by applicable law.</w:t>
      </w:r>
    </w:p>
    <w:p>
      <w:pPr>
        <w:pStyle w:val="TextBody"/>
        <w:bidi w:val="0"/>
        <w:spacing w:lineRule="auto" w:line="288" w:before="100" w:after="16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Non-GAAP Measures of Financial Performance</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To supplement the company’s financial statements, which are presented on the basis of U.S. generally accepted accounting principles (GAAP), the following non-GAAP measures of financial performance are included in this release: non-GAAP gross profit, non-GAAP gross margin, adjusted EBITDA, non-GAAP net loss and non-GAAP earnings per share. </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The company believes that providing this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company's financial performance, but also, better evaluate the information used by management to evaluate and measure such performance. </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As such, the company believes that disclosing non-GAAP financial measures to the readers of its financial statements provides the reader with useful supplemental information that allows for greater transparency in the review of the company’s financial and operational performance. </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company defines its non-GAAP measures by excluding certain items:</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The company arrives at non-GAAP gross profit and non-GAAP gross margin by excluding (i) amortization of intangibles (including acquired intangible assets), and (ii) stock-based compensation and related payroll taxes. </w:t>
      </w:r>
    </w:p>
    <w:p>
      <w:pPr>
        <w:pStyle w:val="TextBody"/>
        <w:bidi w:val="0"/>
        <w:spacing w:lineRule="auto" w:line="288" w:before="100" w:after="100"/>
        <w:jc w:val="left"/>
        <w:rPr>
          <w:rFonts w:ascii="Times New Roman;serif" w:hAnsi="Times New Roman;serif"/>
          <w:b w:val="false"/>
          <w:color w:val="000000"/>
          <w:sz w:val="24"/>
        </w:rPr>
      </w:pPr>
      <w:r>
        <w:rPr>
          <w:rFonts w:ascii="Times New Roman;serif" w:hAnsi="Times New Roman;serif"/>
          <w:b w:val="false"/>
          <w:color w:val="000000"/>
          <w:sz w:val="24"/>
        </w:rPr>
        <w:t>The company arrives at adjusted EBITDA by excluding (i) total other income/(expense), net, (ii) loss on early extinguishment of debt, (iii) income taxes, (iv) depreciation and amortization expense (including acquired intangible assets), (v) stock-based compensation and related payroll taxes, (vi) change in fair value of contingent acquisition liabilities, and (vii) acquisition-related costs.</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arrives at non-GAAP net loss and non-GAAP net loss per share by excluding (i) depreciation and amortization expense (including acquired intangible assets), (ii) stock-based compensation and related payroll taxes, (iii) loss on early extinguishment of debt, (iv) change in fair value of contingent acquisition liabilities, (v) change in fair value of derivative, (vi) gain on bargain purchase, (vii) acquisition-related costs, and (viii) income tax effects related to acquisitions. </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Reconciliations of GAAP to these adjusted non-GAAP financial measures are included in the tables below. When analyzing the company's operating results, investors should not consider non-GAAP measures as substitutes for the comparable financial measures prepared in accordance with GAAP.</w:t>
      </w:r>
    </w:p>
    <w:p>
      <w:pPr>
        <w:pStyle w:val="TextBody"/>
        <w:bidi w:val="0"/>
        <w:spacing w:lineRule="auto" w:line="288" w:before="100" w:after="16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w:t>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Fourth Quarter Reconciliation of GAAP Gross Profit to Non-GAAP Gross Profit and GAAP Gross Margin to Non-GAAP Gross Margin</w:t>
      </w:r>
    </w:p>
    <w:tbl>
      <w:tblPr>
        <w:tblW w:w="9992" w:type="dxa"/>
        <w:jc w:val="left"/>
        <w:tblInd w:w="0" w:type="dxa"/>
        <w:tblLayout w:type="fixed"/>
        <w:tblCellMar>
          <w:top w:w="28" w:type="dxa"/>
          <w:left w:w="28" w:type="dxa"/>
          <w:bottom w:w="28" w:type="dxa"/>
          <w:right w:w="28" w:type="dxa"/>
        </w:tblCellMar>
      </w:tblPr>
      <w:tblGrid>
        <w:gridCol w:w="1836"/>
        <w:gridCol w:w="1613"/>
        <w:gridCol w:w="1620"/>
        <w:gridCol w:w="109"/>
        <w:gridCol w:w="109"/>
        <w:gridCol w:w="109"/>
        <w:gridCol w:w="597"/>
        <w:gridCol w:w="287"/>
        <w:gridCol w:w="287"/>
        <w:gridCol w:w="287"/>
        <w:gridCol w:w="287"/>
        <w:gridCol w:w="291"/>
        <w:gridCol w:w="109"/>
        <w:gridCol w:w="109"/>
        <w:gridCol w:w="109"/>
        <w:gridCol w:w="576"/>
        <w:gridCol w:w="277"/>
        <w:gridCol w:w="277"/>
        <w:gridCol w:w="353"/>
        <w:gridCol w:w="353"/>
        <w:gridCol w:w="397"/>
      </w:tblGrid>
      <w:tr>
        <w:trPr/>
        <w:tc>
          <w:tcPr>
            <w:tcW w:w="18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2024</w:t>
            </w:r>
          </w:p>
        </w:tc>
      </w:tr>
      <w:tr>
        <w:trPr/>
        <w:tc>
          <w:tcPr>
            <w:tcW w:w="5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gross profit¹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39"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26,350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65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13,784</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4,123 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Stock-based compensation and related payroll taxes²</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100 </w:t>
            </w:r>
          </w:p>
        </w:tc>
        <w:tc>
          <w:tcPr>
            <w:tcW w:w="39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48"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33,324</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60"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18,007</w:t>
            </w:r>
            <w:r>
              <w:rPr>
                <w:color w:val="000000"/>
              </w:rPr>
              <w:t>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39.9%</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52.1%</w:t>
            </w:r>
          </w:p>
        </w:tc>
      </w:tr>
    </w:tbl>
    <w:p>
      <w:pPr>
        <w:pStyle w:val="TextBody"/>
        <w:bidi w:val="0"/>
        <w:spacing w:lineRule="auto" w:line="288" w:before="100" w:after="283"/>
        <w:ind w:left="0" w:right="0" w:hanging="360"/>
        <w:jc w:val="both"/>
        <w:rPr/>
      </w:pPr>
      <w:r>
        <w:rPr>
          <w:rFonts w:ascii="Times New Roman;serif" w:hAnsi="Times New Roman;serif"/>
          <w:b w:val="false"/>
          <w:color w:val="000000"/>
          <w:sz w:val="16"/>
        </w:rPr>
        <w:t>1)</w:t>
      </w:r>
      <w:r>
        <w:rPr>
          <w:rFonts w:ascii="Times New Roman;serif" w:hAnsi="Times New Roman;serif"/>
          <w:b w:val="false"/>
          <w:color w:val="000000"/>
          <w:sz w:val="16"/>
          <w:shd w:fill="FEFEFE" w:val="clear"/>
        </w:rPr>
        <w:t>G</w:t>
      </w:r>
      <w:r>
        <w:rPr>
          <w:rFonts w:ascii="Times New Roman;serif" w:hAnsi="Times New Roman;serif"/>
          <w:b w:val="false"/>
          <w:color w:val="000000"/>
          <w:sz w:val="16"/>
        </w:rPr>
        <w:t>AAP gross profit is calculated by subtracting the cost of revenues from revenues.</w:t>
      </w:r>
    </w:p>
    <w:p>
      <w:pPr>
        <w:pStyle w:val="TextBody"/>
        <w:bidi w:val="0"/>
        <w:spacing w:lineRule="auto" w:line="288" w:before="100" w:after="283"/>
        <w:ind w:left="0" w:right="0" w:hanging="360"/>
        <w:jc w:val="both"/>
        <w:rPr/>
      </w:pPr>
      <w:r>
        <w:rPr>
          <w:rFonts w:ascii="Times New Roman;serif" w:hAnsi="Times New Roman;serif"/>
          <w:b w:val="false"/>
          <w:color w:val="000000"/>
          <w:sz w:val="16"/>
        </w:rPr>
        <w:t>2)Q4 2025 includes employer payroll taxes that result from stock-based compensation in the amount of</w:t>
      </w:r>
      <w:r>
        <w:rPr>
          <w:color w:val="000000"/>
        </w:rPr>
        <w:t xml:space="preserve"> </w:t>
      </w:r>
      <w:r>
        <w:rPr>
          <w:rFonts w:ascii="Times New Roman;serif" w:hAnsi="Times New Roman;serif"/>
          <w:b w:val="false"/>
          <w:color w:val="000000"/>
          <w:sz w:val="16"/>
        </w:rPr>
        <w:t>$0.1 million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Fourth Quarter Reconciliation of GAAP Net Income (Loss) to Non-GAAP Adjusted EBITDA</w:t>
      </w:r>
    </w:p>
    <w:tbl>
      <w:tblPr>
        <w:tblW w:w="10205" w:type="dxa"/>
        <w:jc w:val="left"/>
        <w:tblInd w:w="0" w:type="dxa"/>
        <w:tblLayout w:type="fixed"/>
        <w:tblCellMar>
          <w:top w:w="28" w:type="dxa"/>
          <w:left w:w="28" w:type="dxa"/>
          <w:bottom w:w="28" w:type="dxa"/>
          <w:right w:w="28" w:type="dxa"/>
        </w:tblCellMar>
      </w:tblPr>
      <w:tblGrid>
        <w:gridCol w:w="1822"/>
        <w:gridCol w:w="1503"/>
        <w:gridCol w:w="1511"/>
        <w:gridCol w:w="109"/>
        <w:gridCol w:w="109"/>
        <w:gridCol w:w="109"/>
        <w:gridCol w:w="559"/>
        <w:gridCol w:w="287"/>
        <w:gridCol w:w="276"/>
        <w:gridCol w:w="492"/>
        <w:gridCol w:w="412"/>
        <w:gridCol w:w="272"/>
        <w:gridCol w:w="109"/>
        <w:gridCol w:w="109"/>
        <w:gridCol w:w="109"/>
        <w:gridCol w:w="540"/>
        <w:gridCol w:w="277"/>
        <w:gridCol w:w="277"/>
        <w:gridCol w:w="577"/>
        <w:gridCol w:w="369"/>
        <w:gridCol w:w="377"/>
      </w:tblGrid>
      <w:tr>
        <w:trPr/>
        <w:tc>
          <w:tcPr>
            <w:tcW w:w="182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8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2024</w:t>
            </w:r>
          </w:p>
        </w:tc>
      </w:tr>
      <w:tr>
        <w:trPr/>
        <w:tc>
          <w:tcPr>
            <w:tcW w:w="48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67"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40,057</w:t>
            </w:r>
            <w:r>
              <w:rPr>
                <w:color w:val="000000"/>
              </w:rPr>
              <w:t>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0"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(258,599)</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Total other income (expense), net</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1,174 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2,200 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311 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10,044 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7,939 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Stock-based compensation and related payroll taxes</w:t>
            </w: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20,818 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9,853 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contingent acquisition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(84,631)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220,946 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3,766 </w:t>
            </w:r>
          </w:p>
        </w:tc>
        <w:tc>
          <w:tcPr>
            <w:tcW w:w="2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1,541 </w:t>
            </w:r>
          </w:p>
        </w:tc>
        <w:tc>
          <w:tcPr>
            <w:tcW w:w="3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67" w:type="dxa"/>
            <w:gridSpan w:val="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(7,430)</w:t>
            </w:r>
          </w:p>
        </w:tc>
        <w:tc>
          <w:tcPr>
            <w:tcW w:w="2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0" w:type="dxa"/>
            <w:gridSpan w:val="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(16,793)</w:t>
            </w:r>
          </w:p>
        </w:tc>
        <w:tc>
          <w:tcPr>
            <w:tcW w:w="3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other income, net of ($0.2) and $0.1 million for the three months ended December 31, 2025 and 2024, respectively.</w:t>
      </w:r>
    </w:p>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2)Q4 2025 includes employer payroll taxes that result from stock-based compensation in the amount of $1.2 million.</w:t>
      </w:r>
    </w:p>
    <w:p>
      <w:pPr>
        <w:pStyle w:val="TextBody"/>
        <w:bidi w:val="0"/>
        <w:spacing w:before="100" w:after="160"/>
        <w:jc w:val="both"/>
        <w:rPr/>
      </w:pPr>
      <w:r>
        <w:rPr/>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Fourth Quarter Reconciliation of GAAP Net Income (Loss) to Non-GAAP Net Loss and Non-GAAP Net Loss Per Share</w:t>
      </w:r>
    </w:p>
    <w:tbl>
      <w:tblPr>
        <w:tblW w:w="10205" w:type="dxa"/>
        <w:jc w:val="left"/>
        <w:tblInd w:w="0" w:type="dxa"/>
        <w:tblLayout w:type="fixed"/>
        <w:tblCellMar>
          <w:top w:w="28" w:type="dxa"/>
          <w:left w:w="28" w:type="dxa"/>
          <w:bottom w:w="28" w:type="dxa"/>
          <w:right w:w="28" w:type="dxa"/>
        </w:tblCellMar>
      </w:tblPr>
      <w:tblGrid>
        <w:gridCol w:w="2065"/>
        <w:gridCol w:w="1529"/>
        <w:gridCol w:w="1536"/>
        <w:gridCol w:w="109"/>
        <w:gridCol w:w="109"/>
        <w:gridCol w:w="109"/>
        <w:gridCol w:w="478"/>
        <w:gridCol w:w="287"/>
        <w:gridCol w:w="255"/>
        <w:gridCol w:w="440"/>
        <w:gridCol w:w="441"/>
        <w:gridCol w:w="233"/>
        <w:gridCol w:w="109"/>
        <w:gridCol w:w="109"/>
        <w:gridCol w:w="109"/>
        <w:gridCol w:w="464"/>
        <w:gridCol w:w="277"/>
        <w:gridCol w:w="277"/>
        <w:gridCol w:w="577"/>
        <w:gridCol w:w="369"/>
        <w:gridCol w:w="323"/>
      </w:tblGrid>
      <w:tr>
        <w:trPr/>
        <w:tc>
          <w:tcPr>
            <w:tcW w:w="206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2024</w:t>
            </w:r>
          </w:p>
        </w:tc>
      </w:tr>
      <w:tr>
        <w:trPr/>
        <w:tc>
          <w:tcPr>
            <w:tcW w:w="5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net income (loss) attributable to SoundHound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23"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40,057</w:t>
            </w: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0"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(258,599)</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10,044 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7,939 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Stock-based compensation and related payroll taxes</w:t>
            </w: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20,818 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9,853 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contingent acquisition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(84,631)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220,946 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2,598 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3,766 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1,541 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Income tax effects related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(715)</w:t>
            </w:r>
          </w:p>
        </w:tc>
        <w:tc>
          <w:tcPr>
            <w:tcW w:w="32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23" w:type="dxa"/>
            <w:gridSpan w:val="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(7,348)</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0" w:type="dxa"/>
            <w:gridSpan w:val="4"/>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(18,993)</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GAAP net earnings (loss) per share</w:t>
            </w:r>
            <w:r>
              <w:rPr>
                <w:rFonts w:ascii="Times New Roman;serif" w:hAnsi="Times New Roman;serif"/>
                <w:b/>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0.10</w:t>
            </w: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(0.69)</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(0.12)</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0.64 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net loss per share²</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(0.02)</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(0.05)</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GAAP net loss per share</w:t>
            </w:r>
            <w:r>
              <w:rPr>
                <w:rFonts w:ascii="Times New Roman;serif" w:hAnsi="Times New Roman;serif"/>
                <w:b/>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(0.03)</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(0.69)</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0.01 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0.64 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Non-GAAP net loss per share</w:t>
            </w:r>
            <w:r>
              <w:rPr>
                <w:rFonts w:ascii="Times New Roman;serif" w:hAnsi="Times New Roman;serif"/>
                <w:b/>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(0.02)</w:t>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9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(0.05)</w:t>
            </w:r>
          </w:p>
        </w:tc>
        <w:tc>
          <w:tcPr>
            <w:tcW w:w="3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1)Q4 2025 includes employer payroll taxes that result from stock-based compensation in the amount of $1.2 million.</w:t>
      </w:r>
    </w:p>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2)Weighted average common shares outstanding (basic) for the three months ended December 31, 2025 and 2024 were 417,576,180 and 375,102,329, respectively. </w:t>
      </w:r>
    </w:p>
    <w:p>
      <w:pPr>
        <w:pStyle w:val="TextBody"/>
        <w:bidi w:val="0"/>
        <w:spacing w:lineRule="auto" w:line="288" w:before="10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3)Weighted average common shares outstanding (diluted) for the three months ended December 31, 2025 and 2024 were 425,702,854 and 375,102,329, respectively. Excludes earnings impact from realized portion of contingently issuable shares related to prior acquisitions.</w:t>
      </w:r>
    </w:p>
    <w:p>
      <w:pPr>
        <w:pStyle w:val="TextBody"/>
        <w:bidi w:val="0"/>
        <w:spacing w:before="0" w:after="0"/>
        <w:jc w:val="both"/>
        <w:rPr/>
      </w:pPr>
      <w:r>
        <w:rPr/>
      </w:r>
    </w:p>
    <w:p>
      <w:pPr>
        <w:pStyle w:val="TextBody"/>
        <w:bidi w:val="0"/>
        <w:spacing w:before="100" w:after="160"/>
        <w:jc w:val="both"/>
        <w:rPr/>
      </w:pPr>
      <w:r>
        <w:rPr/>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Full Year Reconciliation of GAAP Gross Profit to Non-GAAP Gross Profit and GAAP Gross Margin to Non-GAAP Gross Margin</w:t>
      </w:r>
    </w:p>
    <w:tbl>
      <w:tblPr>
        <w:tblW w:w="9992" w:type="dxa"/>
        <w:jc w:val="left"/>
        <w:tblInd w:w="0" w:type="dxa"/>
        <w:tblLayout w:type="fixed"/>
        <w:tblCellMar>
          <w:top w:w="28" w:type="dxa"/>
          <w:left w:w="28" w:type="dxa"/>
          <w:bottom w:w="28" w:type="dxa"/>
          <w:right w:w="28" w:type="dxa"/>
        </w:tblCellMar>
      </w:tblPr>
      <w:tblGrid>
        <w:gridCol w:w="1836"/>
        <w:gridCol w:w="1613"/>
        <w:gridCol w:w="1620"/>
        <w:gridCol w:w="109"/>
        <w:gridCol w:w="109"/>
        <w:gridCol w:w="109"/>
        <w:gridCol w:w="597"/>
        <w:gridCol w:w="287"/>
        <w:gridCol w:w="287"/>
        <w:gridCol w:w="287"/>
        <w:gridCol w:w="287"/>
        <w:gridCol w:w="291"/>
        <w:gridCol w:w="109"/>
        <w:gridCol w:w="109"/>
        <w:gridCol w:w="109"/>
        <w:gridCol w:w="576"/>
        <w:gridCol w:w="277"/>
        <w:gridCol w:w="277"/>
        <w:gridCol w:w="353"/>
        <w:gridCol w:w="353"/>
        <w:gridCol w:w="397"/>
      </w:tblGrid>
      <w:tr>
        <w:trPr/>
        <w:tc>
          <w:tcPr>
            <w:tcW w:w="18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Year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2024</w:t>
            </w:r>
          </w:p>
        </w:tc>
      </w:tr>
      <w:tr>
        <w:trPr/>
        <w:tc>
          <w:tcPr>
            <w:tcW w:w="5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gross profit¹</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39"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71,551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65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41,384</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7,696 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Stock-based compensation and related payroll taxes²</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458 </w:t>
            </w:r>
          </w:p>
        </w:tc>
        <w:tc>
          <w:tcPr>
            <w:tcW w:w="39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48"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97,969</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60"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49,538</w:t>
            </w:r>
            <w:r>
              <w:rPr>
                <w:color w:val="000000"/>
              </w:rPr>
              <w:t>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48.9%</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58.5%</w:t>
            </w:r>
          </w:p>
        </w:tc>
      </w:tr>
    </w:tbl>
    <w:p>
      <w:pPr>
        <w:pStyle w:val="TextBody"/>
        <w:bidi w:val="0"/>
        <w:spacing w:lineRule="auto" w:line="288" w:before="100" w:after="283"/>
        <w:ind w:left="0" w:right="0" w:hanging="360"/>
        <w:jc w:val="both"/>
        <w:rPr/>
      </w:pPr>
      <w:r>
        <w:rPr>
          <w:rFonts w:ascii="Times New Roman;serif" w:hAnsi="Times New Roman;serif"/>
          <w:b w:val="false"/>
          <w:color w:val="000000"/>
          <w:sz w:val="16"/>
        </w:rPr>
        <w:t>1)</w:t>
      </w:r>
      <w:r>
        <w:rPr>
          <w:rFonts w:ascii="Times New Roman;serif" w:hAnsi="Times New Roman;serif"/>
          <w:b w:val="false"/>
          <w:color w:val="000000"/>
          <w:sz w:val="16"/>
          <w:shd w:fill="FEFEFE" w:val="clear"/>
        </w:rPr>
        <w:t>G</w:t>
      </w:r>
      <w:r>
        <w:rPr>
          <w:rFonts w:ascii="Times New Roman;serif" w:hAnsi="Times New Roman;serif"/>
          <w:b w:val="false"/>
          <w:color w:val="000000"/>
          <w:sz w:val="16"/>
        </w:rPr>
        <w:t>AAP gross profit is calculated by subtracting the cost of revenues from revenues.</w:t>
      </w:r>
    </w:p>
    <w:p>
      <w:pPr>
        <w:pStyle w:val="TextBody"/>
        <w:bidi w:val="0"/>
        <w:spacing w:lineRule="auto" w:line="288" w:before="10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2)Starting in Q3 2025 the company includes employer payroll taxes that result from stock-based compensation. Therefore the amount here includes $0.3 million for Q3 and Q4 only.</w:t>
      </w:r>
    </w:p>
    <w:p>
      <w:pPr>
        <w:pStyle w:val="TextBody"/>
        <w:bidi w:val="0"/>
        <w:spacing w:before="0" w:after="0"/>
        <w:jc w:val="both"/>
        <w:rPr/>
      </w:pPr>
      <w:r>
        <w:rPr/>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Full Year Reconciliation of GAAP Net Loss to Non-GAAP Adjusted EBITDA</w:t>
      </w:r>
    </w:p>
    <w:tbl>
      <w:tblPr>
        <w:tblW w:w="10205" w:type="dxa"/>
        <w:jc w:val="left"/>
        <w:tblInd w:w="0" w:type="dxa"/>
        <w:tblLayout w:type="fixed"/>
        <w:tblCellMar>
          <w:top w:w="28" w:type="dxa"/>
          <w:left w:w="28" w:type="dxa"/>
          <w:bottom w:w="28" w:type="dxa"/>
          <w:right w:w="28" w:type="dxa"/>
        </w:tblCellMar>
      </w:tblPr>
      <w:tblGrid>
        <w:gridCol w:w="1801"/>
        <w:gridCol w:w="1467"/>
        <w:gridCol w:w="1472"/>
        <w:gridCol w:w="109"/>
        <w:gridCol w:w="109"/>
        <w:gridCol w:w="109"/>
        <w:gridCol w:w="551"/>
        <w:gridCol w:w="287"/>
        <w:gridCol w:w="277"/>
        <w:gridCol w:w="509"/>
        <w:gridCol w:w="512"/>
        <w:gridCol w:w="269"/>
        <w:gridCol w:w="109"/>
        <w:gridCol w:w="109"/>
        <w:gridCol w:w="109"/>
        <w:gridCol w:w="533"/>
        <w:gridCol w:w="277"/>
        <w:gridCol w:w="277"/>
        <w:gridCol w:w="577"/>
        <w:gridCol w:w="369"/>
        <w:gridCol w:w="373"/>
      </w:tblGrid>
      <w:tr>
        <w:trPr/>
        <w:tc>
          <w:tcPr>
            <w:tcW w:w="180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Year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2024</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85"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(14,006)</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0"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(350,681)</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Total other income (expense), net</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(13,998)</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2,946 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15,629 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Income taxes/(benefits)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4,732 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(9,247)</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34,130 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16,054 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Stock-based compensation and related payroll taxes</w:t>
            </w: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83,285 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33,145 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contingent acquisition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(163,127)</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222,670 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10,536 </w:t>
            </w:r>
          </w:p>
        </w:tc>
        <w:tc>
          <w:tcPr>
            <w:tcW w:w="2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7,569 </w:t>
            </w:r>
          </w:p>
        </w:tc>
        <w:tc>
          <w:tcPr>
            <w:tcW w:w="3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85" w:type="dxa"/>
            <w:gridSpan w:val="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(58,448)</w:t>
            </w:r>
          </w:p>
        </w:tc>
        <w:tc>
          <w:tcPr>
            <w:tcW w:w="2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0" w:type="dxa"/>
            <w:gridSpan w:val="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(61,915)</w:t>
            </w:r>
          </w:p>
        </w:tc>
        <w:tc>
          <w:tcPr>
            <w:tcW w:w="3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other income, net of $14.7 and $9.2 million for the years ended December 31, 2025 and 2024, respectively.</w:t>
      </w:r>
    </w:p>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2)Starting in Q3 2025 the company includes employer payroll taxes that result from stock-based compensation. Therefore the amount here includes $2.7 million for Q3 and Q4 only.</w:t>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Full Year Reconciliation of GAAP Net Loss to Non-GAAP Net Loss and Non-GAAP Net Loss Per Share</w:t>
      </w:r>
    </w:p>
    <w:tbl>
      <w:tblPr>
        <w:tblW w:w="10205" w:type="dxa"/>
        <w:jc w:val="left"/>
        <w:tblInd w:w="0" w:type="dxa"/>
        <w:tblLayout w:type="fixed"/>
        <w:tblCellMar>
          <w:top w:w="28" w:type="dxa"/>
          <w:left w:w="28" w:type="dxa"/>
          <w:bottom w:w="28" w:type="dxa"/>
          <w:right w:w="28" w:type="dxa"/>
        </w:tblCellMar>
      </w:tblPr>
      <w:tblGrid>
        <w:gridCol w:w="1967"/>
        <w:gridCol w:w="1484"/>
        <w:gridCol w:w="1491"/>
        <w:gridCol w:w="109"/>
        <w:gridCol w:w="109"/>
        <w:gridCol w:w="109"/>
        <w:gridCol w:w="495"/>
        <w:gridCol w:w="287"/>
        <w:gridCol w:w="265"/>
        <w:gridCol w:w="502"/>
        <w:gridCol w:w="503"/>
        <w:gridCol w:w="241"/>
        <w:gridCol w:w="109"/>
        <w:gridCol w:w="109"/>
        <w:gridCol w:w="109"/>
        <w:gridCol w:w="480"/>
        <w:gridCol w:w="277"/>
        <w:gridCol w:w="277"/>
        <w:gridCol w:w="578"/>
        <w:gridCol w:w="368"/>
        <w:gridCol w:w="336"/>
      </w:tblGrid>
      <w:tr>
        <w:trPr/>
        <w:tc>
          <w:tcPr>
            <w:tcW w:w="196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94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color w:val="000000"/>
                <w:sz w:val="24"/>
              </w:rPr>
            </w:pPr>
            <w:r>
              <w:rPr>
                <w:rFonts w:ascii="Times New Roman;serif" w:hAnsi="Times New Roman;serif"/>
                <w:b/>
                <w:color w:val="000000"/>
                <w:sz w:val="24"/>
              </w:rPr>
              <w:t>Year Ended</w:t>
            </w:r>
          </w:p>
          <w:p>
            <w:pPr>
              <w:pStyle w:val="TableContents"/>
              <w:bidi w:val="0"/>
              <w:spacing w:lineRule="auto" w:line="288" w:before="0" w:after="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December 31, 2024</w:t>
            </w:r>
          </w:p>
        </w:tc>
      </w:tr>
      <w:tr>
        <w:trPr/>
        <w:tc>
          <w:tcPr>
            <w:tcW w:w="4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net loss attributable to SoundHound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57"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(14,006)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0"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(351,097)</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34,130 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16,054 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Stock-based compensation and related payroll taxes</w:t>
            </w: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83,285 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33,145 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15,629 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contingent acquisition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(163,127)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222,670 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Gain on bargain 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(1,223)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10,536 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7,569 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Income tax effects related to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(11,820)</w:t>
            </w:r>
          </w:p>
        </w:tc>
        <w:tc>
          <w:tcPr>
            <w:tcW w:w="3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57"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(53,858)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00"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(69,073)</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GAAP net loss per share</w:t>
            </w:r>
            <w:r>
              <w:rPr>
                <w:rFonts w:ascii="Times New Roman;serif" w:hAnsi="Times New Roman;serif"/>
                <w:b/>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(1.04)</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(0.10)</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0.84 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net loss per share²</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(0.13)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(0.20)</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GAAP net loss per share</w:t>
            </w:r>
            <w:r>
              <w:rPr>
                <w:rFonts w:ascii="Times New Roman;serif" w:hAnsi="Times New Roman;serif"/>
                <w:b/>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(0.28)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(1.04)</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0.15 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0.84 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Non-GAAP net loss per share</w:t>
            </w:r>
            <w:r>
              <w:rPr>
                <w:rFonts w:ascii="Times New Roman;serif" w:hAnsi="Times New Roman;serif"/>
                <w:b/>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00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(0.13)</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9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(0.20)</w:t>
            </w:r>
          </w:p>
        </w:tc>
        <w:tc>
          <w:tcPr>
            <w:tcW w:w="3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1)Starting in Q3 2025 the company includes employer payroll taxes that result from stock-based compensation. Therefore the amount here includes $2.7 million for Q3 and Q4 only.</w:t>
      </w:r>
    </w:p>
    <w:p>
      <w:pPr>
        <w:pStyle w:val="TextBody"/>
        <w:bidi w:val="0"/>
        <w:spacing w:lineRule="auto" w:line="288" w:before="100" w:after="1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2)Weighted average common shares outstanding (basic) for the years ended December 31, 2025 and 2024 were 405,421,412 and 338,462,574, respectively. </w:t>
      </w:r>
    </w:p>
    <w:p>
      <w:pPr>
        <w:pStyle w:val="TextBody"/>
        <w:bidi w:val="0"/>
        <w:spacing w:lineRule="auto" w:line="288" w:before="10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3)Weighted average common shares outstanding (diluted) for the years ended December 31, 2025 and 2024 were 409,456,342 and 338,462,574, respectively. Excludes earnings impact from realized portion of contingently issuable shares related to prior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Investors:</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Scott Smith</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408-724-1498</w:t>
      </w:r>
    </w:p>
    <w:p>
      <w:pPr>
        <w:pStyle w:val="TextBody"/>
        <w:bidi w:val="0"/>
        <w:spacing w:lineRule="auto" w:line="288" w:before="0" w:after="36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IR@SoundHound.com</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Media: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Fiona McEvoy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415-610-6590</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PR@SoundHound.com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57"/>
        <w:gridCol w:w="2558"/>
        <w:gridCol w:w="2558"/>
        <w:gridCol w:w="171"/>
        <w:gridCol w:w="545"/>
        <w:gridCol w:w="112"/>
        <w:gridCol w:w="109"/>
        <w:gridCol w:w="109"/>
        <w:gridCol w:w="109"/>
        <w:gridCol w:w="171"/>
        <w:gridCol w:w="543"/>
        <w:gridCol w:w="163"/>
      </w:tblGrid>
      <w:tr>
        <w:trPr/>
        <w:tc>
          <w:tcPr>
            <w:tcW w:w="3057"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w:t>
              <w:br/>
              <w:t>2024</w:t>
            </w:r>
          </w:p>
        </w:tc>
      </w:tr>
      <w:tr>
        <w:trPr/>
        <w:tc>
          <w:tcPr>
            <w:tcW w:w="8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ASSETS</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Current assets:</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Cash and cash equivalents</w:t>
            </w:r>
          </w:p>
        </w:tc>
        <w:tc>
          <w:tcPr>
            <w:tcW w:w="1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248,490 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198,240 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2"/>
              </w:rPr>
            </w:pPr>
            <w:r>
              <w:rPr>
                <w:rFonts w:ascii="Times New Roman;serif" w:hAnsi="Times New Roman;serif"/>
                <w:b w:val="false"/>
                <w:color w:val="000000"/>
                <w:sz w:val="12"/>
              </w:rPr>
              <w:t>Accounts receivable, net of allowances of $2,254 and $726 as of December 31, 2025 and 2024, respectively</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32,336 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23,159 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revenue, net</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38,189 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26,645 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assets</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assets</w:t>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329,129 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255,520 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Restricted cash equivalents, non-current</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Right-of-use assets</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Property and equipment, net</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Goodwill </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122,277 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101,704 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Intangible assets, net</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181,395 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174,943 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asset</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revenue, non-current, net</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29,906 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assets</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18,042 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Total assets</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688,173 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553,953 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LIABILITIES AND STOCKHOLDERS’ EQUITY (DEFICIT)</w:t>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Current liabilities:</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10,562 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Accrued liabilities</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26,325 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26,291 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Finance lease liabilities</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24,042 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23,876 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Other current liabilities </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7,319 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liabilities</w:t>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71,739 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67,742 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 net of current portion</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 net of current portion</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 net of current portion</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129,227 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286,898 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Income tax liability, net of current portion </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liability</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liabilities</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9,540 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w:t>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224,387 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371,300 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Commitments and contingencies</w:t>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Stockholders’ equity (deficit):</w:t>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2"/>
              </w:rPr>
            </w:pPr>
            <w:r>
              <w:rPr>
                <w:rFonts w:ascii="Times New Roman;serif" w:hAnsi="Times New Roman;serif"/>
                <w:b w:val="false"/>
                <w:color w:val="000000"/>
                <w:sz w:val="12"/>
              </w:rPr>
              <w:t>Series A Preferred Stock, $0.0001 par value; 1,000,000 shares authorized; 0 and 0 shares issued and outstanding, aggregate liquidation preference of $— and $— as of December 31, 2025 and 2024, respectively</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2"/>
              </w:rPr>
            </w:pPr>
            <w:r>
              <w:rPr>
                <w:rFonts w:ascii="Times New Roman;serif" w:hAnsi="Times New Roman;serif"/>
                <w:b w:val="false"/>
                <w:color w:val="000000"/>
                <w:sz w:val="12"/>
              </w:rPr>
              <w:t>Class A Common Stock, $0.0001 par value; 755,000,000 and 455,000,000 shares authorized; 390,070,691 and 361,096,457 shares issued and outstanding as of December 31, 2025 and 2024, respectively</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2"/>
              </w:rPr>
            </w:pPr>
            <w:r>
              <w:rPr>
                <w:rFonts w:ascii="Times New Roman;serif" w:hAnsi="Times New Roman;serif"/>
                <w:b w:val="false"/>
                <w:color w:val="000000"/>
                <w:sz w:val="12"/>
              </w:rPr>
              <w:t>Class B Common Stock, $0.0001 par value; 44,000,000 shares authorized as of December 31, 2025 and 2024; 32,535,408 and 32,535,408 shares issued and outstanding as of December 31, 2025 and 2024, respectively</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Additional paid-in capital</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1,420,672 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1,125,470 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Accumulated deficit</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(957,066)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(943,060)</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Accumulated other comprehensive income</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Total stockholders’ equity</w:t>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463,786 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182,653 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 and stockholders’ equity</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688,173 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553,953 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8234" w:type="dxa"/>
        <w:jc w:val="center"/>
        <w:tblInd w:w="0" w:type="dxa"/>
        <w:tblLayout w:type="fixed"/>
        <w:tblCellMar>
          <w:top w:w="28" w:type="dxa"/>
          <w:left w:w="28" w:type="dxa"/>
          <w:bottom w:w="28" w:type="dxa"/>
          <w:right w:w="28" w:type="dxa"/>
        </w:tblCellMar>
      </w:tblPr>
      <w:tblGrid>
        <w:gridCol w:w="1852"/>
        <w:gridCol w:w="1621"/>
        <w:gridCol w:w="1642"/>
        <w:gridCol w:w="250"/>
        <w:gridCol w:w="854"/>
        <w:gridCol w:w="129"/>
        <w:gridCol w:w="129"/>
        <w:gridCol w:w="129"/>
        <w:gridCol w:w="129"/>
        <w:gridCol w:w="250"/>
        <w:gridCol w:w="1067"/>
        <w:gridCol w:w="182"/>
      </w:tblGrid>
      <w:tr>
        <w:trPr/>
        <w:tc>
          <w:tcPr>
            <w:tcW w:w="1852"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December 31,</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34,543 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220,946 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291,615 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(257,072)</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(benefit) for income taxes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(258,288)</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(258,599)</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dividends attributable to Series A Preferred Stock</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SoundHound common stockholders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(258,599)</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investments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(258,656)</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417,576,180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375,102,329</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33"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425,702,854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375,102,329</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9326" w:type="dxa"/>
        <w:jc w:val="center"/>
        <w:tblInd w:w="0" w:type="dxa"/>
        <w:tblLayout w:type="fixed"/>
        <w:tblCellMar>
          <w:top w:w="28" w:type="dxa"/>
          <w:left w:w="28" w:type="dxa"/>
          <w:bottom w:w="28" w:type="dxa"/>
          <w:right w:w="28" w:type="dxa"/>
        </w:tblCellMar>
      </w:tblPr>
      <w:tblGrid>
        <w:gridCol w:w="1852"/>
        <w:gridCol w:w="1621"/>
        <w:gridCol w:w="1642"/>
        <w:gridCol w:w="211"/>
        <w:gridCol w:w="826"/>
        <w:gridCol w:w="109"/>
        <w:gridCol w:w="109"/>
        <w:gridCol w:w="109"/>
        <w:gridCol w:w="109"/>
        <w:gridCol w:w="211"/>
        <w:gridCol w:w="901"/>
        <w:gridCol w:w="109"/>
        <w:gridCol w:w="109"/>
        <w:gridCol w:w="109"/>
        <w:gridCol w:w="109"/>
        <w:gridCol w:w="227"/>
        <w:gridCol w:w="796"/>
        <w:gridCol w:w="167"/>
      </w:tblGrid>
      <w:tr>
        <w:trPr/>
        <w:tc>
          <w:tcPr>
            <w:tcW w:w="1852"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Ended </w:t>
              <w:br/>
              <w:t>December 31,</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45,873 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114,481 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(341,353)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(68,608)</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(16,415)</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(benefit)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(85,023)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(88,937)</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dividends attributable to Series A Preferred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SoundHound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(351,097)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(91,711)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(88,738)</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405,421,412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338,462,574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229,264,904</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409,456,342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338,462,574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229,264,904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565"/>
        <w:gridCol w:w="2118"/>
        <w:gridCol w:w="2130"/>
        <w:gridCol w:w="181"/>
        <w:gridCol w:w="582"/>
        <w:gridCol w:w="109"/>
        <w:gridCol w:w="109"/>
        <w:gridCol w:w="109"/>
        <w:gridCol w:w="109"/>
        <w:gridCol w:w="181"/>
        <w:gridCol w:w="657"/>
        <w:gridCol w:w="109"/>
        <w:gridCol w:w="109"/>
        <w:gridCol w:w="109"/>
        <w:gridCol w:w="109"/>
        <w:gridCol w:w="181"/>
        <w:gridCol w:w="582"/>
        <w:gridCol w:w="156"/>
      </w:tblGrid>
      <w:tr>
        <w:trPr/>
        <w:tc>
          <w:tcPr>
            <w:tcW w:w="2565"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Year Ended </w:t>
              <w:br/>
              <w:t>December 31,</w:t>
            </w:r>
          </w:p>
        </w:tc>
      </w:tr>
      <w:tr>
        <w:trPr/>
        <w:tc>
          <w:tcPr>
            <w:tcW w:w="6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6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operating activities:</w:t>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(350,681)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(88,937)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loss to net cash used in operating activities:</w:t>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80,620 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27,931 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Loss on change in fair value of ELOC program</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debt issuance cost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Non-cash lease amortization</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Loss on disposal of property and equipment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capitalized commissions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Loss on early extinguishment of debt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gain/loss from remeasurement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contingent acquisition liabilities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(163,127)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fair value of derivative</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net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 net of effects of acquisitions:</w:t>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current assets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assets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(19,578)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non-current assets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Accrued liabilities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current liabilities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non-current liabilities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operating activities</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(98,222)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(108,878)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(68,265)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investing activities:</w:t>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Capitalized software development costs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related to acquisitions, net of cash acquired</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investing activities</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financing activities:</w:t>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issuance of Series A Preferred Stock, net of issuance costs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sales of Class A common stock under the ELOC program, net of issuance costs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sales of Class A common stock under the Sales Agreement, Equity Distribution Agreement, Execute Equity Distribution Agreement and Second Equity Distribution Agreement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exercise of stock options and employee stock purchase plan</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warrants exercised</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financing costs associated with the Sales Agreement, Equity Distribution Agreement, Execute Equity Distribution Agreement, and Second Equity Distribution Agreement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issuance of debt, net of issuance costs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85,087 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issuance of common stock</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9,369 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on Term Loan and Amelia Debt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(215,373)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(35,029)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to settle contingent holdback liabilities from SYNQ3 acquisitions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rPr/>
      </w:pPr>
      <w:r>
        <w:rPr/>
      </w:r>
    </w:p>
    <w:tbl>
      <w:tblPr>
        <w:tblW w:w="9941" w:type="dxa"/>
        <w:jc w:val="center"/>
        <w:tblInd w:w="0" w:type="dxa"/>
        <w:tblLayout w:type="fixed"/>
        <w:tblCellMar>
          <w:top w:w="28" w:type="dxa"/>
          <w:left w:w="28" w:type="dxa"/>
          <w:bottom w:w="28" w:type="dxa"/>
          <w:right w:w="28" w:type="dxa"/>
        </w:tblCellMar>
      </w:tblPr>
      <w:tblGrid>
        <w:gridCol w:w="2365"/>
        <w:gridCol w:w="2073"/>
        <w:gridCol w:w="2086"/>
        <w:gridCol w:w="181"/>
        <w:gridCol w:w="616"/>
        <w:gridCol w:w="109"/>
        <w:gridCol w:w="109"/>
        <w:gridCol w:w="109"/>
        <w:gridCol w:w="109"/>
        <w:gridCol w:w="181"/>
        <w:gridCol w:w="616"/>
        <w:gridCol w:w="109"/>
        <w:gridCol w:w="109"/>
        <w:gridCol w:w="109"/>
        <w:gridCol w:w="109"/>
        <w:gridCol w:w="181"/>
        <w:gridCol w:w="616"/>
        <w:gridCol w:w="154"/>
      </w:tblGrid>
      <w:tr>
        <w:trPr/>
        <w:tc>
          <w:tcPr>
            <w:tcW w:w="236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Year Ended </w:t>
              <w:br/>
              <w:t>December 31,</w:t>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on finance leases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financing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208,074 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210,906 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168,237 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Effects of exchange rate changes on cash</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change in cash, cash equivalents, and restricted cash equivalents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89,881 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99,580 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equivalents, beginning of year</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198,916 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109,035 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cash equivalents, and restricted cash equivalents, end of year</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198,916 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109,035 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Reconciliation to amounts on the consolidated balance sheets: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248,490 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198,240 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95,260 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Current portion of restricted cash equivalents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Non-current portion of restricted cash equivalents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4" w:type="dxa"/>
            <w:gridSpan w:val="3"/>
            <w:tcBorders/>
            <w:shd w:fill="FFFFFF" w:val="clear"/>
            <w:tcMar>
              <w:top w:w="0" w:type="dxa"/>
              <w:left w:w="0" w:type="dxa"/>
              <w:bottom w:w="0" w:type="dxa"/>
              <w:right w:w="0" w:type="dxa"/>
            </w:tcMar>
            <w:vAlign w:val="center"/>
          </w:tcPr>
          <w:p>
            <w:pPr>
              <w:pStyle w:val="TableContents"/>
              <w:bidi w:val="0"/>
              <w:spacing w:lineRule="auto" w:line="288" w:before="0" w:after="8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Total cash, cash equivalents, and restricted cash equivalents shown in the consolidated statements of cash flows</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198,916 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109,035 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387" w:type="dxa"/>
        <w:jc w:val="center"/>
        <w:tblInd w:w="0" w:type="dxa"/>
        <w:tblLayout w:type="fixed"/>
        <w:tblCellMar>
          <w:top w:w="28" w:type="dxa"/>
          <w:left w:w="28" w:type="dxa"/>
          <w:bottom w:w="28" w:type="dxa"/>
          <w:right w:w="28" w:type="dxa"/>
        </w:tblCellMar>
      </w:tblPr>
      <w:tblGrid>
        <w:gridCol w:w="2274"/>
        <w:gridCol w:w="1991"/>
        <w:gridCol w:w="2005"/>
        <w:gridCol w:w="181"/>
        <w:gridCol w:w="466"/>
        <w:gridCol w:w="109"/>
        <w:gridCol w:w="109"/>
        <w:gridCol w:w="109"/>
        <w:gridCol w:w="109"/>
        <w:gridCol w:w="181"/>
        <w:gridCol w:w="541"/>
        <w:gridCol w:w="109"/>
        <w:gridCol w:w="109"/>
        <w:gridCol w:w="109"/>
        <w:gridCol w:w="109"/>
        <w:gridCol w:w="181"/>
        <w:gridCol w:w="541"/>
        <w:gridCol w:w="154"/>
      </w:tblGrid>
      <w:tr>
        <w:trPr/>
        <w:tc>
          <w:tcPr>
            <w:tcW w:w="227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Supplemental disclosures of cash flow information:</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income taxes, net of refunds</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2,356 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Noncash investing and financing activities:</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Series A Preferred Stock to Class A common stock</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Class A Common Stock to settle obligations under Amelia Debt</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11,817 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Issuance of Class A Common Stock to settle contingent holdback consideration of SYNQ3 acquisition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Deferred offering costs reclassified to additional paid-in capital </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 under accrued liabilities</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 arising from obtaining right-of-use assets</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Debt discount through issuance of common stock warrants</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4,136 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Issuance of Class A Common Stock to settle commitment shares related to the ELOC program </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915 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Class A common stock and deferred equity consideration issued to acquire SYNQ3 and Amelia</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33,606 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contingent earnout consideration to acquire SYNQ3 and Amelia</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67,945 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contingent holdback consideration to acquire SYNQ3</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570 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deferred cash consideration under other acquisition</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deferred cash consideration under Interactions acquisition</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contingent earnout consideration under Interactions acquisition</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9,900 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included in capitalized software development costs</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5400</Words>
  <Characters>31485</Characters>
  <CharactersWithSpaces>36079</CharactersWithSpaces>
  <Paragraphs>1360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