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4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8000" w:type="dxa"/>
            <w:vAlign w:val="bottom"/>
            <w:gridSpan w:val="8"/>
          </w:tcPr>
          <w:p>
            <w:pPr>
              <w:jc w:val="center"/>
              <w:ind w:left="315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23, 2025</w:t>
            </w:r>
          </w:p>
        </w:tc>
        <w:tc>
          <w:tcPr>
            <w:tcW w:w="324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2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52"/>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8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5"/>
        </w:trPr>
        <w:tc>
          <w:tcPr>
            <w:tcW w:w="3680" w:type="dxa"/>
            <w:vAlign w:val="bottom"/>
            <w:tcBorders>
              <w:bottom w:val="single" w:sz="8" w:color="auto"/>
            </w:tcBorders>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May 23, 2025,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2025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number of shares of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entitled to vote at the Annual Meeting was 368,055,781 shares and the number of shares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entitled to vote at the Annual Meeting was 32,535,408 shares. Stockholders were entitled to one vote for each share of Class A Common Stock owned and 10 votes for each share of Class B Common Stock owned. The number of shares of Voting Stock present or represented by valid proxy at the Annual Meeting was 229,672,526 shares representing 522,491,198 votes. At the Annual Meeting, the Company’s stockholders (i) re-elected each of Dr. Keyvan Mohajer, James Hom, Larry Marcus, Diana Sroka and Dr. Eric Ball as directors to serve on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a one-year term that expires at the 2026 Annual Meeting of Stockholders, or until their successors are elected and qualified, (ii) ratified the appointment by the Board of PricewaterhouseCoopers LLP as the Company’s independent registered public accounting firm for the fiscal year ending December 31, 2025, (iii) approved an amendment to Section 4.1 of Article IV of the Company’s Second Amended and Restated Certificate of Incorporation to increase the number of authorized shares of Class A Common Stock from 455,000,000 to 755,000,000 (the “</w:t>
      </w:r>
      <w:r>
        <w:rPr>
          <w:rFonts w:ascii="Times New Roman" w:cs="Times New Roman" w:eastAsia="Times New Roman" w:hAnsi="Times New Roman"/>
          <w:sz w:val="18"/>
          <w:szCs w:val="18"/>
          <w:b w:val="1"/>
          <w:b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Proposal</w:t>
      </w:r>
      <w:r>
        <w:rPr>
          <w:rFonts w:ascii="Times New Roman" w:cs="Times New Roman" w:eastAsia="Times New Roman" w:hAnsi="Times New Roman"/>
          <w:sz w:val="18"/>
          <w:szCs w:val="18"/>
          <w:color w:val="auto"/>
        </w:rPr>
        <w:t>”), (iv) approved an amendment to Section 12.1 of Article XII of the Company’s Second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regarding the waiver of corporate opportunities (the “</w:t>
      </w:r>
      <w:r>
        <w:rPr>
          <w:rFonts w:ascii="Times New Roman" w:cs="Times New Roman" w:eastAsia="Times New Roman" w:hAnsi="Times New Roman"/>
          <w:sz w:val="18"/>
          <w:szCs w:val="18"/>
          <w:b w:val="1"/>
          <w:bCs w:val="1"/>
          <w:color w:val="auto"/>
        </w:rPr>
        <w:t>Opportunity Waiver Limitation Proposal</w:t>
      </w:r>
      <w:r>
        <w:rPr>
          <w:rFonts w:ascii="Times New Roman" w:cs="Times New Roman" w:eastAsia="Times New Roman" w:hAnsi="Times New Roman"/>
          <w:sz w:val="18"/>
          <w:szCs w:val="18"/>
          <w:color w:val="auto"/>
        </w:rPr>
        <w:t>”), (v) approved an amendment to Article VIII of the Company’s Second Amended and Restated Certificate of Incorporation to provide for officer exculpation (the “</w:t>
      </w:r>
      <w:r>
        <w:rPr>
          <w:rFonts w:ascii="Times New Roman" w:cs="Times New Roman" w:eastAsia="Times New Roman" w:hAnsi="Times New Roman"/>
          <w:sz w:val="18"/>
          <w:szCs w:val="18"/>
          <w:b w:val="1"/>
          <w:bCs w:val="1"/>
          <w:color w:val="auto"/>
        </w:rPr>
        <w:t>Officer Exculpation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(vi) approved amendments to Article IV and Article X of the Company’s Second Amended and Restated Certificate of Incorporation to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voting requirements for certain future amendments to the charter in accordance with recent amendments to Section 242(d) of the Delaware General Corporation Law (the “</w:t>
      </w:r>
      <w:r>
        <w:rPr>
          <w:rFonts w:ascii="Times New Roman" w:cs="Times New Roman" w:eastAsia="Times New Roman" w:hAnsi="Times New Roman"/>
          <w:sz w:val="18"/>
          <w:szCs w:val="18"/>
          <w:b w:val="1"/>
          <w:bCs w:val="1"/>
          <w:color w:val="auto"/>
        </w:rPr>
        <w:t>242(d) Proposal</w:t>
      </w:r>
      <w:r>
        <w:rPr>
          <w:rFonts w:ascii="Times New Roman" w:cs="Times New Roman" w:eastAsia="Times New Roman" w:hAnsi="Times New Roman"/>
          <w:sz w:val="18"/>
          <w:szCs w:val="18"/>
          <w:color w:val="auto"/>
        </w:rPr>
        <w:t>”), and (vii) approved an amendment to Section 5.2 of Article V of the Company’s Second Amended and Restated Certificate of Incorporation to remove subsection 5.2.2 relating to the ratification of contracts and acts by stockholders (the “</w:t>
      </w:r>
      <w:r>
        <w:rPr>
          <w:rFonts w:ascii="Times New Roman" w:cs="Times New Roman" w:eastAsia="Times New Roman" w:hAnsi="Times New Roman"/>
          <w:sz w:val="18"/>
          <w:szCs w:val="18"/>
          <w:b w:val="1"/>
          <w:bCs w:val="1"/>
          <w:color w:val="auto"/>
        </w:rPr>
        <w:t>Stockholder Ratification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 together with the Authorized Share Proposal, the Opportunity Waiver Limitation Proposal, the Officer Exculpation Proposal and the 242(d)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the “</w:t>
      </w: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tabulation of the voting on the proposals presented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Keyvan Mohajer, James Hom, Larry Marcus, Diana Sroka and Dr. Eric Ball were elected to serve until the 2026 annual meeting of stockholders or until his or her successor is duly elected and qualified or until his or her earlier resignation or removal or otherwise is disqualified from serving as a director of the Company. The voting results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9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8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16"/>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Dr. Keyvan Mohajer</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376,768,267</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2,251,068</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James Hom</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370,362,181</w:t>
            </w:r>
          </w:p>
        </w:tc>
        <w:tc>
          <w:tcPr>
            <w:tcW w:w="220" w:type="dxa"/>
            <w:vAlign w:val="bottom"/>
          </w:tcPr>
          <w:p>
            <w:pPr>
              <w:spacing w:after="0"/>
              <w:rPr>
                <w:sz w:val="18"/>
                <w:szCs w:val="18"/>
                <w:color w:val="auto"/>
              </w:rPr>
            </w:pPr>
          </w:p>
        </w:tc>
        <w:tc>
          <w:tcPr>
            <w:tcW w:w="2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8,657,154</w:t>
            </w:r>
          </w:p>
        </w:tc>
        <w:tc>
          <w:tcPr>
            <w:tcW w:w="22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Larry Marcus</w:t>
            </w:r>
          </w:p>
        </w:tc>
        <w:tc>
          <w:tcPr>
            <w:tcW w:w="2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361,050,721</w:t>
            </w:r>
          </w:p>
        </w:tc>
        <w:tc>
          <w:tcPr>
            <w:tcW w:w="220" w:type="dxa"/>
            <w:vAlign w:val="bottom"/>
            <w:shd w:val="clear" w:color="auto" w:fill="CCEEFF"/>
          </w:tcPr>
          <w:p>
            <w:pPr>
              <w:spacing w:after="0"/>
              <w:rPr>
                <w:sz w:val="18"/>
                <w:szCs w:val="18"/>
                <w:color w:val="auto"/>
              </w:rPr>
            </w:pPr>
          </w:p>
        </w:tc>
        <w:tc>
          <w:tcPr>
            <w:tcW w:w="2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17,968,614</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Diana Sroka</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361,657,664</w:t>
            </w:r>
          </w:p>
        </w:tc>
        <w:tc>
          <w:tcPr>
            <w:tcW w:w="220" w:type="dxa"/>
            <w:vAlign w:val="bottom"/>
          </w:tcPr>
          <w:p>
            <w:pPr>
              <w:spacing w:after="0"/>
              <w:rPr>
                <w:sz w:val="18"/>
                <w:szCs w:val="18"/>
                <w:color w:val="auto"/>
              </w:rPr>
            </w:pP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17,361,671</w:t>
            </w:r>
          </w:p>
        </w:tc>
        <w:tc>
          <w:tcPr>
            <w:tcW w:w="22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Dr. Eric Ball</w:t>
            </w:r>
          </w:p>
        </w:tc>
        <w:tc>
          <w:tcPr>
            <w:tcW w:w="2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377,671,171</w:t>
            </w:r>
          </w:p>
        </w:tc>
        <w:tc>
          <w:tcPr>
            <w:tcW w:w="220" w:type="dxa"/>
            <w:vAlign w:val="bottom"/>
            <w:shd w:val="clear" w:color="auto" w:fill="CCEEFF"/>
          </w:tcPr>
          <w:p>
            <w:pPr>
              <w:spacing w:after="0"/>
              <w:rPr>
                <w:sz w:val="18"/>
                <w:szCs w:val="18"/>
                <w:color w:val="auto"/>
              </w:rPr>
            </w:pPr>
          </w:p>
        </w:tc>
        <w:tc>
          <w:tcPr>
            <w:tcW w:w="2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1,348,164</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 – Ratification of the appointment by the Board of the Company of PricewaterhouseCoopers LLP as the Company’s independent registered public accounting firm for the fiscal year ending December 31, 2025</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by the Board of PricewaterhouseCoopers LLP as the Company’s independent registered public accounting firm for the fiscal year ending December 31, 2025 was approved.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518,973,287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2,198,238</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1,319,673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3 – Approval of an amendment to Section 4.1 of Article IV of the Company’s Second Amended and Restated Certificate of Incorporation to increase the number of authorized shares of Class A Common Stock from 455,000,000 to 755,000,000</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Authorized Share Proposal was approved.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490,008,587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30,064,422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2,418,189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4 – Approval of an amendment to Section 12.1 of Article XII of the Company’s Second Amended and Restated Certificate of Incorporation regarding the waiver of corporate opportunities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Opportunity Waiver Limitation Proposal was approved.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375,822,006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2,254,872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942,457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5 – Approval of an amendment to Article VIII of the Company’s Second Amended and Restated Certificate of Incorporation to provide for officer exculpation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Officer Exculpation Proposal was approved.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352,736,090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25,374,250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908,995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No. 6 – Approval of amendments to Article IV and Article X of the Company’s Second Amended and Restated Certificate of Incorporation to adjust the voting requirements for certain future amendments to the charter in accordance with recent amendments to Section 242(d) of the Delaware General Corporation Law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242(d) Proposal was approved.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369,662,074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8,486,979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870,282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7 – Approval of an amendment to Section 5.2 of Article V of the Company’s Second Amended and Restated Certificate of Incorporation to remove subsection 5.2.2 relating to the ratification of contracts and acts by stockholders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 Ratification Proposal was approved.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375,466,829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2,422,325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1,130,181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143,471,863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29, 2025, the Company filed with the Secretary of State of the State of Delaware a Certificate of Amendment to the Second Amended and Restated Certificate of Incorporation of the Company to give effect to the Charter Amendment Proposals and filed a Restated Certificate of Incorporation of the Company thereafter. The Restated Certificate of Incorporation is filed as Exhibit 3.1 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40" w:type="dxa"/>
            <w:vAlign w:val="bottom"/>
          </w:tcPr>
          <w:p>
            <w:pPr>
              <w:spacing w:after="0"/>
              <w:rPr>
                <w:sz w:val="18"/>
                <w:szCs w:val="18"/>
                <w:color w:val="auto"/>
              </w:rPr>
            </w:pPr>
          </w:p>
        </w:tc>
        <w:tc>
          <w:tcPr>
            <w:tcW w:w="74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Restated Certificate of Incorporation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30, 2025</w:t>
      </w:r>
      <w:r>
        <w:rPr>
          <w:sz w:val="20"/>
          <w:szCs w:val="20"/>
          <w:color w:val="auto"/>
        </w:rPr>
        <w:tab/>
      </w:r>
      <w:r>
        <w:rPr>
          <w:rFonts w:ascii="Times New Roman" w:cs="Times New Roman" w:eastAsia="Times New Roman" w:hAnsi="Times New Roman"/>
          <w:sz w:val="17"/>
          <w:szCs w:val="17"/>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present name of the corporation is SoundHound AI, Inc., a corporation existing under the laws of the State of Delaware (the “Corporation”). The Corporation was incorporated under the name “Archimedes Tech SPAC Partners Co.” by the filing of its original Certificate of Incorporation in the office of the Secretary of State of the State of Delaware on September 15, 2020, which such Certificate of Incorporation was amended and restated by the filing of the first Amended and Restated Certificate of Incorporation of the Corporation in the office of the Secretary of State of the State of Delaware on March 10, 2021 and by the filing of the Second Amended and Restated Certificate of Incorporation of the Corporation in the office of the Secretary of State of the State of Delaware on April 26, 2022. This Restated Certificate of Incorporation only restates and integrates and does not further amend the provisions of the Second Amended and Restated Certificate of Incorporation of the Corporation, as heretofore amended or supplemented, there being no discrepancy between such Second Amended and Restated Certificate of Incorporation, as so amended and supplemented, and the provisions hereof. This Restated Certificate of Incorporation has been duly adopted in accordance with Section 245 of the General Corporation Law of the State of Delaware (the “DGCL”).</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Certificate of Incorporation of the corporation is hereby restated to read in its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NAME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name of the corporation is SoundHound AI, Inc. (hereinafter sometimes referred to as 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4.1 Total Authorized</w:t>
      </w:r>
      <w:r>
        <w:rPr>
          <w:rFonts w:ascii="Times New Roman" w:cs="Times New Roman" w:eastAsia="Times New Roman" w:hAnsi="Times New Roman"/>
          <w:sz w:val="18"/>
          <w:szCs w:val="18"/>
          <w:color w:val="auto"/>
        </w:rPr>
        <w:t xml:space="preserve"> The total number of shares of all classes of stock that the Corporation has authority to issue is 800,000,000 shares, consisting of: 755,000,000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4.2. Section 242(b)(2) Opt-Out</w:t>
      </w:r>
      <w:r>
        <w:rPr>
          <w:rFonts w:ascii="Times New Roman" w:cs="Times New Roman" w:eastAsia="Times New Roman" w:hAnsi="Times New Roman"/>
          <w:sz w:val="18"/>
          <w:szCs w:val="18"/>
          <w:color w:val="auto"/>
        </w:rPr>
        <w:t xml:space="preserve"> The number of authorized shares of Class A Common Stock or Class B Common Stock may be increased or decreased (but not below the number of shares thereof then outstanding) by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 For the avoidance of doubt, the Corporation elects to be governed by Section 242(d)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4.3 Preferred Stock</w:t>
      </w:r>
      <w:r>
        <w:rPr>
          <w:rFonts w:ascii="Times New Roman" w:cs="Times New Roman" w:eastAsia="Times New Roman" w:hAnsi="Times New Roman"/>
          <w:sz w:val="18"/>
          <w:szCs w:val="18"/>
          <w:color w:val="auto"/>
        </w:rPr>
        <w:t xml:space="preserve">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 For the avoidance of doubt, the Corporation elects to be governed by Section 242(d) of the DGCL.</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4.4 Preferred Stock – Powers of the Board</w:t>
      </w:r>
      <w:r>
        <w:rPr>
          <w:rFonts w:ascii="Times New Roman" w:cs="Times New Roman" w:eastAsia="Times New Roman" w:hAnsi="Times New Roman"/>
          <w:sz w:val="18"/>
          <w:szCs w:val="18"/>
          <w:color w:val="auto"/>
        </w:rPr>
        <w:t xml:space="preserve"> Except as otherwise expressly provided in any Certificate of Designation designating any series of Preferred Stock pursuant to the foregoing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any new series of Preferred Stock may be designated, fixed and determined as provided herein by the Board without approval of the holders of Common Stock or the holders of Preferred Stock, or any series thereof, and (b)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4.5 Rights of Class A Common Stock and Class B Common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4.5.1</w:t>
      </w:r>
      <w:r>
        <w:rPr>
          <w:rFonts w:ascii="Times New Roman" w:cs="Times New Roman" w:eastAsia="Times New Roman" w:hAnsi="Times New Roman"/>
          <w:sz w:val="18"/>
          <w:szCs w:val="18"/>
          <w:color w:val="auto"/>
        </w:rPr>
        <w:t xml:space="preserve"> Except as otherwise provided in this Second Amended and Restated Certificate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4.5.2</w:t>
      </w:r>
      <w:r>
        <w:rPr>
          <w:rFonts w:ascii="Times New Roman" w:cs="Times New Roman" w:eastAsia="Times New Roman" w:hAnsi="Times New Roman"/>
          <w:sz w:val="18"/>
          <w:szCs w:val="18"/>
          <w:color w:val="auto"/>
        </w:rPr>
        <w:t xml:space="preserve"> Except as otherwise expressly provided by this Second Amended and Restated Certificate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(the “Bylaws”) and (c) be entitled to vote upon such matters and in such manner as may be provided by applicable law; provided, however, that, except as otherwise required by law, holders of shares of Class A Common Stock and Class B Common Stock shall not be entitled to vote on any amendment to this Second Amended and Restated Certificate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Second Amended and Restated Certificate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4.5.3</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(or rights to acquire 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4.5.4</w:t>
      </w:r>
      <w:r>
        <w:rPr>
          <w:rFonts w:ascii="Times New Roman" w:cs="Times New Roman" w:eastAsia="Times New Roman" w:hAnsi="Times New Roman"/>
          <w:sz w:val="18"/>
          <w:szCs w:val="18"/>
          <w:color w:val="auto"/>
        </w:rPr>
        <w:t xml:space="preserve">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4.5.5</w:t>
      </w:r>
      <w:r>
        <w:rPr>
          <w:rFonts w:ascii="Times New Roman" w:cs="Times New Roman" w:eastAsia="Times New Roman" w:hAnsi="Times New Roman"/>
          <w:sz w:val="18"/>
          <w:szCs w:val="18"/>
          <w:color w:val="auto"/>
        </w:rPr>
        <w:t xml:space="preserve"> Subject to any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4.5.6</w:t>
      </w:r>
      <w:r>
        <w:rPr>
          <w:rFonts w:ascii="Times New Roman" w:cs="Times New Roman" w:eastAsia="Times New Roman" w:hAnsi="Times New Roman"/>
          <w:sz w:val="18"/>
          <w:szCs w:val="18"/>
          <w:color w:val="auto"/>
        </w:rPr>
        <w:t xml:space="preserve">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(a) the only difference in the per share distribution to the holders of the Class A Common Stock and Class B Common Stock is that any securities distributed to the holder of a share Class B Common Stock have ten (10) times the voting power of any securities distributed to the holder of a share of Class A Common Stock, or (b) such merger, consolidation or other transaction is approved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4.6 Conversion of Class B Common Stock</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4.6.1</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 such notice of the election to convert is received by the Corporation or, if the notice of conversion specifies a different future effective time, including a time determined by the happening of a future event, such conversion shall be deemed to have occurred at such time, or on the happening of such event, and the person or persons entitled to receive the shares of Class A Common Stock issuable upon such conversion shall be treated for all purposes as the record holder or holders of such shares of Class A Common Stock as of such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4.6.2 Automatic and Mandatory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4.6.2.1</w:t>
      </w:r>
      <w:r>
        <w:rPr>
          <w:rFonts w:ascii="Times New Roman" w:cs="Times New Roman" w:eastAsia="Times New Roman" w:hAnsi="Times New Roman"/>
          <w:sz w:val="18"/>
          <w:szCs w:val="18"/>
          <w:color w:val="auto"/>
        </w:rPr>
        <w:t xml:space="preserve"> Each share of Class B Common Stock shall automatically, without further action by the Corporation or the holder thereof, be converted into one (1) fully paid and nonassessable share of Class A Common Stock, upon a Transfer (as defined below) of such share of Class B Common Stock, other than a Permitted Transfer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4.6.2.2</w:t>
      </w:r>
      <w:r>
        <w:rPr>
          <w:rFonts w:ascii="Times New Roman" w:cs="Times New Roman" w:eastAsia="Times New Roman" w:hAnsi="Times New Roman"/>
          <w:sz w:val="18"/>
          <w:szCs w:val="18"/>
          <w:color w:val="auto"/>
        </w:rPr>
        <w:t xml:space="preserve"> Subject to earlier conversion pursuant to Section 4.6.2.3 of this Second Amended and Restated Certificate, each share of Class B Common Stock held by a Founder other than the Co-Founder/CEO, and such Founder’s respective Permitted Transferees (other than Permitted Transferees that are other Founders or their Permitted Transferees), shall automatically, without further action by the Corporation or the holder thereof, be converted into one (1) fully paid and nonassessable share of Class A Common Stock, upon the earliest to occur of: (a) the date fixed by the Board that is no more than one hundred eighty (180) days following the date that such Founder’s employment with the Corporation is terminated for Cause; (b) the date that such Founder’s employment by the Corporation ceases as a result of his resignation (other than for Good Reason or in connection with changes of such Founder’s roles and responsibilities that are approved by the Board); and (c) the date that is twelve (12) months after the death or Permanent Disability of such Founder. For the avoidance of doubt, an event giving rise to the conversion of the Class B Common Stock held by Mr. Emami and his Permitted Transferees, or by Mr. Hom and his Permitted Transferees, shall not affect the Class B Common Stock held by the other person, or the other person’s Permitted Transferees.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4.6.2.3</w:t>
      </w:r>
      <w:r>
        <w:rPr>
          <w:rFonts w:ascii="Times New Roman" w:cs="Times New Roman" w:eastAsia="Times New Roman" w:hAnsi="Times New Roman"/>
          <w:sz w:val="18"/>
          <w:szCs w:val="18"/>
          <w:color w:val="auto"/>
        </w:rPr>
        <w:t xml:space="preserve"> Each share of Class B Common Stock shall automatically, without further action by the Corporation or the holder thereof, be converted into one (1) fully paid and nonassessable share of Class A Common Stock, upon the Final Conversion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4.7 Definitions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“Cause” shall mean the Corporation’s termination of a Founder’s employment as a result of: (a) the Founder’s commission of, or participation in, an act of fraud, embezzlement or any willful and material dishonesty against the Corporation; (b) Founder’s commission of, or participation in, an act of theft or misappropriation of property, information or other assets against the Corporation which results in or could reasonably be expected to result in material loss, damage or injury to the Corporation and its subsidiaries, their goodwill, business or reputation; (c) the Founder’s unauthorized use or disclosure of any proprietary information or trade secrets of the Corporation or any other party to whom the Founder owes an obligation of nondisclosure as a result of the Founder’s relationship with the Corporation; (d) the Founder’s indictment, conviction, guilty plea, no contest plea, or similar plea for any felony or any crime that results in or could reasonably be expected to result in material loss, damage or injury to the Corporation and its subsidiaries, their goodwill, business or reputation; (e) the Founder’s use of alcohol or drugs that materially interferes with his ability to perform his material duties and responsibilities to the Corporation, or that results in, or could reasonably be expected to result in, material loss, damage or injury to the Corporation and/or its subsidiaries, their goodwill, business or reputation; (f) the Founder’s material breach of a material policy of the Corporation, or material breach of a policy of the Corporation that results in or could reasonably be expected to result in material loss, damage or injury to the Corporation and/or its subsidiaries, their goodwill, business or reputation; (g) the Founder’s material breach of any of his obligations under his employment agreement with the Corporation, or any other material agreement entered into by and between the Founder and the Corporation, in each case, as in effect from time to time; (h) the Founder’s repeated insubordination, or refusal (other than as a result of disability) to carry out or follow specific reasonable and lawful instructions, duties or assignments given by the Board which are consistent with his position with the Corporation or (i) the Founder’s neglect or persistent unsatisfactory performance of the Founder’s duties; provided that, for clauses (a)-(i) above, the Corporation delivers written notice to the Founder of the condition giving rise to Cause within ninety (90) days after the Corporation knows of any such occurrence (other than knowledge of the Corporation attributable solely to the knowledge of the Founder). As used in Section 4.6.2.2 and the definition of “Final Conversion Date” in this Second Amended and Restated Certificate, the date of a termination for Cause shall be the date that is thirty (30) days after written notice by the Corporation to a Founder of a termination for Cause if the Founder shall have failed to cure or remedy such matter, if curable, within such thirty (30) day period. In the event that the basis for Cause is not curable, then such thirty (30) day cure period shall not be required, and the date of such termination shall be the date the Corporation delivers notice of such termination for Cause.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“CEO” shall mean the Chief Executive Officer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“Co-Founder/CEO” shall mean Dr. Keyvan Mohajer.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“Effectiveness Date” shall mean the date of the filing of this Second Amended and Restated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“Final Conversion Date” shall mean the earliest to occur of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by the Board that is no more than 180 days following the date that the employment of the Co-Founder/CEO as CEO is terminated by the Corporation for Cause;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employment of the Co-Founder/CEO as CEO ceases as a result of his resignation (other than for Good Reason or in connection with changes to his roles and responsibilities that are approved by the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twelve (12) months following the death or Permanent Disability of the Co- Founder/CEO;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(i) the date that is six (6) months following the Separation Date and (ii) the ten (10)-year anniversary of the Effectiveness Date;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by the Board that is no less than sixty-one (61) days and no more than one hundred eighty (180) days following the date on which the outstanding shares of Class B Common Stock represent less than five percent (5%) of the then outstanding shares of Class A Common Stock and Class B Common Stock in the aggregate;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the holders of a majority of the then outstanding shares of Class B Common Stock, voting as a separate class, or in the affirmative written election executed by the holders of a majority of the then outstanding shares of Class B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“Founders” shall mean Keyvan Mohajer, Majid Emami and James Hom. A “Founder” shall mean an individual Founder.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 Reason” shall mean the occurrence of any of the following events, without the express written consent of a Founder: (a) the Corporation’s material breach of any of its obligations under its employment agreement with the Founder, as in effect from time to time; (b) any material adverse change in the Founder’s duties or authority or responsibilities, or the assignment of duties or responsibilities to the Founder materially inconsistent with his position; (c) any material reduction in the Founder’s annual base salary or annual target bonuses / incentives (other than across-the-board reductions affecting similarly situated employees, officers, advisors, consultants or other service providers of the Corporation or any of its subsidiaries); (d) the Corporation requires the Founder to relocate to a facility or location that increases his one-way commute by more than fifty (50) miles from the location at which he was working immediately prior to the required relocation; or (e) the failure of a successor to the Corporation to assume the Corporation’s obligations under the Founder’s employment agreement with the Corporation; provided that for clauses (a)-(e) above, the Founder (i) has not approved any such occurrence in his capacity as a stockholder, director, officer, employee or otherwise and (ii) has given written notice to the Corporation of the condition giving rise to Good Reason within ninety (90) days after any such occurrence. As used in Section 4.6.2.2 and the definition of “Final Conversion Date” in this Second Amended and Restated Certificate, the date of a resignation for “Good Reason” shall be the date (c) that is thirty (30) days after written notice by a Founder to the Corporation of an alleged condition giving rise to a resignation for Good Reason if the Corporation shall have failed to cure or remedy such matter, if curable, within such thirty (30) day period. In the event that the basis for Good Reason is not curable, then such thirty (30) day cure period shall not be required, and the date of such resignation shall be the date the Founder delivers such notice.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“Parent” of an entity shall mean any entity that directly or indirectly owns or controls a majority of the voting power of the voting securities of such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“Permitted IRA” shall mean an Individual Retirement Account, as defined in Section 408(a) of the Internal Revenue Code (the “Code”), or a pension, profit sharing, stock bonus or other type of plan or trust of which a Qualified Stockholder is a participant or beneficiary and which satisfies the requirements for qualification under Section 401 of the Code; provided, however, that in each case such Qualified Stockholder has sole dispositive power and exclusive Voting Control with respect to the shares of Class B Common Stock held in such account, plan or trust.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“Permanent Disability” shall mean a permanent and total disability such that the applicable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“Permitted Entity” shall mean with respect to a Qualified Stockholder: (a)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(b)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or (c) a limited liability company in which such Qualified Stockholder directly, or indirectly through one or more Permitted Entities, owns membership or limited liability company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“Permitted Transfer” shall mean, and be restricted to, any Transfer of a share of Class B Common Stock: (a) by a Qualified Stockholder to (i) any Permitted Trust of such Qualified Stockholder, (ii) any Permitted IRA of such Qualified Stockholder, and (iii) any Permitted Entity of such Qualified Stockholder; (b) by a Permitted Trust, Permitted IRA or Permitted Entity of such Qualified Stockholder to (i) such Qualified Stockholder, or (ii) any other Permitted Trust, Permitted IRA or Permitted Entity of such Qualified Stockholder; or (c) by a Qualified Stockholder or a Permitted Trust, Permitted IRA or Permitted Entity of such Qualified Stockholder to another Qualified Stockholder or the Permitted Trust, Permitted IRA or Permitted Entity of such other Qualified Stockholder.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Transferee” shall mean a transferee of shares of Class B Common Stock received in a Permitted Transfer.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“Permitted Trust” shall mean with respect to a Qualified Stockholder: (a) a trust for the benefit of such Qualified Stockholder and for the benefit of no other person so long as the Transfer to such trust does not involve any payment of cash, securities, property or other consideration (other than an interest in such trust) to such Qualified Stockholder; (b) a trust for the benefit of such Qualified Stockholder and/or persons other than such Qualified Stockholder so long as such Qualified Stockholder has sole dispositive power and exclusive Voting Control with respect to the shares of Class B Common Stock held by such trust and the Transfer to such trust does not involve any payment of cash, securities, property or other consideration (other than an interest in such trust) to such Qualified Stockholder; or (c) a trust under the terms of which such Qualified Stockholder has retained a “qualified interest” within the meaning of §2702(b)(1) of the Code or a reversionary interest so long as such Qualified Stockholder has sole dispositive power and exclusive Voting Control with respect to the shares of Class B Common Stock held by such trust.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“Qualified Stockholder” shall mean: (a) any of the Founders and (b) a Permitted Transferee.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“Separation Date” the date that both of the following conditions are met: (1) the Co-Founder/CEO no longer serves as the CEO and (2) the Co-Founder/CEO no longer serves as a member of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“Transfer” of a share of Class B Common Stock shall mean any sale, assignment, transfer, conveyance, pledge,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“Transfer” within the meaning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officers or directors of the Corporation at the request of the Board in connection with actions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that (i) is disclosed either in a Schedule 13D filed with the Securities and Exchange Commission or in writing to the Secretary of the Corporation, (ii) either has a term not exceeding one (1)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pursuant to a written agreement to which the Corporation is a party;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Effectiveness Date or at any time after the Effectiveness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 or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an entity that is a Permitted Trust, Permitted IRA or Permitted Entity, as of such time that there occurs any act or circumstance that causes such entity to no longer be a Permitted Trust, Permitted IRA, Permitted Entity or if there occurs a Transfer on a cumulative basis, from and after the Effectiveness Date, of a majority of the voting power of the voting securities of such entity or any direct or indirect Parent of such entity, or (ii) an entity that is a Qualified Stockholder, as of such time that there occurs a Transfer on a cumulative basis, from and after the Effectiveness Date, of a majority of the voting power of the voting securities of such entity or any direct or indirect Parent of such entity.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Control” shall mean, with respect to a share of Class B Common Stock, the exclusive power to vote or direct the voting of such share by proxy, voting agreement or otherwise.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In the event any shares of Class B Common Stock are converted into shares of Class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shares of Class B Common Stock so converted shall be retired and shall not be reissued by the Corporation.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if the date on which any share of Class B Common Stock is converted into Class A Common Stock pursuant to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however, that, notwithstanding any other provision of this Second Amended and Restated Certificate,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Second Amended and Restated Certificate.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The Corporation may, from time to time, establish such policies and procedures, not in violation of applicable law or this Second Amended and Restated Certificate or the Bylaws, relating to the administration of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(as determined in good faith by the Board)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number of Directors of the Corporation shall be fixed solely and exclusively by resolution duly adopted from time to time by the Board of Directors. At each annual meeting of stockholders, Directors elected to succeed those Directors whose terms expire shall be elected for a term of office to expire at the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including unfilled vacancies resulting from the removal of directors for cause, may be filled only by the vote of a majority of the remaining directors then in office, although less than a quorum (as defined in the Bylaws), or by the sole remaining director.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all directors shall hold office until the expiration of their respective terms of office and until their successors shall have been elected and qualified, or until their earlier death, resignation or removal.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Election of directors need not be by ballot unless the Bylaws so provide.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[Omitted].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Second Amended and Restated Certificate, and to any bylaws from time to time made by the stockholders; provided, however, that no bylaw so made shall invalidate any prior act of the directors which would have been valid if such bylaw had not been made.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5.3 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directors may be removed either for or without cause, by the affirmative vote of the holders a majority of the voting power of the then-outstanding shares of capital stock of the Corporation entitled to vote generally in the election of directors, voting together as a single class.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5.4 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5.5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and notwithstanding anything to the contrary herein,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furtherance and not in limitation of the powers conferred by law, subject to any limitations contained in this Second Amended and Restated Certificate, the Board is expressly authorized to make, alter and repeal the Bylaws, but any Bylaws adopted by the Board may be adopted, amended, altered or repealed by the stockholders entitled to vote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however, that no Bylaws hereafter adopted by the stockholders shall invalidate any prior act of the Board that would have been valid if such Bylaws had not been adopted.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 ACTION BY WRITTEN CONSENT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7.1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to call a special meeting is hereby specifically denied.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7.2 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7.3 Action by Written Consent</w:t>
      </w:r>
      <w:r>
        <w:rPr>
          <w:rFonts w:ascii="Times New Roman" w:cs="Times New Roman" w:eastAsia="Times New Roman" w:hAnsi="Times New Roman"/>
          <w:sz w:val="18"/>
          <w:szCs w:val="18"/>
          <w:color w:val="auto"/>
        </w:rPr>
        <w:t>. Unless otherwise provided in the Bylaws, any action required or permitted to be taken by the stockholders of the Corporation must be effected by a duly called annual or special meeting of such stockholders and may not be effected by written consent of the stockholders.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In addition to the foregoing, the officers of the Corporation shall not be personally liable to the Corporation or its stockholders for monetary damages for breach of fiduciary duty as an officer of the Corporation to the fullest extent permitted by the DGCL.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Any repeal or modification of this Section 8.1 by the stockholders of the Corporation shall not adversely affect any right or protection of a director or officer of the Corporation with respect to events occurring prior to the time of such repeal or modification.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COMPROMISE OR ARRANGEMENT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10.1 Amendments</w:t>
      </w:r>
      <w:r>
        <w:rPr>
          <w:rFonts w:ascii="Times New Roman" w:cs="Times New Roman" w:eastAsia="Times New Roman" w:hAnsi="Times New Roman"/>
          <w:sz w:val="18"/>
          <w:szCs w:val="18"/>
          <w:color w:val="auto"/>
        </w:rPr>
        <w:t>.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Article VIII, all rights, preferences and privileges herein conferred upon stockholders, directors or any other persons by and pursuant to this Second Amended and Restated Certificate in its present form or as hereafter amended are granted subject to the rights reserved in this Article X. Subject to Sections 4.2 and 4.3 above, but notwithstanding anything to the contrary contained in this Second Amended and Restated Certificate, no provision of Article IV, Article V, Article VI, Section 7.1, Section 7.3, Article VIII, Article IX, or this Article X may be altered, amended or repealed in any respect, nor may any provision or bylaw inconsistent therewith be adopted, unless, in addition to any other vote required by this Second Amended and Restated Certificate or otherwise required by law, 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11.1 Forum</w:t>
      </w:r>
      <w:r>
        <w:rPr>
          <w:rFonts w:ascii="Times New Roman" w:cs="Times New Roman" w:eastAsia="Times New Roman" w:hAnsi="Times New Roman"/>
          <w:sz w:val="18"/>
          <w:szCs w:val="18"/>
          <w:color w:val="auto"/>
        </w:rPr>
        <w:t xml:space="preserve">. Subject to the last sentence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11.2 Consent to Jurisdiction</w:t>
      </w:r>
      <w:r>
        <w:rPr>
          <w:rFonts w:ascii="Times New Roman" w:cs="Times New Roman" w:eastAsia="Times New Roman" w:hAnsi="Times New Roman"/>
          <w:sz w:val="18"/>
          <w:szCs w:val="18"/>
          <w:color w:val="auto"/>
        </w:rPr>
        <w:t xml:space="preserve">. If any action the subject matter of which is within the scope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immediately above (an “FSC Enforcement Action”) and (ii) having service of process made upon such stockholder in any such FSC Enforcement Action by service upon such stockholder’s counsel in the Foreign Action as agent for such stockholder.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11.3 Severability</w:t>
      </w:r>
      <w:r>
        <w:rPr>
          <w:rFonts w:ascii="Times New Roman" w:cs="Times New Roman" w:eastAsia="Times New Roman" w:hAnsi="Times New Roman"/>
          <w:sz w:val="18"/>
          <w:szCs w:val="18"/>
          <w:color w:val="auto"/>
        </w:rPr>
        <w:t xml:space="preserve">. If any provision or provisions of this Second Amended and Restated Certificate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Second Amended and Restated Certificate (including, without limitation, each portion of any sentence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12.1 Corporate Opportunities.</w:t>
      </w:r>
      <w:r>
        <w:rPr>
          <w:rFonts w:ascii="Times New Roman" w:cs="Times New Roman" w:eastAsia="Times New Roman" w:hAnsi="Times New Roman"/>
          <w:sz w:val="18"/>
          <w:szCs w:val="18"/>
          <w:color w:val="auto"/>
        </w:rPr>
        <w:t xml:space="preserve"> The Corporation renounces any interest or expectancy of the Corporation in, or in being offered an opportunity to participate in, any “Included Opportunity.” The doctrine of corporate opportunity, or any other analogous doctrine, shall not apply with respect to the Corporation or any of its directors who are not also officers of the Corporation (“Outside Directors”) with respect to Included Opportunities. An “Included Opportunity” is any business opportunity relating to the research, development, manufacture, operation, production, or delivery of products or services related to conversational intelligence, voice artificial intelligence, voice interaction technology, automated voice technology or voice-enable products, voice-enable computing or voice-enable technologies that the Corporation is legally and contractually permitted to undertake and would otherwise be reasonable for the Corporation to pursue and that is presented to, offered to, acquired, created or developed by, or which otherwise comes into the possession of, any of the Corporation’s Outside Directors, unless such business opportunity is presented to, offered to, acquired, created or developed by, or which otherwise comes into the possession of, such Outside Director, expressly and solely in such Outside Director’s capacity as a director of the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Restated Certificate of Incorporation to be signed its duly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2025.</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2025-05-30T15:20:45Z</dcterms:created>
  <dcterms:modified xsi:type="dcterms:W3CDTF">2025-05-30T15:20:45Z</dcterms:modified>
</cp:coreProperties>
</file>