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United States Securities and Exchange Commission on May 26,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333-264972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 FORM S-3 to Form S-1</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600" w:type="dxa"/>
            <w:vAlign w:val="bottom"/>
            <w:gridSpan w:val="6"/>
          </w:tcPr>
          <w:p>
            <w:pPr>
              <w:jc w:val="center"/>
              <w:ind w:left="2570"/>
              <w:spacing w:after="0"/>
              <w:rPr>
                <w:sz w:val="20"/>
                <w:szCs w:val="20"/>
                <w:color w:val="auto"/>
              </w:rPr>
            </w:pPr>
            <w:r>
              <w:rPr>
                <w:rFonts w:ascii="Arial" w:cs="Arial" w:eastAsia="Arial" w:hAnsi="Arial"/>
                <w:sz w:val="18"/>
                <w:szCs w:val="18"/>
                <w:b w:val="1"/>
                <w:bCs w:val="1"/>
                <w:color w:val="auto"/>
                <w:w w:val="99"/>
              </w:rPr>
              <w:t>REGISTRATION STATEMENT UNDER THE SECURITIES ACT OF 1933;</w:t>
            </w:r>
          </w:p>
        </w:tc>
        <w:tc>
          <w:tcPr>
            <w:tcW w:w="2640" w:type="dxa"/>
            <w:vAlign w:val="bottom"/>
          </w:tcPr>
          <w:p>
            <w:pPr>
              <w:spacing w:after="0"/>
              <w:rPr>
                <w:sz w:val="20"/>
                <w:szCs w:val="20"/>
                <w:color w:val="auto"/>
              </w:rPr>
            </w:pPr>
          </w:p>
        </w:tc>
      </w:tr>
      <w:tr>
        <w:trPr>
          <w:trHeight w:val="418"/>
        </w:trPr>
        <w:tc>
          <w:tcPr>
            <w:tcW w:w="3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9"/>
              </w:rPr>
              <w:t>SOUNDHOUND AI, INC.</w:t>
            </w:r>
          </w:p>
        </w:tc>
        <w:tc>
          <w:tcPr>
            <w:tcW w:w="264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5220" w:type="dxa"/>
            <w:vAlign w:val="bottom"/>
            <w:gridSpan w:val="5"/>
          </w:tcPr>
          <w:p>
            <w:pPr>
              <w:jc w:val="center"/>
              <w:ind w:right="740"/>
              <w:spacing w:after="0"/>
              <w:rPr>
                <w:sz w:val="20"/>
                <w:szCs w:val="20"/>
                <w:color w:val="auto"/>
              </w:rPr>
            </w:pPr>
            <w:r>
              <w:rPr>
                <w:rFonts w:ascii="Arial" w:cs="Arial" w:eastAsia="Arial" w:hAnsi="Arial"/>
                <w:sz w:val="18"/>
                <w:szCs w:val="18"/>
                <w:color w:val="auto"/>
                <w:w w:val="90"/>
              </w:rPr>
              <w:t>(Exact name of registrant as specified in its charter)</w:t>
            </w:r>
          </w:p>
        </w:tc>
        <w:tc>
          <w:tcPr>
            <w:tcW w:w="2640" w:type="dxa"/>
            <w:vAlign w:val="bottom"/>
          </w:tcPr>
          <w:p>
            <w:pPr>
              <w:spacing w:after="0"/>
              <w:rPr>
                <w:sz w:val="20"/>
                <w:szCs w:val="20"/>
                <w:color w:val="auto"/>
              </w:rPr>
            </w:pPr>
          </w:p>
        </w:tc>
      </w:tr>
      <w:tr>
        <w:trPr>
          <w:trHeight w:val="439"/>
        </w:trPr>
        <w:tc>
          <w:tcPr>
            <w:tcW w:w="338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Delaware</w:t>
            </w:r>
          </w:p>
        </w:tc>
        <w:tc>
          <w:tcPr>
            <w:tcW w:w="41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7372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86-1286799</w:t>
            </w:r>
          </w:p>
        </w:tc>
      </w:tr>
      <w:tr>
        <w:trPr>
          <w:trHeight w:val="202"/>
        </w:trPr>
        <w:tc>
          <w:tcPr>
            <w:tcW w:w="3380" w:type="dxa"/>
            <w:vAlign w:val="bottom"/>
            <w:tcBorders>
              <w:top w:val="single" w:sz="8" w:color="auto"/>
            </w:tcBorders>
          </w:tcPr>
          <w:p>
            <w:pPr>
              <w:jc w:val="center"/>
              <w:ind w:left="3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tcPr>
          <w:p>
            <w:pPr>
              <w:jc w:val="center"/>
              <w:ind w:right="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380" w:type="dxa"/>
            <w:vAlign w:val="bottom"/>
          </w:tcPr>
          <w:p>
            <w:pPr>
              <w:jc w:val="center"/>
              <w:ind w:left="350"/>
              <w:spacing w:after="0"/>
              <w:rPr>
                <w:sz w:val="20"/>
                <w:szCs w:val="20"/>
                <w:color w:val="auto"/>
              </w:rPr>
            </w:pPr>
            <w:r>
              <w:rPr>
                <w:rFonts w:ascii="Arial" w:cs="Arial" w:eastAsia="Arial" w:hAnsi="Arial"/>
                <w:sz w:val="18"/>
                <w:szCs w:val="18"/>
                <w:color w:val="auto"/>
                <w:w w:val="93"/>
              </w:rPr>
              <w:t>incorporation or organization)</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080"/>
              <w:spacing w:after="0"/>
              <w:rPr>
                <w:sz w:val="20"/>
                <w:szCs w:val="20"/>
                <w:color w:val="auto"/>
              </w:rPr>
            </w:pPr>
            <w:r>
              <w:rPr>
                <w:rFonts w:ascii="Arial" w:cs="Arial" w:eastAsia="Arial" w:hAnsi="Arial"/>
                <w:sz w:val="18"/>
                <w:szCs w:val="18"/>
                <w:color w:val="auto"/>
                <w:w w:val="91"/>
              </w:rPr>
              <w:t>Classification Code Number)</w:t>
            </w:r>
          </w:p>
        </w:tc>
        <w:tc>
          <w:tcPr>
            <w:tcW w:w="2640" w:type="dxa"/>
            <w:vAlign w:val="bottom"/>
          </w:tcPr>
          <w:p>
            <w:pPr>
              <w:jc w:val="center"/>
              <w:ind w:right="89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5400 Betsy Ross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Dr. Keyvan Mohajer</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Santa Clara, CA 95054</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Telephone: (408) 441-3200</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Please send a copy of all communications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Douglas Ellenoff,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jc w:val="center"/>
        <w:spacing w:after="0" w:line="192" w:lineRule="auto"/>
        <w:rPr>
          <w:sz w:val="20"/>
          <w:szCs w:val="20"/>
          <w:color w:val="auto"/>
        </w:rPr>
      </w:pPr>
      <w:r>
        <w:rPr>
          <w:rFonts w:ascii="Arial" w:cs="Arial" w:eastAsia="Arial" w:hAnsi="Arial"/>
          <w:sz w:val="18"/>
          <w:szCs w:val="18"/>
          <w:b w:val="1"/>
          <w:bCs w:val="1"/>
          <w:color w:val="auto"/>
        </w:rPr>
        <w:t>1345 Avenue of the Americas,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10105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 370-7889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w:t>
      </w:r>
    </w:p>
    <w:p>
      <w:pPr>
        <w:spacing w:after="0" w:line="18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74"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0"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40" w:space="720"/>
            <w:col w:w="3480"/>
          </w:cols>
          <w:pgMar w:left="320" w:top="445" w:right="339" w:bottom="0" w:gutter="0" w:footer="0" w:header="0"/>
          <w:type w:val="continuous"/>
        </w:sectPr>
      </w:pPr>
    </w:p>
    <w:p>
      <w:pPr>
        <w:spacing w:after="0" w:line="59"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445" w:right="339" w:bottom="0" w:gutter="0" w:footer="0" w:header="0"/>
          <w:type w:val="continuous"/>
        </w:sectPr>
      </w:pPr>
    </w:p>
    <w:bookmarkStart w:id="1" w:name="page2"/>
    <w:bookmarkEnd w:id="1"/>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The securities may not be sold pursuant to this registration statement until the registration statement filed with the Securities and Exchange Commission, of which this prospectus is a part, is effective. This preliminary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0000"/>
        </w:rPr>
        <w:t>SUBJECT TO COMPLETION, DATED MAY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55,999,499 Shares of Class A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39,735,408 Shares of Class A Common Stock Underlying Shares of Class B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174,750 Placement 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3,457,996 Shares of Class A Common Stock Underlying Warrants</w:t>
      </w:r>
    </w:p>
    <w:p>
      <w:pPr>
        <w:spacing w:after="0" w:line="21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This prospectus relates to (i) the offer and resale of an aggregate of up to 55,999,499 shares of Class A common stock, par value $0.0001 per share (the “Class A Shares” or “Class A Common Stock”), of SoundHound AI, Inc. (“SoundHound AI,” “the Company,” “we,” “us” or “our”) held by selling securityholders named in this prospectus (each a “Selling Securityholder” and, collectively with the securityholders in (ii) and (iii) below, the “Selling Securityholders”), including (a) the PIPE Shares (as defined below) issued at $10.00 per share, (b) securities held by our officers, directors and their affiliates which were originally issued as (1) founder shares in connection with ATSP’s IPO (each as defined below) for approximately $0.009 per share and</w:t>
      </w:r>
    </w:p>
    <w:p>
      <w:pPr>
        <w:spacing w:after="0" w:line="2" w:lineRule="exact"/>
        <w:rPr>
          <w:sz w:val="20"/>
          <w:szCs w:val="20"/>
          <w:color w:val="auto"/>
        </w:rPr>
      </w:pPr>
    </w:p>
    <w:p>
      <w:pPr>
        <w:jc w:val="both"/>
        <w:ind w:firstLine="8"/>
        <w:spacing w:after="0" w:line="286" w:lineRule="auto"/>
        <w:tabs>
          <w:tab w:leader="none" w:pos="259"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part of placement units in connection with ATSP’s IPO at a price of $10.00 per placement unit, and (c) shares of Class A Common Stock exercisable under options held by certain of the Selling Securityholders which were assumed by us and converted into options of SoundHound AI in connection with the Business Combination (as defined below) and have an weighted average exercise price of $3.05 per share after giving effect to the Business Combination, (ii) the resale by certain of our affiliates from time to time of up to 39,735,408 Class A Shares issuable upon conversion of shares of Class B common stock, par value $0.0001 per share, issued pursuant to the Merger Agreement (as defined below) in connection with the Business Combination as merger consideration at an acquiror share value of $0.0073 per share (the “Class B Shares” or “Class B Common Stock”), (iii) the resale from time to time of up to 174,750 unregistered warrants, each exercisable for one share of Class A Common Stock at a price of $11.50, subject to adjustment, which were originally issued as part of placement units in connection with ATSP’s IPO at a price of $10.00 per placement unit (the “Placement Warrants”) and (iv) the issuance by us of up to 3,457,996 Class A Shares upon the exercise of outstanding registered warrants to purchase our Class A Shares at an exercise price of $11.50, which were originally issued as part of the units in connection with ATSP’s IPO at a price of $10.00 per unit (the “Registered Warrants”).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contemplated by the Merger Agreement (the Merger and such other transactions, the “Business Combination”). As a result of the Business Combination, SoundHound became a wholly owned subsidiary of ATSP and ATSP changed its name to “SoundHound AI, Inc.” SoundHound AI currently owns 100% of the outstanding common stock of SoundHound, Inc.</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Merger Agreement, ATSP entered into subscription agreements (collectively, the “Subscription Agreements”) with certain accredited investors (the “Subscribers”) pursuant to which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common stock that were held by the Company’s public stockholders at the time of the closing of the Business Combination, except that the PIPE Shares were not registered under the Securities Act of 1933, as amended, and are restricted shares. The sale of PIPE Shares was consummated concurrently with the closing of the Merger Agreement.</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also registering the issuance of shares of Class A Common Stock issuable upon exercise of certain Registered Warrants as provided in the Warrant Agreement (as defined below) and the resale of certain of the unregistered Placement Warrants. The shares of common stock issuable upon exercise of the Registered Warrants, as a percentage of the total number of shares of common stock issuable upon exercise of the Warrants (as hereinafter defined), represent 94.4% of the total number of shares of common stock issuable upon exercise of Warrants. Whether we will receive cash proceeds associated with the exercise of Warrants is dependent on our stock price. To the extent the sales price of Class A Shares is lower than the exercise price of such Warrants, we are unlikely to receive proceeds from the exercise of such Warrants. None of the Warrants have been exercised to date. We do not currently anticipate this will have a material impact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324"/>
        <w:spacing w:after="0" w:line="277" w:lineRule="auto"/>
        <w:rPr>
          <w:sz w:val="20"/>
          <w:szCs w:val="20"/>
          <w:color w:val="auto"/>
        </w:rPr>
      </w:pPr>
      <w:r>
        <w:rPr>
          <w:rFonts w:ascii="Arial" w:cs="Arial" w:eastAsia="Arial" w:hAnsi="Arial"/>
          <w:sz w:val="18"/>
          <w:szCs w:val="18"/>
          <w:color w:val="auto"/>
        </w:rPr>
        <w:t>This prospectus also covers any additional shares of Class A Common Stock that may become issuable upon any anti-dilution adjustment pursuant to the terms of the Warrants by reason of stock splits, stock dividends, and other events described therein.</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Business Combination, holders of 96% of ATSP’s securities with redemption rights exercised their right to redeem their securities for cash at a redemption price of approximately $10.00 per unit, for an aggregate redemption amount of $127,679,500. The shares of Class A Common Stock being offered for resale pursuant to this prospectus by the selling securityholders represent approximately 23.5% of shares outstanding on a fully diluted basis as of May 15, 2023. Given the substantial number of shares of Class A Common Stock being registered for potential resale by selling securityholders pursuant to this prospectus, the sale of shares by the selling securityholders, or the perception in the market that the selling securityholders of a large number of shares intend to sell shares, could increase the volatility of the market price of our common stock or result in a significant decline in the public trading price of our common stock. Even if our trading price is significantly below $10.00, the offering price for the units offered in ATSP’s IPO, certain of the selling securityholders may still have an incentive to sell shares of our common stock because they purchased or received the shares at prices lower than the public investors or the current trading price of our common stock. For example, based on the closing price of our Class A Common Stock of $2.57 as of May 1, 2023, holders of the founder shares may experience a potential profit of up to approximately $2.56 per share, or approximately $8.52 million in the aggregate.</w:t>
      </w:r>
    </w:p>
    <w:p>
      <w:pPr>
        <w:spacing w:after="0" w:line="18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Selling Securityholders, or their respective transferees, pledgees, donees or other successors-in-interest, may sell their securities through public or private transactions at prevailing market prices, at prices related to prevailing market prices or at privately negotiated prices. The Selling Securityholders may sell any, all or none of the securities offered by this prospectus, and we do not know when or in what amount the Selling Securityholders may sell their shares, Placement Warrants or Warrant Shares hereunder following the effective date of the registration statement of which this prospectus forms a part. We provide more information about how a Selling Securityholder may sell shares or Warrant Shares in the section titled “Plan of Distribution” on page 28.</w:t>
      </w:r>
    </w:p>
    <w:p>
      <w:pPr>
        <w:spacing w:after="0" w:line="16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registering the securities on behalf of the Selling Securityholders, to be offered and sold by them from time to time as well as on behalf of the Company with respect to the Warrant Shares issuable upon exercise of the Registered Warrants. We will not receive any proceeds from the sale of our shares or Placement Warrants by the Selling Securityholders in the offering described in this prospectus, but we will receive proceeds resulting from any exercise of the Registered Warrants and Placement Warrants. We cannot predict when and in what amounts or if the Registered Warrants or Placement Warrants will be exercised. We have agreed to bear all of the expenses incurred in connection with the registration of the securities registered hereunder. The Selling Securityholders will be responsible for the payment of all discounts, commissions and fees of underwriters, selling brokers or dealer managers and similar expenses, if any, incurred in connection with the sale of their shares and Placement Warrants.</w:t>
      </w:r>
    </w:p>
    <w:p>
      <w:pPr>
        <w:spacing w:after="0" w:line="17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The number of shares available for re-sale under this prospectus on the date hereof may have changed since the SEC declared this Registration Statement effective. See “Selling Securityholders” beginning on page 18 for an updated list of the shares still available for sale under this prospectus to the extent that the Company is aware of any such changes.</w:t>
      </w:r>
    </w:p>
    <w:p>
      <w:pPr>
        <w:spacing w:after="0" w:line="1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are an “emerging growth company” and a “smaller reporting company” as such terms are defined under federal securities laws, and, as such have elected to take advantage of certain reduced public company reporting requirements for this prospectus and may elect to do so in future filings.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Class A Shares and Registered Warrants are listed on The Nasdaq Global Market under the symbols “SOUN” and “SOUNW,” respectively. On May 15, 2023, the last reported sales price of the Class A Common Stock was $2.60 per share and the last reported sales price of our Registered Warrants was $0.3386 per warrant.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a high degree of risk. Please read “Risk Factors” beginning on page 9 of this prospectus.</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4000"/>
              <w:spacing w:after="0"/>
              <w:rPr>
                <w:sz w:val="20"/>
                <w:szCs w:val="20"/>
                <w:color w:val="auto"/>
              </w:rPr>
            </w:pPr>
            <w:r>
              <w:rPr>
                <w:rFonts w:ascii="Arial" w:cs="Arial" w:eastAsia="Arial" w:hAnsi="Arial"/>
                <w:sz w:val="18"/>
                <w:szCs w:val="18"/>
                <w:b w:val="1"/>
                <w:bCs w:val="1"/>
                <w:color w:val="auto"/>
                <w:w w:val="97"/>
              </w:rPr>
              <w:t>The date of this prospectus is</w:t>
            </w:r>
          </w:p>
        </w:tc>
        <w:tc>
          <w:tcPr>
            <w:tcW w:w="4740" w:type="dxa"/>
            <w:vAlign w:val="bottom"/>
          </w:tcPr>
          <w:p>
            <w:pPr>
              <w:jc w:val="right"/>
              <w:ind w:right="3890"/>
              <w:spacing w:after="0"/>
              <w:rPr>
                <w:sz w:val="20"/>
                <w:szCs w:val="20"/>
                <w:color w:val="auto"/>
              </w:rPr>
            </w:pPr>
            <w:r>
              <w:rPr>
                <w:rFonts w:ascii="Arial" w:cs="Arial" w:eastAsia="Arial" w:hAnsi="Arial"/>
                <w:sz w:val="18"/>
                <w:szCs w:val="18"/>
                <w:b w:val="1"/>
                <w:bCs w:val="1"/>
                <w:color w:val="auto"/>
              </w:rPr>
              <w:t>, 2023.</w:t>
            </w:r>
          </w:p>
        </w:tc>
      </w:tr>
      <w:tr>
        <w:trPr>
          <w:trHeight w:val="68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96"/>
        </w:trPr>
        <w:tc>
          <w:tcPr>
            <w:tcW w:w="170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9"/>
              </w:rPr>
              <w:t>Frequently Used Terms</w:t>
            </w:r>
          </w:p>
        </w:tc>
        <w:tc>
          <w:tcPr>
            <w:tcW w:w="2820" w:type="dxa"/>
            <w:vAlign w:val="bottom"/>
            <w:tcBorders>
              <w:bottom w:val="single" w:sz="8" w:color="CCEEFF"/>
            </w:tcBorders>
            <w:gridSpan w:val="7"/>
            <w:shd w:val="clear" w:color="auto" w:fill="CCEEFF"/>
          </w:tcPr>
          <w:p>
            <w:pPr>
              <w:spacing w:after="0"/>
              <w:rPr>
                <w:sz w:val="17"/>
                <w:szCs w:val="17"/>
                <w:color w:val="auto"/>
              </w:rPr>
            </w:pPr>
          </w:p>
        </w:tc>
        <w:tc>
          <w:tcPr>
            <w:tcW w:w="59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176"/>
        </w:trPr>
        <w:tc>
          <w:tcPr>
            <w:tcW w:w="4520" w:type="dxa"/>
            <w:vAlign w:val="bottom"/>
            <w:tcBorders>
              <w:bottom w:val="single" w:sz="8" w:color="0000EE"/>
            </w:tcBorders>
            <w:gridSpan w:val="15"/>
          </w:tcPr>
          <w:p>
            <w:pPr>
              <w:spacing w:after="0" w:line="176" w:lineRule="exact"/>
              <w:rPr>
                <w:sz w:val="20"/>
                <w:szCs w:val="20"/>
                <w:color w:val="auto"/>
              </w:rPr>
            </w:pPr>
            <w:r>
              <w:rPr>
                <w:rFonts w:ascii="Arial" w:cs="Arial" w:eastAsia="Arial" w:hAnsi="Arial"/>
                <w:sz w:val="18"/>
                <w:szCs w:val="18"/>
                <w:color w:val="0000EE"/>
                <w:w w:val="90"/>
              </w:rPr>
              <w:t>Cautionary Statement Regarding Forward-Looking Statements</w:t>
            </w:r>
          </w:p>
        </w:tc>
        <w:tc>
          <w:tcPr>
            <w:tcW w:w="5980" w:type="dxa"/>
            <w:vAlign w:val="bottom"/>
          </w:tcPr>
          <w:p>
            <w:pPr>
              <w:spacing w:after="0"/>
              <w:rPr>
                <w:sz w:val="15"/>
                <w:szCs w:val="15"/>
                <w:color w:val="auto"/>
              </w:rPr>
            </w:pP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rPr>
              <w:t>iv</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Prospectus Summary</w:t>
            </w:r>
          </w:p>
        </w:tc>
        <w:tc>
          <w:tcPr>
            <w:tcW w:w="2980" w:type="dxa"/>
            <w:vAlign w:val="bottom"/>
            <w:tcBorders>
              <w:bottom w:val="single" w:sz="8" w:color="CCEEFF"/>
            </w:tcBorders>
            <w:gridSpan w:val="8"/>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Arial" w:cs="Arial" w:eastAsia="Arial" w:hAnsi="Arial"/>
                <w:sz w:val="18"/>
                <w:szCs w:val="18"/>
                <w:color w:val="auto"/>
                <w:w w:val="99"/>
              </w:rPr>
              <w:t>1</w:t>
            </w:r>
          </w:p>
        </w:tc>
      </w:tr>
      <w:tr>
        <w:trPr>
          <w:trHeight w:val="176"/>
        </w:trPr>
        <w:tc>
          <w:tcPr>
            <w:tcW w:w="4520" w:type="dxa"/>
            <w:vAlign w:val="bottom"/>
            <w:gridSpan w:val="15"/>
          </w:tcPr>
          <w:p>
            <w:pPr>
              <w:spacing w:after="0" w:line="176" w:lineRule="exact"/>
              <w:rPr>
                <w:sz w:val="20"/>
                <w:szCs w:val="20"/>
                <w:color w:val="auto"/>
              </w:rPr>
            </w:pPr>
            <w:r>
              <w:rPr>
                <w:rFonts w:ascii="Arial" w:cs="Arial" w:eastAsia="Arial" w:hAnsi="Arial"/>
                <w:sz w:val="18"/>
                <w:szCs w:val="18"/>
                <w:color w:val="0000EE"/>
              </w:rPr>
              <w:t>Risk Factors</w:t>
            </w:r>
          </w:p>
        </w:tc>
        <w:tc>
          <w:tcPr>
            <w:tcW w:w="6720" w:type="dxa"/>
            <w:vAlign w:val="bottom"/>
            <w:gridSpan w:val="2"/>
          </w:tcPr>
          <w:p>
            <w:pPr>
              <w:jc w:val="center"/>
              <w:ind w:left="5890"/>
              <w:spacing w:after="0" w:line="176" w:lineRule="exact"/>
              <w:rPr>
                <w:sz w:val="20"/>
                <w:szCs w:val="20"/>
                <w:color w:val="auto"/>
              </w:rPr>
            </w:pPr>
            <w:r>
              <w:rPr>
                <w:rFonts w:ascii="Arial" w:cs="Arial" w:eastAsia="Arial" w:hAnsi="Arial"/>
                <w:sz w:val="18"/>
                <w:szCs w:val="18"/>
                <w:color w:val="auto"/>
                <w:w w:val="99"/>
              </w:rPr>
              <w:t>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87"/>
              </w:rPr>
              <w:t>Use of Proceeds</w:t>
            </w:r>
          </w:p>
        </w:tc>
        <w:tc>
          <w:tcPr>
            <w:tcW w:w="3340" w:type="dxa"/>
            <w:vAlign w:val="bottom"/>
            <w:tcBorders>
              <w:bottom w:val="single" w:sz="8" w:color="CCEEFF"/>
            </w:tcBorders>
            <w:gridSpan w:val="11"/>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Arial" w:cs="Arial" w:eastAsia="Arial" w:hAnsi="Arial"/>
                <w:sz w:val="18"/>
                <w:szCs w:val="18"/>
                <w:color w:val="auto"/>
                <w:w w:val="89"/>
              </w:rPr>
              <w:t>13</w:t>
            </w:r>
          </w:p>
        </w:tc>
      </w:tr>
      <w:tr>
        <w:trPr>
          <w:trHeight w:val="175"/>
        </w:trPr>
        <w:tc>
          <w:tcPr>
            <w:tcW w:w="4520" w:type="dxa"/>
            <w:vAlign w:val="bottom"/>
            <w:gridSpan w:val="15"/>
          </w:tcPr>
          <w:p>
            <w:pPr>
              <w:spacing w:after="0" w:line="176" w:lineRule="exact"/>
              <w:rPr>
                <w:sz w:val="20"/>
                <w:szCs w:val="20"/>
                <w:color w:val="auto"/>
              </w:rPr>
            </w:pPr>
            <w:r>
              <w:rPr>
                <w:rFonts w:ascii="Arial" w:cs="Arial" w:eastAsia="Arial" w:hAnsi="Arial"/>
                <w:sz w:val="18"/>
                <w:szCs w:val="18"/>
                <w:color w:val="0000EE"/>
              </w:rPr>
              <w:t>Market Information and Dividend Policy</w:t>
            </w:r>
          </w:p>
        </w:tc>
        <w:tc>
          <w:tcPr>
            <w:tcW w:w="6720" w:type="dxa"/>
            <w:vAlign w:val="bottom"/>
            <w:gridSpan w:val="2"/>
          </w:tcPr>
          <w:p>
            <w:pPr>
              <w:jc w:val="center"/>
              <w:ind w:left="5890"/>
              <w:spacing w:after="0" w:line="176" w:lineRule="exact"/>
              <w:rPr>
                <w:sz w:val="20"/>
                <w:szCs w:val="20"/>
                <w:color w:val="auto"/>
              </w:rPr>
            </w:pPr>
            <w:r>
              <w:rPr>
                <w:rFonts w:ascii="Arial" w:cs="Arial" w:eastAsia="Arial" w:hAnsi="Arial"/>
                <w:sz w:val="18"/>
                <w:szCs w:val="18"/>
                <w:color w:val="auto"/>
                <w:w w:val="89"/>
              </w:rPr>
              <w:t>13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3"/>
              </w:rPr>
              <w:t>Determination of Offering Price</w:t>
            </w:r>
          </w:p>
        </w:tc>
        <w:tc>
          <w:tcPr>
            <w:tcW w:w="2200" w:type="dxa"/>
            <w:vAlign w:val="bottom"/>
            <w:tcBorders>
              <w:bottom w:val="single" w:sz="8" w:color="CCEEFF"/>
            </w:tcBorders>
            <w:gridSpan w:val="6"/>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4520" w:type="dxa"/>
            <w:vAlign w:val="bottom"/>
            <w:gridSpan w:val="15"/>
          </w:tcPr>
          <w:p>
            <w:pPr>
              <w:spacing w:after="0" w:line="176" w:lineRule="exact"/>
              <w:rPr>
                <w:sz w:val="20"/>
                <w:szCs w:val="20"/>
                <w:color w:val="auto"/>
              </w:rPr>
            </w:pPr>
            <w:r>
              <w:rPr>
                <w:rFonts w:ascii="Arial" w:cs="Arial" w:eastAsia="Arial" w:hAnsi="Arial"/>
                <w:sz w:val="18"/>
                <w:szCs w:val="18"/>
                <w:color w:val="0000EE"/>
              </w:rPr>
              <w:t>Description of Securities to be Registered</w:t>
            </w:r>
          </w:p>
        </w:tc>
        <w:tc>
          <w:tcPr>
            <w:tcW w:w="6720" w:type="dxa"/>
            <w:vAlign w:val="bottom"/>
            <w:gridSpan w:val="2"/>
          </w:tcPr>
          <w:p>
            <w:pPr>
              <w:jc w:val="center"/>
              <w:ind w:left="5890"/>
              <w:spacing w:after="0" w:line="176" w:lineRule="exact"/>
              <w:rPr>
                <w:sz w:val="20"/>
                <w:szCs w:val="20"/>
                <w:color w:val="auto"/>
              </w:rPr>
            </w:pPr>
            <w:r>
              <w:rPr>
                <w:rFonts w:ascii="Arial" w:cs="Arial" w:eastAsia="Arial" w:hAnsi="Arial"/>
                <w:sz w:val="18"/>
                <w:szCs w:val="18"/>
                <w:color w:val="auto"/>
                <w:w w:val="89"/>
              </w:rPr>
              <w:t>14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452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Selling Stockholders</w:t>
            </w:r>
          </w:p>
        </w:tc>
        <w:tc>
          <w:tcPr>
            <w:tcW w:w="6720" w:type="dxa"/>
            <w:vAlign w:val="bottom"/>
            <w:gridSpan w:val="2"/>
            <w:shd w:val="clear" w:color="auto" w:fill="CCEEFF"/>
          </w:tcPr>
          <w:p>
            <w:pPr>
              <w:jc w:val="center"/>
              <w:ind w:left="5890"/>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520" w:type="dxa"/>
            <w:vAlign w:val="bottom"/>
            <w:gridSpan w:val="15"/>
          </w:tcPr>
          <w:p>
            <w:pPr>
              <w:spacing w:after="0" w:line="176" w:lineRule="exact"/>
              <w:rPr>
                <w:sz w:val="20"/>
                <w:szCs w:val="20"/>
                <w:color w:val="auto"/>
              </w:rPr>
            </w:pPr>
            <w:r>
              <w:rPr>
                <w:rFonts w:ascii="Arial" w:cs="Arial" w:eastAsia="Arial" w:hAnsi="Arial"/>
                <w:sz w:val="18"/>
                <w:szCs w:val="18"/>
                <w:color w:val="0000EE"/>
                <w:w w:val="97"/>
              </w:rPr>
              <w:t>Certain United States Federal Income Tax Considerations</w:t>
            </w:r>
          </w:p>
        </w:tc>
        <w:tc>
          <w:tcPr>
            <w:tcW w:w="6720" w:type="dxa"/>
            <w:vAlign w:val="bottom"/>
            <w:gridSpan w:val="2"/>
          </w:tcPr>
          <w:p>
            <w:pPr>
              <w:jc w:val="center"/>
              <w:ind w:left="589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3"/>
              </w:rPr>
              <w:t>Plan of Distribution</w:t>
            </w:r>
          </w:p>
        </w:tc>
        <w:tc>
          <w:tcPr>
            <w:tcW w:w="3080" w:type="dxa"/>
            <w:vAlign w:val="bottom"/>
            <w:tcBorders>
              <w:bottom w:val="single" w:sz="8" w:color="CCEEFF"/>
            </w:tcBorders>
            <w:gridSpan w:val="10"/>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Arial" w:cs="Arial" w:eastAsia="Arial" w:hAnsi="Arial"/>
                <w:sz w:val="18"/>
                <w:szCs w:val="18"/>
                <w:color w:val="auto"/>
                <w:w w:val="89"/>
              </w:rPr>
              <w:t>28</w:t>
            </w:r>
          </w:p>
        </w:tc>
      </w:tr>
      <w:tr>
        <w:trPr>
          <w:trHeight w:val="176"/>
        </w:trPr>
        <w:tc>
          <w:tcPr>
            <w:tcW w:w="4520" w:type="dxa"/>
            <w:vAlign w:val="bottom"/>
            <w:gridSpan w:val="15"/>
          </w:tcPr>
          <w:p>
            <w:pPr>
              <w:spacing w:after="0" w:line="176" w:lineRule="exact"/>
              <w:rPr>
                <w:sz w:val="20"/>
                <w:szCs w:val="20"/>
                <w:color w:val="auto"/>
              </w:rPr>
            </w:pPr>
            <w:r>
              <w:rPr>
                <w:rFonts w:ascii="Arial" w:cs="Arial" w:eastAsia="Arial" w:hAnsi="Arial"/>
                <w:sz w:val="18"/>
                <w:szCs w:val="18"/>
                <w:color w:val="0000EE"/>
              </w:rPr>
              <w:t>Legal Matters</w:t>
            </w:r>
          </w:p>
        </w:tc>
        <w:tc>
          <w:tcPr>
            <w:tcW w:w="6720" w:type="dxa"/>
            <w:vAlign w:val="bottom"/>
            <w:gridSpan w:val="2"/>
          </w:tcPr>
          <w:p>
            <w:pPr>
              <w:jc w:val="center"/>
              <w:ind w:left="5890"/>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8"/>
              </w:rPr>
              <w:t>Experts</w:t>
            </w:r>
          </w:p>
        </w:tc>
        <w:tc>
          <w:tcPr>
            <w:tcW w:w="3960" w:type="dxa"/>
            <w:vAlign w:val="bottom"/>
            <w:tcBorders>
              <w:bottom w:val="single" w:sz="8" w:color="CCEEFF"/>
            </w:tcBorders>
            <w:gridSpan w:val="14"/>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Arial" w:cs="Arial" w:eastAsia="Arial" w:hAnsi="Arial"/>
                <w:sz w:val="18"/>
                <w:szCs w:val="18"/>
                <w:color w:val="auto"/>
                <w:w w:val="89"/>
              </w:rPr>
              <w:t>31</w:t>
            </w:r>
          </w:p>
        </w:tc>
      </w:tr>
      <w:tr>
        <w:trPr>
          <w:trHeight w:val="176"/>
        </w:trPr>
        <w:tc>
          <w:tcPr>
            <w:tcW w:w="4520" w:type="dxa"/>
            <w:vAlign w:val="bottom"/>
            <w:gridSpan w:val="15"/>
          </w:tcPr>
          <w:p>
            <w:pPr>
              <w:spacing w:after="0" w:line="176" w:lineRule="exact"/>
              <w:rPr>
                <w:sz w:val="20"/>
                <w:szCs w:val="20"/>
                <w:color w:val="auto"/>
              </w:rPr>
            </w:pPr>
            <w:r>
              <w:rPr>
                <w:rFonts w:ascii="Arial" w:cs="Arial" w:eastAsia="Arial" w:hAnsi="Arial"/>
                <w:sz w:val="18"/>
                <w:szCs w:val="18"/>
                <w:color w:val="0000EE"/>
              </w:rPr>
              <w:t>Where You Can Find Additional Information</w:t>
            </w:r>
          </w:p>
        </w:tc>
        <w:tc>
          <w:tcPr>
            <w:tcW w:w="6720" w:type="dxa"/>
            <w:vAlign w:val="bottom"/>
            <w:gridSpan w:val="2"/>
          </w:tcPr>
          <w:p>
            <w:pPr>
              <w:jc w:val="center"/>
              <w:ind w:left="5890"/>
              <w:spacing w:after="0" w:line="176" w:lineRule="exact"/>
              <w:rPr>
                <w:sz w:val="20"/>
                <w:szCs w:val="20"/>
                <w:color w:val="auto"/>
              </w:rPr>
            </w:pPr>
            <w:r>
              <w:rPr>
                <w:rFonts w:ascii="Arial" w:cs="Arial" w:eastAsia="Arial" w:hAnsi="Arial"/>
                <w:sz w:val="18"/>
                <w:szCs w:val="18"/>
                <w:color w:val="auto"/>
                <w:w w:val="89"/>
              </w:rPr>
              <w:t>31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5"/>
        </w:trPr>
        <w:tc>
          <w:tcPr>
            <w:tcW w:w="452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Incorporation of Documents By Reference</w:t>
            </w:r>
          </w:p>
        </w:tc>
        <w:tc>
          <w:tcPr>
            <w:tcW w:w="6720" w:type="dxa"/>
            <w:vAlign w:val="bottom"/>
            <w:gridSpan w:val="2"/>
            <w:shd w:val="clear" w:color="auto" w:fill="CCEEFF"/>
          </w:tcPr>
          <w:p>
            <w:pPr>
              <w:jc w:val="center"/>
              <w:ind w:left="5890"/>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We urge you to read carefully this prospectus, any applicable prospectus supplement and any free writing prospectuses we have authorized for use in connection herewith, together with the information incorporated herein by reference as described under the heading “Incorporation of Documents by Reference,” before investing in any of the securities being offered. You should rely only on the information contained in, or incorporated by reference into, this prospectus and any applicable prospectus supplement, along with the information contained in any free writing prospectuses we have authorized for use in connection herewith. Neither we nor the Selling Securityholders have authorized anyone to provide you with different or additional information. If anyone provides you with different or inconsistent information, you should not rely on it. This prospectus is an offer to sell only the securities offered hereby, but only under circumstances and in jurisdictions where it is lawful to do so.</w:t>
      </w:r>
    </w:p>
    <w:p>
      <w:pPr>
        <w:spacing w:after="0" w:line="16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that date.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We further note that the representations, warranties and covenants made by us in any document that is filed as an exhibit to the registration statement of which this prospectus is a part and in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prospectus includes industry position and industry data and forecasts that we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Although we believe that the information on which it has based these estimates of industry position and industry data are generally reliable, the accuracy and completeness of this information is not guaranteed and we have not independently verified any of the data from third-party sources nor have we ascertained the underlying economic assumptions relied upon therein. Statements as to industry position are based on market data currently available. While we are not aware of any misstatements regarding the industry data presented herein, these estimates involve risks and uncertainties and are subject to change based on various factors, including those discussed under the heading “Risk Factors” in this prospectus.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prospectus contains, or incorporates by reference, trademarks, tradenames, service marks and service names of SoundHound AI and its subsidiaries.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stated in this prospectus, the terms, “we,” “us,” “our” “the Company” or “SoundHound AI” refer to SoundHound AI, Inc.,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and its subsidiaries. Further, in this document:</w:t>
      </w:r>
    </w:p>
    <w:p>
      <w:pPr>
        <w:spacing w:after="0" w:line="2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“ATSP” means Archimedes Tech SPAC Partners Co.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“Bylaws” means the Amended &amp; Restated Bylaws of the Company, which took effect upon the effectiveness of the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Combination” means the merger contemplated by the Merger Agreement.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“Charter” means the Second Amended &amp; Restated Certificate of Incorporation of the Company, which took effect upon the filing thereof in the State of Delaware. Among other things, pursuant to the Charter, ATSP changed its name to SoundHound AI, Inc.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“Class A Common Stock” or “Class A Shares” mean the Class A common stock, $0.0001 par value per share, of the Company.</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“Class B Common Stock” or “Class B Shares” mean the Class B common stock, $0.0001 par value per share, of the Company, issued at the closing to the SoundHound Founders, having the rights and terms set forth in the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“Closing” means the consummation of the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“Closing Date” means April 26, 2022, the date of the Closing.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 or “common stock” means the shares of common stock, par value $0.0001 per share, of ATSP prior to the Closing, and the Class A Common Stock and Class B Common Stock of the Company following the Closing, as applicable.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“Continental” means Continental Stock Transfer &amp; Trust Company, our transfer agent and warrant agent.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“EarlyBirdCapital” means EarlyBirdCapital, Inc., the representative of the underwriters in the IPO.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“founder shares” means the 3,325,000 outstanding shares of common stock initially purchased by the Sponsor for an aggregate purchase price of $25,000 on January 4,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means accounting principles generally accepted in the United States of America.</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“IPO” refers to the initial public offering of 13,300,000 units of ATSP consummated in March 2021, inclusive of the partial exercise of the over-allotment option.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“IRS” means the United States Internal Revenue Service.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“Merger Agreement” means that certain Merger Agreement, dated as of November 15, 2021, by and among ATSP, Merger Sub and SoundHound, as it may be amended or supplemented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328"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“Merger Sub” means ATSPC Merger Sub, Inc., a Delaware corporation, which was, prior to the Closing, a wholly-owned subsidiary of the Company.</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“PIPE Investment” means the issuance of 11.3 million shares of Class A Common Stock to certain investors for an aggregate purchase price of $113.0 million in a private placement immediately prior to the Closing of the Business Combination.</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“Placement Warrants” means 174,750 Warrants sold in private placement consummated concurrently with the IPO as well as 33,250 Warrants held by EarlyBirdCapital or its transferees or designees.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Units” mean the 416,000 units issued to the Sponsor and EarlyBirdCapital in a private placement concurrently with the IPO.</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“Registered Warrants” means our registered warrants to purchase our Class A Shares at an exercise price of $11.50, which were originally issued as part of the units in connection with ATSP’s IPO at a price of $10.00 per unit.</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“Representative Shares” means the 420,000 shares of common stock issued to EarlyBirdCapital, the representative of the underwriters in the IPO.</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means the U.S. Securities and Exchange Commission.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“SoundHound Founders” means Dr. Keyvan Mohajer, Dr. Majid Emami and James Hom.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means Archimedes Tech SPAC Sponsors LLC., a Delaware limited liability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“Subscription Agreements” means the Subscription Agreements with the PIPE Investors subscribing to participate in the PIPE Investment.</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“Trust Account” means the Company’s trust account maintained by Continental prior to the Closing.</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 means the units of the Company, each consisting of one subunit (each subunit consisting of one share of common stock and one-quarter of one redeemable Warrant) and one-quarter of one redeemable Warrant.</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 Agreement” refers to that certain Amended and Restated Warrant Agreement, dated as of April 26, 2022, between ATSP and Continental Stock Transfer &amp; Trust Company, as warrant agent.</w:t>
      </w:r>
    </w:p>
    <w:p>
      <w:pPr>
        <w:spacing w:after="0" w:line="170"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“Warrants” refer to the warrants of SoundHound AI, including the Placement Warrants and the Registered Warrants, in each case redeemable and entitling the holder thereof to purchase one share of Class A Common Stock at a price of $11.50 per share (subject to adjustment).</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 Shares” refer to the Class A Shares issuable upon exercise of the Warrants.</w:t>
      </w:r>
    </w:p>
    <w:p>
      <w:pPr>
        <w:spacing w:after="0" w:line="200" w:lineRule="exact"/>
        <w:rPr>
          <w:sz w:val="20"/>
          <w:szCs w:val="20"/>
          <w:color w:val="auto"/>
        </w:rPr>
      </w:pPr>
    </w:p>
    <w:p>
      <w:pPr>
        <w:spacing w:after="0" w:line="26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prospectus, any accompanying prospectus supplement and the documents incorporated by reference herein contain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72"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execution of our business strategy, including launching new product offerings and expanding information and technology capabilities, particularly following our recent restructuring efforts;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impact of our growth initiatives on our future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SoundHound AI to protect intellectual property and trade secrets;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obtain additional capital, including equity or debt financing, on terms that are acceptable to SoundHound AI, if at all, particularly in light of inflationary pressures and resulting increases in the cost of borrowing;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listing of our securities on the Nasdaq Global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applicable laws or regulations and extensive and evolving government regulations that impact the Company’s operations and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 particularly following our recent restructuring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SoundHound AI customers to use competitors’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 including with respect to our AI technology;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COVID-19 pandemic or any similar public health developments on SoundHound AI’s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uncertainty of our estimates of market opportunity and forecasts of market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SoundHound AI may be adversely affected by other economic, business, and/or competitive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titled “Risk Factors” in this prospectus.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7007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7007860"/>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used herein, and any amendment or supplement hereto, unless otherwise indicated, “we,” “us,” “our,” the “Company,” or “SoundHound AI” means SoundHound AI, Inc. and its subsidiaries. Unless otherwise indicated, all references in this prospectus to “dollars” or “$” refer to US dollars.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6"/>
          <w:szCs w:val="16"/>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Deep Meaning Understanding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technologies developed over the past 17 years, our advanced Voice AI platform provides exceptional speed and accuracy.</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SoundHound AI’s technology is currently being used globally by customers that include Hyundai, Mercedes-Benz, Pandora, Snap, VIZIO, Square, Toast, Oracle, KIA, and Stellantis. We have seen significant inflection in customer adoption of our technology, as measured through activity on our Houndify platform, which surpassed 1 billion annual queries in 2021 and experienced over 85% growth during 2022.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45% year over year each fiscal year over the past four years.</w:t>
      </w:r>
    </w:p>
    <w:p>
      <w:pPr>
        <w:spacing w:after="0" w:line="168"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support our customers by providing them access to Houndify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an open-access platform that allows developers to leverage SoundHound AI’s Voice AI technology and a library of over 100 content domains, including commonly used domains for points of interest, weather, flight status, sports,</w:t>
      </w:r>
    </w:p>
    <w:p>
      <w:pPr>
        <w:jc w:val="both"/>
        <w:spacing w:after="0" w:line="234" w:lineRule="auto"/>
        <w:rPr>
          <w:sz w:val="20"/>
          <w:szCs w:val="20"/>
          <w:color w:val="auto"/>
        </w:rPr>
      </w:pPr>
      <w:r>
        <w:rPr>
          <w:rFonts w:ascii="Arial" w:cs="Arial" w:eastAsia="Arial" w:hAnsi="Arial"/>
          <w:sz w:val="18"/>
          <w:szCs w:val="18"/>
          <w:color w:val="auto"/>
        </w:rPr>
        <w:t>and more. To ensure that our content domains continue to evolve and grow, our platform is built on our breakthrough Collective AI</w:t>
      </w:r>
      <w:r>
        <w:rPr>
          <w:rFonts w:ascii="Arial" w:cs="Arial" w:eastAsia="Arial" w:hAnsi="Arial"/>
          <w:sz w:val="29"/>
          <w:szCs w:val="29"/>
          <w:color w:val="auto"/>
          <w:vertAlign w:val="superscript"/>
        </w:rPr>
        <w:t>®</w:t>
      </w:r>
      <w:r>
        <w:rPr>
          <w:rFonts w:ascii="Arial" w:cs="Arial" w:eastAsia="Arial" w:hAnsi="Arial"/>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technology is backed by SoundHound AI’s investments in intellectual property, with over 120 patents granted and over 140 patents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5516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5516245"/>
                    </a:xfrm>
                    <a:prstGeom prst="rect">
                      <a:avLst/>
                    </a:prstGeom>
                    <a:noFill/>
                  </pic:spPr>
                </pic:pic>
              </a:graphicData>
            </a:graphic>
          </wp:anchor>
        </w:drawing>
        <w:t>Our Mission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Industry sources predict that 90% of new vehicles globally will have voice assistants by 2028 and that there will be 75 billion connected devices worldwide by 2025. The number of devices with their own voice assistant is expected to surpass the world’s population within four years.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Houndify platform, SoundHound Ai’s Voice AI platform, </w:t>
      </w:r>
      <w:r>
        <w:rPr>
          <w:rFonts w:ascii="Arial" w:cs="Arial" w:eastAsia="Arial" w:hAnsi="Arial"/>
          <w:sz w:val="18"/>
          <w:szCs w:val="18"/>
          <w:color w:val="auto"/>
        </w:rPr>
        <w:t>combines advanced AI with engineering expertise to help brands build conversational voice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Automatic Speech Recognition, </w:t>
      </w:r>
      <w:r>
        <w:rPr>
          <w:rFonts w:ascii="Arial" w:cs="Arial" w:eastAsia="Arial" w:hAnsi="Arial"/>
          <w:sz w:val="18"/>
          <w:szCs w:val="18"/>
          <w:color w:val="auto"/>
        </w:rPr>
        <w:t>our highly optimized, tunable, and scalable ASR engine, supports vocabulary sizes containing millions of words.</w:t>
      </w:r>
      <w:r>
        <w:rPr>
          <w:rFonts w:ascii="Arial" w:cs="Arial" w:eastAsia="Arial" w:hAnsi="Arial"/>
          <w:sz w:val="18"/>
          <w:szCs w:val="18"/>
          <w:i w:val="1"/>
          <w:iCs w:val="1"/>
          <w:color w:val="auto"/>
        </w:rPr>
        <w:t xml:space="preserve"> </w:t>
      </w:r>
      <w:r>
        <w:rPr>
          <w:rFonts w:ascii="Arial" w:cs="Arial" w:eastAsia="Arial" w:hAnsi="Arial"/>
          <w:sz w:val="18"/>
          <w:szCs w:val="18"/>
          <w:color w:val="auto"/>
        </w:rPr>
        <w:t>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10" w:name="page11"/>
    <w:bookmarkEnd w:id="10"/>
    <w:p>
      <w:pPr>
        <w:jc w:val="both"/>
        <w:ind w:firstLine="324"/>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7299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7299325"/>
                    </a:xfrm>
                    <a:prstGeom prst="rect">
                      <a:avLst/>
                    </a:prstGeom>
                    <a:noFill/>
                  </pic:spPr>
                </pic:pic>
              </a:graphicData>
            </a:graphic>
          </wp:anchor>
        </w:drawing>
        <w:t>Natural Language Understanding (“NLU”)</w:t>
      </w:r>
      <w:r>
        <w:rPr>
          <w:rFonts w:ascii="Arial" w:cs="Arial" w:eastAsia="Arial" w:hAnsi="Arial"/>
          <w:sz w:val="17"/>
          <w:szCs w:val="17"/>
          <w:color w:val="auto"/>
        </w:rPr>
        <w:t>,</w:t>
      </w:r>
      <w:r>
        <w:rPr>
          <w:rFonts w:ascii="Arial" w:cs="Arial" w:eastAsia="Arial" w:hAnsi="Arial"/>
          <w:sz w:val="17"/>
          <w:szCs w:val="17"/>
          <w:i w:val="1"/>
          <w:iCs w:val="1"/>
          <w:color w:val="auto"/>
        </w:rPr>
        <w:t xml:space="preserve"> o</w:t>
      </w:r>
      <w:r>
        <w:rPr>
          <w:rFonts w:ascii="Arial" w:cs="Arial" w:eastAsia="Arial" w:hAnsi="Arial"/>
          <w:sz w:val="17"/>
          <w:szCs w:val="17"/>
          <w:color w:val="auto"/>
        </w:rPr>
        <w:t>ur proprietary Speech-to-Meaning technology, tracks speech in real-time and understands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Wake Words </w:t>
      </w:r>
      <w:r>
        <w:rPr>
          <w:rFonts w:ascii="Arial" w:cs="Arial" w:eastAsia="Arial" w:hAnsi="Arial"/>
          <w:sz w:val="17"/>
          <w:szCs w:val="17"/>
          <w:color w:val="auto"/>
        </w:rPr>
        <w:t>are the entry point into branded voice experiences, allowing users to invoke the assistant by literally speaking the company’s name.</w:t>
      </w:r>
      <w:r>
        <w:rPr>
          <w:rFonts w:ascii="Arial" w:cs="Arial" w:eastAsia="Arial" w:hAnsi="Arial"/>
          <w:sz w:val="17"/>
          <w:szCs w:val="17"/>
          <w:i w:val="1"/>
          <w:iCs w:val="1"/>
          <w:color w:val="auto"/>
        </w:rPr>
        <w:t xml:space="preserve"> </w:t>
      </w:r>
      <w:r>
        <w:rPr>
          <w:rFonts w:ascii="Arial" w:cs="Arial" w:eastAsia="Arial" w:hAnsi="Arial"/>
          <w:sz w:val="17"/>
          <w:szCs w:val="17"/>
          <w:color w:val="auto"/>
        </w:rPr>
        <w:t>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Custom Domains, </w:t>
      </w:r>
      <w:r>
        <w:rPr>
          <w:rFonts w:ascii="Arial" w:cs="Arial" w:eastAsia="Arial" w:hAnsi="Arial"/>
          <w:sz w:val="17"/>
          <w:szCs w:val="17"/>
          <w:color w:val="auto"/>
        </w:rPr>
        <w:t>a library of over 100 public domains, is available with a free Houndify account. Houndify public domains give developers instant</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Text-to-speech (“TTS”). </w:t>
      </w:r>
      <w:r>
        <w:rPr>
          <w:rFonts w:ascii="Arial" w:cs="Arial" w:eastAsia="Arial" w:hAnsi="Arial"/>
          <w:sz w:val="18"/>
          <w:szCs w:val="18"/>
          <w:color w:val="auto"/>
        </w:rPr>
        <w:t>A high-quality TTS helps companies create a unique voice that differentiates them from the competition. Brands can</w:t>
      </w:r>
      <w:r>
        <w:rPr>
          <w:rFonts w:ascii="Arial" w:cs="Arial" w:eastAsia="Arial" w:hAnsi="Arial"/>
          <w:sz w:val="18"/>
          <w:szCs w:val="18"/>
          <w:i w:val="1"/>
          <w:iCs w:val="1"/>
          <w:color w:val="auto"/>
        </w:rPr>
        <w:t xml:space="preserve"> </w:t>
      </w:r>
      <w:r>
        <w:rPr>
          <w:rFonts w:ascii="Arial" w:cs="Arial" w:eastAsia="Arial" w:hAnsi="Arial"/>
          <w:sz w:val="18"/>
          <w:szCs w:val="18"/>
          <w:color w:val="auto"/>
        </w:rPr>
        <w:t>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Edge (Embedded) </w:t>
      </w:r>
      <w:r>
        <w:rPr>
          <w:rFonts w:ascii="Arial" w:cs="Arial" w:eastAsia="Arial" w:hAnsi="Arial"/>
          <w:sz w:val="16"/>
          <w:szCs w:val="16"/>
          <w:color w:val="auto"/>
        </w:rPr>
        <w:t>is a fully-embedded voice solution for brands seeking the convenience of a voice user interface without the privacy or</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concerns of the internet. Edge includes full access to custom commands and the ability to instantly update commands during development.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To harness the capabilities of full cloud connectivity with the reliability of embedded voice technology. </w:t>
      </w:r>
      <w:r>
        <w:rPr>
          <w:rFonts w:ascii="Arial" w:cs="Arial" w:eastAsia="Arial" w:hAnsi="Arial"/>
          <w:sz w:val="18"/>
          <w:szCs w:val="18"/>
          <w:i w:val="1"/>
          <w:iCs w:val="1"/>
          <w:color w:val="auto"/>
        </w:rPr>
        <w:t>Houndify Edge Hybrid</w:t>
      </w:r>
      <w:r>
        <w:rPr>
          <w:rFonts w:ascii="Arial" w:cs="Arial" w:eastAsia="Arial" w:hAnsi="Arial"/>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 Many “legacy vendors”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is currently a high barrier to entry into Voice AI and 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5"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5241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5241925"/>
                    </a:xfrm>
                    <a:prstGeom prst="rect">
                      <a:avLst/>
                    </a:prstGeom>
                    <a:noFill/>
                  </pic:spPr>
                </pic:pic>
              </a:graphicData>
            </a:graphic>
          </wp:anchor>
        </w:drawing>
        <w:t>Our Revenue Model</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This involves voice-enabling a product. The product creator pays us a royalty based on volume, usage, or duration. SoundHound AI</w:t>
      </w:r>
      <w:r>
        <w:rPr>
          <w:rFonts w:ascii="Arial" w:cs="Arial" w:eastAsia="Arial" w:hAnsi="Arial"/>
          <w:sz w:val="18"/>
          <w:szCs w:val="18"/>
          <w:i w:val="1"/>
          <w:iCs w:val="1"/>
          <w:color w:val="auto"/>
        </w:rPr>
        <w:t xml:space="preserve"> </w:t>
      </w:r>
      <w:r>
        <w:rPr>
          <w:rFonts w:ascii="Arial" w:cs="Arial" w:eastAsia="Arial" w:hAnsi="Arial"/>
          <w:sz w:val="18"/>
          <w:szCs w:val="18"/>
          <w:color w:val="auto"/>
        </w:rPr>
        <w:t>collects royalties when Houndify is integrated into a product such as a car, smart speaker, or appliance.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Subscription: </w:t>
      </w:r>
      <w:r>
        <w:rPr>
          <w:rFonts w:ascii="Arial" w:cs="Arial" w:eastAsia="Arial" w:hAnsi="Arial"/>
          <w:sz w:val="18"/>
          <w:szCs w:val="18"/>
          <w:color w:val="auto"/>
        </w:rPr>
        <w:t>This involves voice-enabling a service that doesn’t rely on a physical product. Examples include when SoundHound AI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service or food ordering for restaurants or content management, appointments, or voice commerce, we generate subscription revenue from the service providers.</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Monetization: </w:t>
      </w:r>
      <w:r>
        <w:rPr>
          <w:rFonts w:ascii="Arial" w:cs="Arial" w:eastAsia="Arial" w:hAnsi="Arial"/>
          <w:sz w:val="17"/>
          <w:szCs w:val="17"/>
          <w:color w:val="auto"/>
        </w:rPr>
        <w:t>This pillar creates an ecosystem that enables monetization services in products and services from both pillar one and pillar two.</w:t>
      </w:r>
      <w:r>
        <w:rPr>
          <w:rFonts w:ascii="Arial" w:cs="Arial" w:eastAsia="Arial" w:hAnsi="Arial"/>
          <w:sz w:val="17"/>
          <w:szCs w:val="17"/>
          <w:i w:val="1"/>
          <w:iCs w:val="1"/>
          <w:color w:val="auto"/>
        </w:rPr>
        <w:t xml:space="preserve"> </w:t>
      </w:r>
      <w:r>
        <w:rPr>
          <w:rFonts w:ascii="Arial" w:cs="Arial" w:eastAsia="Arial" w:hAnsi="Arial"/>
          <w:sz w:val="17"/>
          <w:szCs w:val="17"/>
          <w:color w:val="auto"/>
        </w:rPr>
        <w:t>When users of a voice-enabled product access the voice-enabled monetization, this creates new leads and transactions. SoundHound AI generates monetization revenue for generating these leads and transactions, and will share revenue with the product creators. Through December 31,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 We also see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and experienced over 85% growth during 2022. Information provided to us by our strategic partners suggests that our customers’ products have a reach of over a billion users. Our sales and marketing efforts may be impacted by our Restructuring Plan, see “</w:t>
      </w:r>
      <w:r>
        <w:rPr>
          <w:rFonts w:ascii="Arial" w:cs="Arial" w:eastAsia="Arial" w:hAnsi="Arial"/>
          <w:sz w:val="17"/>
          <w:szCs w:val="17"/>
          <w:i w:val="1"/>
          <w:iCs w:val="1"/>
          <w:color w:val="auto"/>
        </w:rPr>
        <w:t>Prospectus Summary — Recent Developments</w:t>
      </w:r>
      <w:r>
        <w:rPr>
          <w:rFonts w:ascii="Arial" w:cs="Arial" w:eastAsia="Arial" w:hAnsi="Arial"/>
          <w:sz w:val="17"/>
          <w:szCs w:val="17"/>
          <w:color w:val="auto"/>
        </w:rPr>
        <w:t>”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SoundHound AI’s intellectual property portfolio includes over 120 patents granted and over 140 patents pending. These patents cover areas such as speech recognition, natural language understanding, machine learning, human interfaces, and others, including monetization and advertising. Out of our over 260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7025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7025005"/>
                    </a:xfrm>
                    <a:prstGeom prst="rect">
                      <a:avLst/>
                    </a:prstGeom>
                    <a:noFill/>
                  </pic:spPr>
                </pic:pic>
              </a:graphicData>
            </a:graphic>
          </wp:anchor>
        </w:drawing>
        <w:t>Implications of Being an Emerging Growth Company and a Smaller Reporting Company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184" w:lineRule="exact"/>
        <w:rPr>
          <w:sz w:val="20"/>
          <w:szCs w:val="20"/>
          <w:color w:val="auto"/>
        </w:rPr>
      </w:pPr>
    </w:p>
    <w:p>
      <w:pPr>
        <w:ind w:left="640" w:hanging="324"/>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70"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170" w:lineRule="exact"/>
        <w:rPr>
          <w:rFonts w:ascii="Arial" w:cs="Arial" w:eastAsia="Arial" w:hAnsi="Arial"/>
          <w:sz w:val="18"/>
          <w:szCs w:val="18"/>
          <w:color w:val="auto"/>
        </w:rPr>
      </w:pPr>
    </w:p>
    <w:p>
      <w:pPr>
        <w:ind w:left="640" w:hanging="324"/>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disclosure about executive compensation arrangements in our periodic reports, registration statements and proxy statements; and</w:t>
      </w:r>
    </w:p>
    <w:p>
      <w:pPr>
        <w:spacing w:after="0" w:line="248" w:lineRule="exact"/>
        <w:rPr>
          <w:rFonts w:ascii="Arial" w:cs="Arial" w:eastAsia="Arial" w:hAnsi="Arial"/>
          <w:sz w:val="16"/>
          <w:szCs w:val="16"/>
          <w:color w:val="auto"/>
        </w:rPr>
      </w:pPr>
    </w:p>
    <w:p>
      <w:pPr>
        <w:ind w:left="640" w:hanging="32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exemptions from the requirements to seek non-binding advisory votes on executive compensation or golden parachute arrangements.</w:t>
      </w:r>
    </w:p>
    <w:p>
      <w:pPr>
        <w:spacing w:after="0" w:line="23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fiscal year following the fifth anniversary of the completion of our initial public offering,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Our 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“Risk Factors” beginning on page 9 of this prospectus. These risks include, but are not limited to, the following: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SoundHound AI’s Business</w:t>
      </w:r>
    </w:p>
    <w:p>
      <w:pPr>
        <w:spacing w:after="0" w:line="229" w:lineRule="exact"/>
        <w:rPr>
          <w:sz w:val="20"/>
          <w:szCs w:val="20"/>
          <w:color w:val="auto"/>
        </w:rPr>
      </w:pP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Voice AI market is a relatively new and rapidly changing market, and we may be unable to compete successfully.</w:t>
      </w:r>
    </w:p>
    <w:p>
      <w:pPr>
        <w:spacing w:after="0" w:line="225"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SoundHound AI does not maintain a customer base that will generate a recurring stream of revenues, its operating results may be adversely affected.</w:t>
      </w:r>
    </w:p>
    <w:p>
      <w:pPr>
        <w:spacing w:after="0" w:line="170"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SoundHound AI fails to grow its business as anticipated, particularly in light of the Restructuring Plan, its revenues and gross margin will be adversely affected.</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13" w:name="page14"/>
    <w:bookmarkEnd w:id="13"/>
    <w:p>
      <w:pPr>
        <w:ind w:left="640" w:hanging="324"/>
        <w:spacing w:after="0" w:line="34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510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5104765"/>
                    </a:xfrm>
                    <a:prstGeom prst="rect">
                      <a:avLst/>
                    </a:prstGeom>
                    <a:noFill/>
                  </pic:spPr>
                </pic:pic>
              </a:graphicData>
            </a:graphic>
          </wp:anchor>
        </w:drawing>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123" w:lineRule="exact"/>
        <w:rPr>
          <w:rFonts w:ascii="Arial" w:cs="Arial" w:eastAsia="Arial" w:hAnsi="Arial"/>
          <w:sz w:val="16"/>
          <w:szCs w:val="16"/>
          <w:color w:val="auto"/>
        </w:rPr>
      </w:pPr>
    </w:p>
    <w:p>
      <w:pPr>
        <w:ind w:left="64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alleged failure to comply with data privacy laws and regulations could damage SoundHound AI’s reputation, result in government action and have an adverse impact on its operating results.</w:t>
      </w:r>
    </w:p>
    <w:p>
      <w:pPr>
        <w:spacing w:after="0" w:line="170"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attract and retain key personnel in the future, particularly in light of our Restructuring Plan, could harm SoundHound AI’s business and negatively affect our ability to successfully grow our business.</w:t>
      </w:r>
    </w:p>
    <w:p>
      <w:pPr>
        <w:spacing w:after="0" w:line="170" w:lineRule="exact"/>
        <w:rPr>
          <w:rFonts w:ascii="Arial" w:cs="Arial" w:eastAsia="Arial" w:hAnsi="Arial"/>
          <w:sz w:val="18"/>
          <w:szCs w:val="18"/>
          <w:color w:val="auto"/>
        </w:rPr>
      </w:pPr>
    </w:p>
    <w:p>
      <w:pPr>
        <w:ind w:left="640" w:hanging="32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SoundHound AI’s use of open source technology could impose limitations on its ability to commercialize its software.</w:t>
      </w:r>
    </w:p>
    <w:p>
      <w:pPr>
        <w:spacing w:after="0" w:line="225"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Unauthorized use of SoundHound AI’s proprietary technology and intellectual property could adversely affect its business and results of operations.</w:t>
      </w:r>
    </w:p>
    <w:p>
      <w:pPr>
        <w:spacing w:after="0" w:line="170" w:lineRule="exact"/>
        <w:rPr>
          <w:rFonts w:ascii="Arial" w:cs="Arial" w:eastAsia="Arial" w:hAnsi="Arial"/>
          <w:sz w:val="18"/>
          <w:szCs w:val="18"/>
          <w:color w:val="auto"/>
        </w:rPr>
      </w:pPr>
    </w:p>
    <w:p>
      <w:pPr>
        <w:ind w:left="640" w:hanging="324"/>
        <w:spacing w:after="0" w:line="34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123" w:lineRule="exact"/>
        <w:rPr>
          <w:rFonts w:ascii="Arial" w:cs="Arial" w:eastAsia="Arial" w:hAnsi="Arial"/>
          <w:sz w:val="16"/>
          <w:szCs w:val="16"/>
          <w:color w:val="auto"/>
        </w:rPr>
      </w:pPr>
    </w:p>
    <w:p>
      <w:pPr>
        <w:ind w:left="64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continuation or worsening of the COVID-19 pandemic, or other similar public health developments, could have an adverse effect on business, results of operations, and financial condition.</w:t>
      </w:r>
    </w:p>
    <w:p>
      <w:pPr>
        <w:spacing w:after="0" w:line="170" w:lineRule="exact"/>
        <w:rPr>
          <w:rFonts w:ascii="Arial" w:cs="Arial" w:eastAsia="Arial" w:hAnsi="Arial"/>
          <w:sz w:val="18"/>
          <w:szCs w:val="18"/>
          <w:color w:val="auto"/>
        </w:rPr>
      </w:pPr>
    </w:p>
    <w:p>
      <w:pPr>
        <w:ind w:left="640" w:hanging="32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has limited experience in operating a public company.</w:t>
      </w:r>
    </w:p>
    <w:p>
      <w:pPr>
        <w:spacing w:after="0" w:line="225"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operate in an uncertain regulatory environment and may from time to time be subject to governmental investigations or other inquiries by state, federal and local governmental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left="640" w:hanging="32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of our securities is likely to be highly volatile, and you may lose some or all of your investment.</w:t>
      </w:r>
    </w:p>
    <w:p>
      <w:pPr>
        <w:spacing w:after="0" w:line="225" w:lineRule="exact"/>
        <w:rPr>
          <w:rFonts w:ascii="Arial" w:cs="Arial" w:eastAsia="Arial" w:hAnsi="Arial"/>
          <w:sz w:val="18"/>
          <w:szCs w:val="18"/>
          <w:color w:val="auto"/>
        </w:rPr>
      </w:pPr>
    </w:p>
    <w:p>
      <w:pPr>
        <w:ind w:left="640" w:hanging="32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in our share price could subject us to securities class action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 xml:space="preserve">Our principal executive offices are located at 5400 Betsy Ross Drive, Santa Clara, CA 95054, and our telephone number is (408) 441-3200. Our corporate website address is </w:t>
      </w:r>
      <w:r>
        <w:rPr>
          <w:rFonts w:ascii="Arial" w:cs="Arial" w:eastAsia="Arial" w:hAnsi="Arial"/>
          <w:sz w:val="16"/>
          <w:szCs w:val="16"/>
          <w:i w:val="1"/>
          <w:iCs w:val="1"/>
          <w:color w:val="auto"/>
        </w:rPr>
        <w:t>www.soundhound.com</w:t>
      </w:r>
      <w:r>
        <w:rPr>
          <w:rFonts w:ascii="Arial" w:cs="Arial" w:eastAsia="Arial" w:hAnsi="Arial"/>
          <w:sz w:val="16"/>
          <w:szCs w:val="16"/>
          <w:color w:val="auto"/>
        </w:rPr>
        <w:t>. The information contained on or accessible through our website is not a part of this prospectus.</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5" w:right="439" w:bottom="1440" w:gutter="0" w:footer="0" w:header="0"/>
        </w:sectPr>
      </w:pPr>
    </w:p>
    <w:bookmarkStart w:id="14" w:name="page15"/>
    <w:bookmarkEnd w:id="14"/>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Class A Common Stock</w:t>
      </w:r>
    </w:p>
    <w:p>
      <w:pPr>
        <w:spacing w:after="0" w:line="22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Class A Common Stock Offered by the Selling Securityholders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Class A Common Stock Offered by certain Affiliates Issuable on Conversion of Class B Common Stock Held by Such Affiliates</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-271145</wp:posOffset>
            </wp:positionV>
            <wp:extent cx="7145020" cy="9356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935672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Up to 55,999,499 shares.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not receive any proceeds from the sale of the Class A Common Stock by the Selling Securityholders.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 to 39,735,408 shares.</w:t>
      </w:r>
    </w:p>
    <w:p>
      <w:pPr>
        <w:spacing w:after="0" w:line="653" w:lineRule="exact"/>
        <w:rPr>
          <w:sz w:val="20"/>
          <w:szCs w:val="20"/>
          <w:color w:val="auto"/>
        </w:rPr>
      </w:pPr>
    </w:p>
    <w:p>
      <w:pPr>
        <w:sectPr>
          <w:pgSz w:w="11900" w:h="16838" w:orient="portrait"/>
          <w:cols w:equalWidth="0" w:num="2">
            <w:col w:w="4240" w:space="380"/>
            <w:col w:w="6380"/>
          </w:cols>
          <w:pgMar w:left="460" w:top="931" w:right="439" w:bottom="416" w:gutter="0" w:footer="0" w:header="0"/>
        </w:sectPr>
      </w:pPr>
    </w:p>
    <w:p>
      <w:pPr>
        <w:spacing w:after="0"/>
        <w:tabs>
          <w:tab w:leader="none" w:pos="460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No proceeds will be payable to us on the conversion of the Class B Common Stock into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Class A Common Stock</w:t>
      </w:r>
    </w:p>
    <w:p>
      <w:pPr>
        <w:sectPr>
          <w:pgSz w:w="11900" w:h="16838" w:orient="portrait"/>
          <w:cols w:equalWidth="0" w:num="1">
            <w:col w:w="11000"/>
          </w:cols>
          <w:pgMar w:left="460" w:top="931" w:right="439" w:bottom="416" w:gutter="0" w:footer="0" w:header="0"/>
          <w:type w:val="continuous"/>
        </w:sectPr>
      </w:pP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Shares of Class A Common Stock Offered by Us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Price of the Registered Warrants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Warrants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 to 3,457,996 shares of Class A Common Stock upon the exercise of outstanding Registered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$11.50 per warrant, subject to adjustment.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receive proceeds equal to the aggregate exercise price from any exercises of the Registered Warrants, assuming the exercise of the Registered Warrants for cash. We expect to use the net proceeds from the exercise of the Registered Warrants for general corporate purposes, including working capital, operating expenses and capital expenditures. To the extent that any Registered Warrants are exercised on a “cashless basis,” the amount of cash we would receive from the exercise of the Registered Warrants will decrease. Cash proceeds associated with the exercise of Registered Warrants to purchase our Class A Shares are dependent on our stock price. To the extent the sales price of Class A Shares is lower than the exercise price of such Registered Warrants, we are unlikely to receive proceeds from the exercise of such Registered Warrants. We do not currently anticipate this will have a material impact on our liquidity.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pacing w:after="0" w:line="627" w:lineRule="exact"/>
        <w:rPr>
          <w:sz w:val="20"/>
          <w:szCs w:val="20"/>
          <w:color w:val="auto"/>
        </w:rPr>
      </w:pPr>
    </w:p>
    <w:p>
      <w:pPr>
        <w:sectPr>
          <w:pgSz w:w="11900" w:h="16838" w:orient="portrait"/>
          <w:cols w:equalWidth="0" w:num="2">
            <w:col w:w="3900" w:space="720"/>
            <w:col w:w="6380"/>
          </w:cols>
          <w:pgMar w:left="460" w:top="931" w:right="439" w:bottom="416" w:gutter="0" w:footer="0" w:header="0"/>
          <w:type w:val="continuous"/>
        </w:sectPr>
      </w:pPr>
    </w:p>
    <w:p>
      <w:pPr>
        <w:spacing w:after="0" w:line="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Placement Warrants Offered by the Selling Warrantholders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 to 174,750 Placement Warrants.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not receive any of the proceeds from the sale of the Placement Warrants by the Selling Securityholders, though we will receive proceeds equal to the aggregate exercise price from any exercises of the Placement Warrants, assuming the exercise of the Placement Warrants for cash.</w:t>
      </w:r>
    </w:p>
    <w:p>
      <w:pPr>
        <w:spacing w:after="0" w:line="183" w:lineRule="exact"/>
        <w:rPr>
          <w:sz w:val="20"/>
          <w:szCs w:val="20"/>
          <w:color w:val="auto"/>
        </w:rPr>
      </w:pPr>
    </w:p>
    <w:p>
      <w:pPr>
        <w:sectPr>
          <w:pgSz w:w="11900" w:h="16838" w:orient="portrait"/>
          <w:cols w:equalWidth="0" w:num="2">
            <w:col w:w="3900" w:space="720"/>
            <w:col w:w="6380"/>
          </w:cols>
          <w:pgMar w:left="460" w:top="931" w:right="439" w:bottom="416" w:gutter="0" w:footer="0" w:header="0"/>
          <w:type w:val="continuous"/>
        </w:sectPr>
      </w:pPr>
    </w:p>
    <w:p>
      <w:pPr>
        <w:spacing w:after="0"/>
        <w:tabs>
          <w:tab w:leader="none" w:pos="4600" w:val="left"/>
        </w:tabs>
        <w:rPr>
          <w:sz w:val="20"/>
          <w:szCs w:val="20"/>
          <w:color w:val="auto"/>
        </w:rPr>
      </w:pPr>
      <w:r>
        <w:rPr>
          <w:rFonts w:ascii="Arial" w:cs="Arial" w:eastAsia="Arial" w:hAnsi="Arial"/>
          <w:sz w:val="18"/>
          <w:szCs w:val="18"/>
          <w:b w:val="1"/>
          <w:bCs w:val="1"/>
          <w:color w:val="auto"/>
        </w:rPr>
        <w:t>Transfer Agent</w:t>
      </w:r>
      <w:r>
        <w:rPr>
          <w:sz w:val="20"/>
          <w:szCs w:val="20"/>
          <w:color w:val="auto"/>
        </w:rPr>
        <w:tab/>
      </w:r>
      <w:r>
        <w:rPr>
          <w:rFonts w:ascii="Arial" w:cs="Arial" w:eastAsia="Arial" w:hAnsi="Arial"/>
          <w:sz w:val="16"/>
          <w:szCs w:val="16"/>
          <w:color w:val="auto"/>
        </w:rPr>
        <w:t>Continental Stock Transfer &amp; Trust Company.</w:t>
      </w:r>
    </w:p>
    <w:p>
      <w:pPr>
        <w:spacing w:after="0" w:line="225"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b w:val="1"/>
          <w:bCs w:val="1"/>
          <w:color w:val="auto"/>
        </w:rPr>
        <w:t>Nasdaq Global Market Symbols</w:t>
      </w:r>
      <w:r>
        <w:rPr>
          <w:sz w:val="20"/>
          <w:szCs w:val="20"/>
          <w:color w:val="auto"/>
        </w:rPr>
        <w:tab/>
      </w:r>
      <w:r>
        <w:rPr>
          <w:rFonts w:ascii="Arial" w:cs="Arial" w:eastAsia="Arial" w:hAnsi="Arial"/>
          <w:sz w:val="18"/>
          <w:szCs w:val="18"/>
          <w:color w:val="auto"/>
        </w:rPr>
        <w:t>Our Class A Common Stock is listed under the symbol “SOUN”. Our Registered</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Warrants are listed under the symbol “SOUNW”.</w:t>
      </w:r>
    </w:p>
    <w:p>
      <w:pPr>
        <w:spacing w:after="0" w:line="207"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An investment in our Class A Shares and Warrants involves a high degree of risk. You</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should read this prospectus carefully, including the section titled “Risk Factors” and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combined and condensed consolidated financial statements and the related notes to</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those statements included in this prospectus, before investing in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 of Common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217,392,348 shares of Company common stock were issued and outstanding as of May 15, 2023, which calculation includes (i) 177,656,940 shares of the Company’s Class A Common Stock and (ii) 39,735,408 shares of the Company’s Class B Common Stock. Such amount does not include shares issuable upon exercise of Warrants or options being registered hereunder.</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416" w:gutter="0" w:footer="0" w:header="0"/>
          <w:type w:val="continuous"/>
        </w:sectPr>
      </w:pPr>
    </w:p>
    <w:bookmarkStart w:id="15" w:name="page16"/>
    <w:bookmarkEnd w:id="15"/>
    <w:p>
      <w:pPr>
        <w:ind w:left="8"/>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5790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020" cy="5790565"/>
                    </a:xfrm>
                    <a:prstGeom prst="rect">
                      <a:avLst/>
                    </a:prstGeom>
                    <a:noFill/>
                  </pic:spPr>
                </pic:pic>
              </a:graphicData>
            </a:graphic>
          </wp:anchor>
        </w:drawing>
        <w:t>A Note About this Offering</w:t>
      </w:r>
    </w:p>
    <w:p>
      <w:pPr>
        <w:spacing w:after="0" w:line="225" w:lineRule="exact"/>
        <w:rPr>
          <w:sz w:val="20"/>
          <w:szCs w:val="20"/>
          <w:color w:val="auto"/>
        </w:rPr>
      </w:pPr>
    </w:p>
    <w:p>
      <w:pPr>
        <w:jc w:val="both"/>
        <w:ind w:left="8" w:firstLine="324"/>
        <w:spacing w:after="0" w:line="287" w:lineRule="auto"/>
        <w:rPr>
          <w:sz w:val="20"/>
          <w:szCs w:val="20"/>
          <w:color w:val="auto"/>
        </w:rPr>
      </w:pPr>
      <w:r>
        <w:rPr>
          <w:rFonts w:ascii="Arial" w:cs="Arial" w:eastAsia="Arial" w:hAnsi="Arial"/>
          <w:sz w:val="16"/>
          <w:szCs w:val="16"/>
          <w:color w:val="auto"/>
        </w:rPr>
        <w:t>This prospectus relates to (i) the offer and resale of an aggregate of up to 55,999,499 shares of Class A Shares of the Company held by Selling Securityholders, including (a) the PIPE Shares issued at $10.00 per share, (b) securities held by our officers, directors and their affiliates which were originally issued as (1) founder shares in connection with ATSP’s IPO for approximately $0.009 per share and (2) as part of placement units in connection with ATSP’s IPO at a price of $10.00 per placement unit, and (c)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(ii) the resale by certain of our affiliates from time to time of up to 39,735,408 Class A Shares issuable upon conversion of Class B Shares issued pursuant to the Merger Agreement in connection with the Business Combination as merger consideration at an acquiror share value of $0.0073 per share, (iii) 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and (iv) the issuance by us of up to 3,457,996 Class A Shares upon the exercise of outstanding Registered Warrants to purchase our Class A Shares at an exercise price of $11.50, which were originally issued as part of the units in connection with ATSP’s IPO at a price of $10.00 per unit.</w:t>
      </w:r>
    </w:p>
    <w:p>
      <w:pPr>
        <w:spacing w:after="0" w:line="168" w:lineRule="exact"/>
        <w:rPr>
          <w:sz w:val="20"/>
          <w:szCs w:val="20"/>
          <w:color w:val="auto"/>
        </w:rPr>
      </w:pPr>
    </w:p>
    <w:p>
      <w:pPr>
        <w:jc w:val="both"/>
        <w:ind w:left="8" w:firstLine="324"/>
        <w:spacing w:after="0" w:line="296" w:lineRule="auto"/>
        <w:rPr>
          <w:sz w:val="20"/>
          <w:szCs w:val="20"/>
          <w:color w:val="auto"/>
        </w:rPr>
      </w:pPr>
      <w:r>
        <w:rPr>
          <w:rFonts w:ascii="Arial" w:cs="Arial" w:eastAsia="Arial" w:hAnsi="Arial"/>
          <w:sz w:val="16"/>
          <w:szCs w:val="16"/>
          <w:color w:val="auto"/>
        </w:rPr>
        <w:t>Even if the trading price of our Class A Common Stock is significantly below $10.00, the offering price for the units offered in ATSP’s IPO, certain of the selling securityholders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and receive a positive rate of return due to the lower price that they purchased or received their shares than the public investors, who may not experience a similar rate of return on the securities they purchased due to differences in the purchase prices and the current trading price.</w:t>
      </w:r>
    </w:p>
    <w:p>
      <w:pPr>
        <w:spacing w:after="0" w:line="161" w:lineRule="exact"/>
        <w:rPr>
          <w:sz w:val="20"/>
          <w:szCs w:val="20"/>
          <w:color w:val="auto"/>
        </w:rPr>
      </w:pPr>
    </w:p>
    <w:p>
      <w:pPr>
        <w:jc w:val="both"/>
        <w:ind w:left="8" w:firstLine="324"/>
        <w:spacing w:after="0" w:line="283" w:lineRule="auto"/>
        <w:rPr>
          <w:sz w:val="20"/>
          <w:szCs w:val="20"/>
          <w:color w:val="auto"/>
        </w:rPr>
      </w:pPr>
      <w:r>
        <w:rPr>
          <w:rFonts w:ascii="Arial" w:cs="Arial" w:eastAsia="Arial" w:hAnsi="Arial"/>
          <w:sz w:val="16"/>
          <w:szCs w:val="16"/>
          <w:color w:val="auto"/>
        </w:rPr>
        <w:t>Based on the closing price of our Class A Common Stock of $2.57 as of May 1, 2023, holders of (i) 55,999,499 shares of Class A Common Stock of SoundHound AI held by Selling Securityholders, including the PIPE Shares issued at $10.00 per share would be expected to earn a potential loss of $7.43 per share (exclusive of the value of any other securities issued in the original transaction), securities held by our officers, directors and their affiliates (which were originally issued as founder shares in connection with ATSP’s IPO for approximately $0.009 would be expected to earn a potential profit of $2.56 per share, and as part of placement units in connection with ATSP’s IPO at a price of $10.00 per placement unit would be expected to earn a potential loss of $7.43 per share (exclusive of the value of any other securities issued in the original transaction),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would be expected to earn a potential profit, upon exercise, of $0.48 per share, (ii) the resale by certain of our affiliates from time to time of up to 39,735,408 Class A Shares (representing approximately 15.8% of the total number of shares of Class A Common Stock outstanding on a fully diluted basis) issuable upon conversion of shares of Class B Common Stock issued pursuant to the Merger Agreement in connection with the Business Combination as merger consideration at an acquiror share value of $0.0073 per share would be expected to earn a potential profit of $2.56 per share,</w:t>
      </w:r>
    </w:p>
    <w:p>
      <w:pPr>
        <w:spacing w:after="0" w:line="3" w:lineRule="exact"/>
        <w:rPr>
          <w:sz w:val="20"/>
          <w:szCs w:val="20"/>
          <w:color w:val="auto"/>
        </w:rPr>
      </w:pPr>
    </w:p>
    <w:p>
      <w:pPr>
        <w:jc w:val="both"/>
        <w:ind w:left="8" w:hanging="8"/>
        <w:spacing w:after="0" w:line="269" w:lineRule="auto"/>
        <w:tabs>
          <w:tab w:leader="none" w:pos="33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would be expected to earn upon exercise a potential loss of $7.43 per share (exclusive of the value of any other securities issued in the original transaction) and (iv) the issuance by us of up to 3,457,996 Class A Shares upon the exercise of outstanding Warrants to purchase our Class A Shares at an exercise price of $11.50 (upon exercise representing approximately 1.4% of the total number of shares of Class A Common Stock outstanding on a fully diluted basis), as part of the units in connection with ATSP’s IPO at a price of $10.00 per unit, would be expected to earn upon exercise a potential loss of $7.43 per share (exclusive of the value of any other securities issued in the original transaction).</w:t>
      </w:r>
    </w:p>
    <w:p>
      <w:pPr>
        <w:spacing w:after="0" w:line="200" w:lineRule="exact"/>
        <w:rPr>
          <w:sz w:val="20"/>
          <w:szCs w:val="20"/>
          <w:color w:val="auto"/>
        </w:rPr>
      </w:pPr>
    </w:p>
    <w:p>
      <w:pPr>
        <w:spacing w:after="0" w:line="223"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8"/>
          </w:cols>
          <w:pgMar w:left="452" w:top="935" w:right="4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carefully consider the risk factors we describe herein, in any prospectus supplement, in any related free writing prospectus, as well as those incorporated by reference into this prospectus and any prospectus supplement, including, but not limited to the risk factors set forth on page 13 of our Annual Report on Form 10-K for the year ended December 31, 2022 filed on March 28, 2023.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 incorporated by reference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SoundHound AI’s stock price and trading volume may fluctuate significantly.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and trading volume of SoundHound AI’s Class A Common Stock has fluctuated widely and may continue to fluctuate widely, depending on many factors, some of which may be beyond our control, including:</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factors related to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or failure of our business strategies;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and industry capacity;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 and other factors that affect earnings and cash flow;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level of indebtedness, our ability to make payments on or service our indebtedness and our ability to obtain financing as needed;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and recruit qualified personnel, particularly in light of our recent restructuring;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securities analysts to cover, or positively cover, our Class A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perception of the Company and the AI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market fluctuations unrelated to our operating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 investigation;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and regulations (including tax laws and regulations) affecting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capital gains taxes and taxes on dividends affecting stockholders;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Low trading volume for SoundHound AI’s Class A Common Stock, which may occur if an active trading market does not develop, among other reasons, would amplify the effect of the above factors on stock price volatility.</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over the last few years, the stock market more broadly has experienced price and volume fluctuations, including due to factors relating to the ongoing outbreak of COVID-19 and the war in Ukraine,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 effects of COVID-19 or the war in Ukraine,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43" w:gutter="0" w:footer="0" w:header="0"/>
        </w:sectPr>
      </w:pPr>
    </w:p>
    <w:bookmarkStart w:id="17" w:name="page18"/>
    <w:bookmarkEnd w:id="17"/>
    <w:p>
      <w:pPr>
        <w:jc w:val="both"/>
        <w:ind w:firstLine="324"/>
        <w:spacing w:after="0" w:line="287" w:lineRule="auto"/>
        <w:rPr>
          <w:sz w:val="20"/>
          <w:szCs w:val="20"/>
          <w:color w:val="auto"/>
        </w:rPr>
      </w:pPr>
      <w:r>
        <w:rPr>
          <w:rFonts w:ascii="Arial" w:cs="Arial" w:eastAsia="Arial" w:hAnsi="Arial"/>
          <w:sz w:val="16"/>
          <w:szCs w:val="16"/>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7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SoundHound AI will require additional capital to continue its planned business operations but may not be able to obtain such capital when desired on favorable terms, if at all, or without dilution to its stockholders.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SoundHound AI will require additional capital to continue its planned business operations. SoundHound AI implemented its restructuring plan to reduce the amount of capital required to meet its current business needs, but anticipates that current cash, cash equivalents, cash provided by operating activities and funds available through SoundHound AI’s equity line of credit, will not be sufficient to meet its future capital needs. SoundHound AI will need additional financing to execute on its current or future business strategies, including to:</w:t>
      </w:r>
    </w:p>
    <w:p>
      <w:pPr>
        <w:spacing w:after="0" w:line="187"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hire additional software engineers, sales and marketing professionals, and other personnel as needed following implementation of the restructuring plan;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new or enhance existing products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SoundHound AI’s operating infrastructure;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SoundHound AI raises additional funds through the issuance of equity, including its current equity line of credit arrangement,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particularly in light of inflationary pressures and resulting increases in the cost of borrowing.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Future sales, or the perception of future sales, of SoundHound AI’s common stock by SoundHound AI or its existing stockholders in the public market (such as through this prospectus) could cause the market price for SoundHound AI’s common stock to decline.</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sale of substantial amounts of shares of SoundHound AI’s common stock in the public market (such as through this prospectus), or the perception that such sales could occur, could harm the prevailing market price of shares of common stock. These sales, including sale pursuant to this prospectus, or the possibility that these sales may occur, also might make it more difficult for us to sell equity securities in the future at a time and at a price that we deem appropriate.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324"/>
        <w:spacing w:after="0" w:line="277" w:lineRule="auto"/>
        <w:rPr>
          <w:sz w:val="20"/>
          <w:szCs w:val="20"/>
          <w:color w:val="auto"/>
        </w:rPr>
      </w:pPr>
      <w:r>
        <w:rPr>
          <w:rFonts w:ascii="Arial" w:cs="Arial" w:eastAsia="Arial" w:hAnsi="Arial"/>
          <w:sz w:val="18"/>
          <w:szCs w:val="18"/>
          <w:color w:val="auto"/>
        </w:rPr>
        <w:t>The securities being offered in this prospectus represent a substantial percentage of our outstanding Class A Common Stock and Warrants, and the sales of such securities could cause the market price of our Class A Common Stock and Warrants to decline significantly.</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prospectus relates to (i) the offer and resale of an aggregate of up to 55,999,499 shares of Class A Shares of the Company held by Selling Securityholders (representing 22.2% of the total number of shares of Class A Common Stock outstanding on a fully diluted basis), including (a) the PIPE Shares issued at $10.00 per share, (b) securities held by our officers, directors and their affiliates which were originally issued as (1) founder shares in connection with ATSP’s IPO for approximately $0.009 per share and (2) as part of placement units in connection with ATSP’s IPO at a price of $10.00 per placement unit, and (c)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(ii) the resale by certain of our affiliates from time to time of up to 39,735,408 Class A Shares (representing approximately 16.7% of the total number of shares of Class A Common Stock outstanding on a fully diluted basis) issuable upon conversion of Class B Shares issued pursuant to the Merger Agreement in connection with the Business Combination as merger consideration at an acquiror share value of $0.0073 per share, (iii) 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and (iv) the issuance by us of up to 3,457,996 Class A Shares upon the exercise of outstanding Warrants to purchase our Class A Shares at an exercise price of $11.50, which were originally issued as part of the units in connection with ATSP’s IPO at a price of $10.00 per unit.</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Even if the trading price of our Class A Common Stock is significantly below $10.00, the offering price for the units offered in ATSP’s IPO, certain of the selling securityholders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due to the lower price that they purchased or received their shares than the public investors. For example, based on the closing price of our Class A Common Stock of $2.57 as of May 1, 2023, holders of the founder shares may experience a potential profit of up to approximately $2.56 per share, or approximately $8.52 million in the aggregate.</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the Business Combination, certain of the Company’s stockholders, including certain of the Selling Securityholders, agreed that, subject to certain exceptions, they would not, during the period beginning at the effective time of the Business Combination and ending on October 26, 2022 (or April 26, 2023 in the case of our chief executive officer) (subject to early release if SoundHound AI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SoundHound AI Holdings, Inc. 2022 Incentive Award Plan and SoundHound AI Holdings, Inc. 2022 ESPP may become available for sale in future.</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Furthermore, on August 16, 2022, the Company entered into a common stock purchase agreement (the “Purchase Agreement”) and related registration rights agreement (the “CFPI Registration Rights Agreement”) with CF Principal Investments LLC (“CFPI”). Pursuant to the Purchase Agreement, The Company, has the right to sell to CFPI up to the lesser of (i) 25,000,000 shares of Class A Shares, and (ii) the Exchange Cap (as defined in the Purchase Agreement), subject to certain limitations and conditions set forth in the Purchase Agreement. The purchase price of the Class A Shares that the Company elects to sell to CFPI pursuant to the Purchase Agreement will be the volume weighted average price of the Class A Shares during the applicable purchase date on which the Company has timely delivered written notice to CFPI directing it to purchase the shares under the Purchase Agreement. The Company will receive 97% of the volume weighted average price of the shares so sold. The Company has filed a resale registration statement with the SEC to register under the Securities Act for the resale by CFPI of the Class A Shares that the Company may issue to CFPI under the Purchase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324"/>
        <w:spacing w:after="0" w:line="263" w:lineRule="auto"/>
        <w:rPr>
          <w:sz w:val="20"/>
          <w:szCs w:val="20"/>
          <w:color w:val="auto"/>
        </w:rPr>
      </w:pPr>
      <w:r>
        <w:rPr>
          <w:rFonts w:ascii="Arial" w:cs="Arial" w:eastAsia="Arial" w:hAnsi="Arial"/>
          <w:sz w:val="18"/>
          <w:szCs w:val="18"/>
          <w:color w:val="auto"/>
        </w:rPr>
        <w:t>The market price of shares of our Class A Common Stock could drop significantly if the holders of the shares described above sell them or are perceived by the market as intending to sell them or if we sell any shares pursuant to the Purchase Agreement. These factors could also make it more difficult for us to raise additional funds through future offerings of shares of our common stock or other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ownership in SoundHound AI may be diluted in the future.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Stockholders’ percentage ownership in SoundHound AI may be diluted in the future because of equity issuances for acquisitions, capital market transactions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time-to-time, SoundHound AI may opportunistically evaluate and pursue acquisition opportunities, including acquisitions for which the consideration thereof may consist partially or entirely of newly-issued shares of SoundHound AI common stock and, therefore, such transactions, if consummated, would dilute the voting power and/or reduce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of additional shares of common stock or convertible securities may dilute your ownership and could adversely affect the stock price.</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in the future, SoundHound AI may issue additional shares of common stock or securities convertible into common stock pursuant to a variety of transactions, including acquisitions. Additional shares of common stock may also be issued upon exercise of outstanding stock options and Warrants to purchase common stock. The issuance by us of additional shares of common stock or securities convertible into common stock would dilute your ownership of SoundHound AI and the sale of a significant amount of such shares in the public market could adversely affect prevailing market prices of our common stock. Subject to the satisfaction of vesting conditions and the expiration of lockup agreements, shares issuable upon exercise of options will be available for resale immediately in the public market without restriction.</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Issuing additional shares of SoundHound AI’s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SoundHound AI’s decision to issue securities in any future offering will depend on market conditions and other factors beyond our control, which may adversely affect the amount, timing, or nature of our future offerings. As a result, holders of SoundHound AI’s common stock bear the risk that SoundHound AI’s future offerings may reduce the market price of SoundHound AI’s common stock and dilute their percentage ownership.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Assuming the cash exercise of all outstanding Warrants, we will receive an aggregate of approximately $42.2 million. We expect to use the net proceeds from the exercise of the Warrants, if any, for working capital and general corporate purposes. We will have broad discretion over the use of any proceeds from the exercise of the Warrants. There is no assurance that the holders of the Warrants will elect to exercise any or all of their Warrants. To the extent that any Warrants are exercised on a “cashless basis,” the amount of cash we would receive from the exercise of the Warrants will decrease. Cash proceeds associated with the exercise of Warrants to purchase our Class A Shares are dependent on our stock price. To the extent the sales price of Class A Shares is lower than the exercise price of such Warrants, we are unlikely to receive proceeds from the exercise of such Warrants. We do not currently anticipate this will have a material impact on our liquidity.</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Selling Securityholders will pay any underwriting discounts and commissions and expenses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the Warrants of $11.50 per share. The Registered Warrants are listed on Nasdaq under the symbol “SOUNW”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currently determine the price at which shares of our Class A Common Stock may be sold by the Selling Securityholders under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Class A Common Stock and Warrants are currently listed on Nasdaq under the symbols “SOUN” and “SOUNW,” respectively. As of May 15, 2023, there were 104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description is not complete and may not contain all the information you should consider before investing in our securities. For a more detailed description of these securities, you should read the applicable provisions of Delaware law and our second amended and restated certificate of incorporation, referred to herein as our Charter, and our amended and restated bylaws, referred to herein as our Bylaws.</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May 15, 2023, there were 217,392,348 shares of Company common stock issued and outstanding, which calculation includes 177,656,940 shares of the Company’s Class A Common Stock and 39,735,408 shares of the Company’s Class B Common Stock. In addition, there were 3,665,996 shares of Class A Common Stock issuable upon exercise of outstanding Warrants, no shares of Class B Common Stock issuable upon exercise of outstanding Warrants, 21,255,735 shares of Class A Common Stock issuable upon exercise of outstanding stock options, 9,928,736 shares of Class A Common Stock issuable upon vesting of restricted stock units and no shares of Class B Common Stock issuable upon exercise of outstanding stock options or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holders of outstanding shares of Class A Common Stock are entitled to receive dividends out of assets or funds legally available for the payment of dividends of such times and in such amounts as our Board from time to time may determine. Our Class A Common Stock is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are subject to and may be adversely affected by the rights of the holders of shares of any series of preferred stock that we may designate and issue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Warrants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May 1, 2023, 174,750 Placement Warrants outstanding. The terms of our Placement Warrants and the terms of our Registered Warrants are identical. Each whole Warrant entitles the registered holder to purchase one share of Class A Common Stock at a price of $11.50 per share, subject to adjustment as discussed below, at any time commencing 30 days after the completion of the Business Combination on April 26, 2022. However, no Warrants will be exercisable for cash unless we have an effective and current registration statement covering the shares of Class A Common Stock issuable upon exercise of the Warrants and a current prospectus relating to such shares of Class A Common Stock. The Warrants will expire on April 26, 2027, which is the fifth anniversary of our completion of the Business Combination, at 5:00 p.m., New York City time, or earlier upon redemption or liquidation.</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324"/>
        <w:spacing w:after="0" w:line="286" w:lineRule="auto"/>
        <w:rPr>
          <w:sz w:val="20"/>
          <w:szCs w:val="20"/>
          <w:color w:val="auto"/>
        </w:rPr>
      </w:pPr>
      <w:r>
        <w:rPr>
          <w:rFonts w:ascii="Arial" w:cs="Arial" w:eastAsia="Arial" w:hAnsi="Arial"/>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Registered Warrants, in order to make any change that adversely affects the interests of the registered holders.</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 and Our Charter and Bylaws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meeting of stockholders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w:t>
      </w:r>
    </w:p>
    <w:p>
      <w:pPr>
        <w:jc w:val="both"/>
        <w:spacing w:after="0" w:line="234" w:lineRule="auto"/>
        <w:rPr>
          <w:sz w:val="20"/>
          <w:szCs w:val="20"/>
          <w:color w:val="auto"/>
        </w:rPr>
      </w:pPr>
      <w:r>
        <w:rPr>
          <w:rFonts w:ascii="Arial" w:cs="Arial" w:eastAsia="Arial" w:hAnsi="Arial"/>
          <w:sz w:val="16"/>
          <w:szCs w:val="16"/>
          <w:color w:val="auto"/>
        </w:rPr>
        <w:t>delivered to our principal executive offices not later than the close of business on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close of business on the 90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scheduled date of the annual meeting of stockholders. In the event that less than 70 days’ notice or prior public disclosure of the date of the annual</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meeting of stockholders is given, a stockholder’s notice shall be timely if delivered to our principal executive offices not later than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day on which public announcement of the date of our annual meeting of stockholders is first made or sent by us. Our Bylaws also specify certain 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but unissued shares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combination of these provisions will make it more difficult for our existing stockholders to replace our Board as well as for another party to obtain control of us by replacing our Board. Because our Board has the power to retain and discharge our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Charter or the Bylaws of SoundHound AI, or</w:t>
      </w:r>
    </w:p>
    <w:p>
      <w:pPr>
        <w:spacing w:after="0" w:line="2" w:lineRule="exact"/>
        <w:rPr>
          <w:sz w:val="20"/>
          <w:szCs w:val="20"/>
          <w:color w:val="auto"/>
        </w:rPr>
      </w:pPr>
    </w:p>
    <w:p>
      <w:pPr>
        <w:jc w:val="both"/>
        <w:ind w:firstLine="8"/>
        <w:spacing w:after="0" w:line="251" w:lineRule="auto"/>
        <w:tabs>
          <w:tab w:leader="none" w:pos="3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Limitation on Liability and Indemnification</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 SoundHound AI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Bylaws of SoundHound AI will permit SoundHound AI to purchase and maintain insurance on behalf of 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and Warrants are listed on The Nasdaq Global Market under the trading symbols “SOUN” and “SOUNW.”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8"/>
          <w:szCs w:val="18"/>
          <w:color w:val="auto"/>
        </w:rPr>
        <w:t>The transfer agent and registrar for our Class A Common Stock, and our warrant agent, is Continental Stock Transfer &amp; Trust Company. The Transfer Agent’s address is 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prospectus relates to the offer and resale of an aggregate of up to (i) 55,999,499 Class A Shares by Selling Securityholders (ii) the resale by certain of our affiliates from time to time of up to 39,735,408 Class A Shares issuable upon conversion of shares of Class B Shares, (iii) the resale from time to time of up to 174,750 Placement Warrants and (iv) the issuance by us of up to 3,457,996 Class A Shares upon the exercise of outstanding Registered Warrants. The Selling Securityholders may from time to time offer and sell any or all of the shares of Class A Common Stock and Placement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Class A Common Stock or Placement Warrants other than through a public sale. We are also registering the issuance of shares of Class A Common Stock issuable on exercise of Registered Warrants as required by the Warrant Agreement by and between ATSP and Continental Stock Transfer &amp; Trust Company.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table below lists the Selling Securityholders and other information regarding the beneficial ownership of the shares of Common Stock by each of the Selling Securityholders. Percentage of beneficial ownership of shares of Class A Common Stock by a Selling Securityholder after this offering is based on 177,656,940 shares of Class A Common Stock issued and outstanding on May 15, 2023 Additionally, in determining the percentage beneficial ownership of shares of Class A Common Stock of a Selling Securityholder shares of Class A Common Stock issuable to such Selling Securityholder upon the exercise of stock options are included in the number of issued and outstanding shares of Class A Common Stock for such Selling Securityholder, but not stock options held by any other Selling Securityholder.</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securities. In particular,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for further information regarding the Selling Securityholders’ method of distributing these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18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4"/>
            <w:vMerge w:val="restart"/>
          </w:tcPr>
          <w:p>
            <w:pPr>
              <w:jc w:val="center"/>
              <w:ind w:right="40"/>
              <w:spacing w:after="0"/>
              <w:rPr>
                <w:sz w:val="20"/>
                <w:szCs w:val="20"/>
                <w:color w:val="auto"/>
              </w:rPr>
            </w:pPr>
            <w:r>
              <w:rPr>
                <w:rFonts w:ascii="Arial" w:cs="Arial" w:eastAsia="Arial" w:hAnsi="Arial"/>
                <w:sz w:val="18"/>
                <w:szCs w:val="18"/>
                <w:b w:val="1"/>
                <w:bCs w:val="1"/>
                <w:color w:val="auto"/>
                <w:w w:val="88"/>
              </w:rPr>
              <w:t>Securities Owned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gridSpan w:val="4"/>
          </w:tcPr>
          <w:p>
            <w:pPr>
              <w:jc w:val="center"/>
              <w:ind w:right="100"/>
              <w:spacing w:after="0" w:line="181" w:lineRule="exact"/>
              <w:rPr>
                <w:sz w:val="20"/>
                <w:szCs w:val="20"/>
                <w:color w:val="auto"/>
              </w:rPr>
            </w:pPr>
            <w:r>
              <w:rPr>
                <w:rFonts w:ascii="Arial" w:cs="Arial" w:eastAsia="Arial" w:hAnsi="Arial"/>
                <w:sz w:val="18"/>
                <w:szCs w:val="18"/>
                <w:b w:val="1"/>
                <w:bCs w:val="1"/>
                <w:color w:val="auto"/>
                <w:w w:val="94"/>
              </w:rPr>
              <w:t>Owned prior</w:t>
            </w:r>
          </w:p>
        </w:tc>
        <w:tc>
          <w:tcPr>
            <w:tcW w:w="1820" w:type="dxa"/>
            <w:vAlign w:val="bottom"/>
            <w:gridSpan w:val="4"/>
          </w:tcPr>
          <w:p>
            <w:pPr>
              <w:jc w:val="center"/>
              <w:ind w:right="100"/>
              <w:spacing w:after="0" w:line="181" w:lineRule="exact"/>
              <w:rPr>
                <w:sz w:val="20"/>
                <w:szCs w:val="20"/>
                <w:color w:val="auto"/>
              </w:rPr>
            </w:pPr>
            <w:r>
              <w:rPr>
                <w:rFonts w:ascii="Arial" w:cs="Arial" w:eastAsia="Arial" w:hAnsi="Arial"/>
                <w:sz w:val="18"/>
                <w:szCs w:val="18"/>
                <w:b w:val="1"/>
                <w:bCs w:val="1"/>
                <w:color w:val="auto"/>
                <w:w w:val="87"/>
              </w:rPr>
              <w:t>to be Sold</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to this Offering</w:t>
            </w:r>
          </w:p>
        </w:tc>
        <w:tc>
          <w:tcPr>
            <w:tcW w:w="18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in this Offering</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4"/>
          </w:tcPr>
          <w:p>
            <w:pPr>
              <w:jc w:val="center"/>
              <w:ind w:right="40"/>
              <w:spacing w:after="0" w:line="270" w:lineRule="exact"/>
              <w:rPr>
                <w:sz w:val="20"/>
                <w:szCs w:val="20"/>
                <w:color w:val="auto"/>
              </w:rPr>
            </w:pPr>
            <w:r>
              <w:rPr>
                <w:rFonts w:ascii="Arial" w:cs="Arial" w:eastAsia="Arial" w:hAnsi="Arial"/>
                <w:sz w:val="18"/>
                <w:szCs w:val="18"/>
                <w:b w:val="1"/>
                <w:bCs w:val="1"/>
                <w:color w:val="auto"/>
                <w:w w:val="90"/>
              </w:rPr>
              <w:t>after this Offering</w:t>
            </w:r>
            <w:r>
              <w:rPr>
                <w:rFonts w:ascii="Arial" w:cs="Arial" w:eastAsia="Arial" w:hAnsi="Arial"/>
                <w:sz w:val="29"/>
                <w:szCs w:val="29"/>
                <w:b w:val="1"/>
                <w:bCs w:val="1"/>
                <w:color w:val="auto"/>
                <w:w w:val="90"/>
                <w:vertAlign w:val="superscript"/>
              </w:rPr>
              <w:t>(1)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Shares of</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5"/>
              </w:rPr>
              <w:t>Shares of</w:t>
            </w: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2"/>
          </w:tcPr>
          <w:p>
            <w:pPr>
              <w:jc w:val="center"/>
              <w:ind w:right="60"/>
              <w:spacing w:after="0" w:line="198" w:lineRule="exact"/>
              <w:rPr>
                <w:sz w:val="20"/>
                <w:szCs w:val="20"/>
                <w:color w:val="auto"/>
              </w:rPr>
            </w:pPr>
            <w:r>
              <w:rPr>
                <w:rFonts w:ascii="Arial" w:cs="Arial" w:eastAsia="Arial" w:hAnsi="Arial"/>
                <w:sz w:val="18"/>
                <w:szCs w:val="18"/>
                <w:b w:val="1"/>
                <w:bCs w:val="1"/>
                <w:color w:val="auto"/>
                <w:w w:val="87"/>
              </w:rPr>
              <w:t>Shares of</w:t>
            </w: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A</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Class A</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Common</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Names and Addresses</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Warrants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Warrants</w:t>
            </w: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Percentage</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 Gassar International Limited</w:t>
            </w: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Andrew Jordan</w:t>
            </w: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74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Arvind Reddy Ramalingam</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Balasubramanya Bhat</w:t>
            </w:r>
          </w:p>
        </w:tc>
        <w:tc>
          <w:tcPr>
            <w:tcW w:w="860" w:type="dxa"/>
            <w:vAlign w:val="bottom"/>
          </w:tcPr>
          <w:p>
            <w:pPr>
              <w:jc w:val="right"/>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Blythe Elizabeth Edwards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97,676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Brent Callinicos</w:t>
            </w: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Bryant B. Edwards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CDRD Irrevocable Trust</w:t>
            </w:r>
          </w:p>
        </w:tc>
        <w:tc>
          <w:tcPr>
            <w:tcW w:w="860" w:type="dxa"/>
            <w:vAlign w:val="bottom"/>
          </w:tcPr>
          <w:p>
            <w:pPr>
              <w:jc w:val="right"/>
              <w:spacing w:after="0"/>
              <w:rPr>
                <w:sz w:val="20"/>
                <w:szCs w:val="20"/>
                <w:color w:val="auto"/>
              </w:rPr>
            </w:pPr>
            <w:r>
              <w:rPr>
                <w:rFonts w:ascii="Arial" w:cs="Arial" w:eastAsia="Arial" w:hAnsi="Arial"/>
                <w:sz w:val="18"/>
                <w:szCs w:val="18"/>
                <w:color w:val="auto"/>
              </w:rPr>
              <w:t>248,000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Christy Albeck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CPS 2022 Trust</w:t>
            </w:r>
          </w:p>
        </w:tc>
        <w:tc>
          <w:tcPr>
            <w:tcW w:w="860" w:type="dxa"/>
            <w:vAlign w:val="bottom"/>
          </w:tcPr>
          <w:p>
            <w:pPr>
              <w:jc w:val="right"/>
              <w:spacing w:after="0"/>
              <w:rPr>
                <w:sz w:val="20"/>
                <w:szCs w:val="20"/>
                <w:color w:val="auto"/>
              </w:rPr>
            </w:pPr>
            <w:r>
              <w:rPr>
                <w:rFonts w:ascii="Arial" w:cs="Arial" w:eastAsia="Arial" w:hAnsi="Arial"/>
                <w:sz w:val="18"/>
                <w:szCs w:val="18"/>
                <w:color w:val="auto"/>
              </w:rPr>
              <w:t>204,250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204,250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Sheehan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Cota Capital Master Fund, L.P.</w:t>
            </w:r>
            <w:r>
              <w:rPr>
                <w:rFonts w:ascii="Arial" w:cs="Arial" w:eastAsia="Arial" w:hAnsi="Arial"/>
                <w:sz w:val="29"/>
                <w:szCs w:val="29"/>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2,038,595</w:t>
            </w: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1,738,595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Delphi Asset Management Corporation</w:t>
            </w:r>
            <w:r>
              <w:rPr>
                <w:rFonts w:ascii="Arial" w:cs="Arial" w:eastAsia="Arial" w:hAnsi="Arial"/>
                <w:sz w:val="29"/>
                <w:szCs w:val="29"/>
                <w:color w:val="auto"/>
                <w:vertAlign w:val="superscript"/>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Doug Rogers</w:t>
            </w:r>
          </w:p>
        </w:tc>
        <w:tc>
          <w:tcPr>
            <w:tcW w:w="860" w:type="dxa"/>
            <w:vAlign w:val="bottom"/>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Dr. Keyvan Mohajer</w:t>
            </w:r>
            <w:r>
              <w:rPr>
                <w:rFonts w:ascii="Arial" w:cs="Arial" w:eastAsia="Arial" w:hAnsi="Arial"/>
                <w:sz w:val="29"/>
                <w:szCs w:val="29"/>
                <w:color w:val="auto"/>
                <w:vertAlign w:val="superscript"/>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17,472,499</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17,472,499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line="270" w:lineRule="exact"/>
              <w:rPr>
                <w:sz w:val="20"/>
                <w:szCs w:val="20"/>
                <w:color w:val="auto"/>
              </w:rPr>
            </w:pPr>
            <w:r>
              <w:rPr>
                <w:rFonts w:ascii="Arial" w:cs="Arial" w:eastAsia="Arial" w:hAnsi="Arial"/>
                <w:sz w:val="18"/>
                <w:szCs w:val="18"/>
                <w:color w:val="auto"/>
              </w:rPr>
              <w:t>Dr. Majid Emami</w:t>
            </w:r>
            <w:r>
              <w:rPr>
                <w:rFonts w:ascii="Arial" w:cs="Arial" w:eastAsia="Arial" w:hAnsi="Arial"/>
                <w:sz w:val="29"/>
                <w:szCs w:val="29"/>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19,250,504</w:t>
            </w:r>
          </w:p>
        </w:tc>
        <w:tc>
          <w:tcPr>
            <w:tcW w:w="12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19,250,504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Eyal Gutkind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Global Catalyst Partners III, L.P.</w:t>
            </w:r>
            <w:r>
              <w:rPr>
                <w:rFonts w:ascii="Arial" w:cs="Arial" w:eastAsia="Arial" w:hAnsi="Arial"/>
                <w:sz w:val="29"/>
                <w:szCs w:val="29"/>
                <w:color w:val="auto"/>
                <w:vertAlign w:val="superscript"/>
              </w:rPr>
              <w:t>(2)(5)</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35,188,205</w:t>
            </w: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35,188,205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Gopi Rao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Harald Link</w:t>
            </w: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HTC (BVI) Corp.</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5,931.938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5,831,938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IB Capital LLC</w:t>
            </w: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Jagannadha Sri Harsha Putrevu</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5"/>
        </w:trPr>
        <w:tc>
          <w:tcPr>
            <w:tcW w:w="3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17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vMerge w:val="restart"/>
          </w:tcPr>
          <w:p>
            <w:pPr>
              <w:jc w:val="center"/>
              <w:ind w:right="20"/>
              <w:spacing w:after="0"/>
              <w:rPr>
                <w:sz w:val="20"/>
                <w:szCs w:val="20"/>
                <w:color w:val="auto"/>
              </w:rPr>
            </w:pPr>
            <w:r>
              <w:rPr>
                <w:rFonts w:ascii="Arial" w:cs="Arial" w:eastAsia="Arial" w:hAnsi="Arial"/>
                <w:sz w:val="18"/>
                <w:szCs w:val="18"/>
                <w:b w:val="1"/>
                <w:bCs w:val="1"/>
                <w:color w:val="auto"/>
                <w:w w:val="88"/>
              </w:rPr>
              <w:t>Securities Owned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4"/>
          </w:tcPr>
          <w:p>
            <w:pPr>
              <w:jc w:val="center"/>
              <w:ind w:right="100"/>
              <w:spacing w:after="0" w:line="181" w:lineRule="exact"/>
              <w:rPr>
                <w:sz w:val="20"/>
                <w:szCs w:val="20"/>
                <w:color w:val="auto"/>
              </w:rPr>
            </w:pPr>
            <w:r>
              <w:rPr>
                <w:rFonts w:ascii="Arial" w:cs="Arial" w:eastAsia="Arial" w:hAnsi="Arial"/>
                <w:sz w:val="18"/>
                <w:szCs w:val="18"/>
                <w:b w:val="1"/>
                <w:bCs w:val="1"/>
                <w:color w:val="auto"/>
                <w:w w:val="94"/>
              </w:rPr>
              <w:t>Owned prior</w:t>
            </w:r>
          </w:p>
        </w:tc>
        <w:tc>
          <w:tcPr>
            <w:tcW w:w="1720" w:type="dxa"/>
            <w:vAlign w:val="bottom"/>
            <w:gridSpan w:val="4"/>
          </w:tcPr>
          <w:p>
            <w:pPr>
              <w:jc w:val="center"/>
              <w:ind w:right="120"/>
              <w:spacing w:after="0" w:line="181" w:lineRule="exact"/>
              <w:rPr>
                <w:sz w:val="20"/>
                <w:szCs w:val="20"/>
                <w:color w:val="auto"/>
              </w:rPr>
            </w:pPr>
            <w:r>
              <w:rPr>
                <w:rFonts w:ascii="Arial" w:cs="Arial" w:eastAsia="Arial" w:hAnsi="Arial"/>
                <w:sz w:val="18"/>
                <w:szCs w:val="18"/>
                <w:b w:val="1"/>
                <w:bCs w:val="1"/>
                <w:color w:val="auto"/>
                <w:w w:val="87"/>
              </w:rPr>
              <w:t>to be Sold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to this Offering</w:t>
            </w:r>
          </w:p>
        </w:tc>
        <w:tc>
          <w:tcPr>
            <w:tcW w:w="17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in this Offering</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4"/>
          </w:tcPr>
          <w:p>
            <w:pPr>
              <w:jc w:val="center"/>
              <w:ind w:right="40"/>
              <w:spacing w:after="0" w:line="270" w:lineRule="exact"/>
              <w:rPr>
                <w:sz w:val="20"/>
                <w:szCs w:val="20"/>
                <w:color w:val="auto"/>
              </w:rPr>
            </w:pPr>
            <w:r>
              <w:rPr>
                <w:rFonts w:ascii="Arial" w:cs="Arial" w:eastAsia="Arial" w:hAnsi="Arial"/>
                <w:sz w:val="18"/>
                <w:szCs w:val="18"/>
                <w:b w:val="1"/>
                <w:bCs w:val="1"/>
                <w:color w:val="auto"/>
                <w:w w:val="89"/>
              </w:rPr>
              <w:t>after this Offering</w:t>
            </w:r>
            <w:r>
              <w:rPr>
                <w:rFonts w:ascii="Arial" w:cs="Arial" w:eastAsia="Arial" w:hAnsi="Arial"/>
                <w:sz w:val="29"/>
                <w:szCs w:val="29"/>
                <w:b w:val="1"/>
                <w:bCs w:val="1"/>
                <w:color w:val="auto"/>
                <w:w w:val="89"/>
                <w:vertAlign w:val="superscript"/>
              </w:rPr>
              <w:t>(1)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auto"/>
            </w:tcBorders>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5"/>
              </w:rPr>
              <w:t>Shares of</w:t>
            </w: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Shares of</w:t>
            </w: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Shares of</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A</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Class A</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Common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Names and Addresses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Warrants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Percentage</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Jalender Reddy Musku</w:t>
            </w: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Jennifer Wade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Kai Ming Chan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Laxminarayan Chavani</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1,250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Long</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484,963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Lorenzen Family Holdings, LLC</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Luc Julia</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James Hom</w:t>
            </w:r>
            <w:r>
              <w:rPr>
                <w:rFonts w:ascii="Arial" w:cs="Arial" w:eastAsia="Arial" w:hAnsi="Arial"/>
                <w:sz w:val="29"/>
                <w:szCs w:val="29"/>
                <w:color w:val="auto"/>
                <w:vertAlign w:val="superscript"/>
              </w:rPr>
              <w:t>(6)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4,512,588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4,512,588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Wade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M&amp;F Fund I LP</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37,500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225,000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Maheedhar Gunturu</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line="270" w:lineRule="exact"/>
              <w:rPr>
                <w:sz w:val="20"/>
                <w:szCs w:val="20"/>
                <w:color w:val="auto"/>
              </w:rPr>
            </w:pPr>
            <w:r>
              <w:rPr>
                <w:rFonts w:ascii="Arial" w:cs="Arial" w:eastAsia="Arial" w:hAnsi="Arial"/>
                <w:sz w:val="18"/>
                <w:szCs w:val="18"/>
                <w:color w:val="auto"/>
              </w:rPr>
              <w:t>Marcus Family Trust, dated 7/8/04</w:t>
            </w:r>
            <w:r>
              <w:rPr>
                <w:rFonts w:ascii="Arial" w:cs="Arial" w:eastAsia="Arial" w:hAnsi="Arial"/>
                <w:sz w:val="29"/>
                <w:szCs w:val="29"/>
                <w:color w:val="auto"/>
                <w:vertAlign w:val="superscript"/>
              </w:rPr>
              <w:t>(7)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595,846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595,846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Mayank Kaul</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Melvin Honda</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Meteora Capital Partners, LP</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Michael Zagorsek</w:t>
            </w:r>
            <w:r>
              <w:rPr>
                <w:rFonts w:ascii="Arial" w:cs="Arial" w:eastAsia="Arial" w:hAnsi="Arial"/>
                <w:sz w:val="29"/>
                <w:szCs w:val="29"/>
                <w:color w:val="auto"/>
                <w:vertAlign w:val="superscript"/>
              </w:rPr>
              <w:t>(8)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1,139,030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1,139,030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Mike Zabaneh</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MKaNN LLC</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3,198,444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3,098,444</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Naveen Adibhatla</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Nikesh Mukesh Jain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Nitesh Sharan</w:t>
            </w:r>
            <w:r>
              <w:rPr>
                <w:rFonts w:ascii="Arial" w:cs="Arial" w:eastAsia="Arial" w:hAnsi="Arial"/>
                <w:sz w:val="29"/>
                <w:szCs w:val="29"/>
                <w:color w:val="auto"/>
                <w:vertAlign w:val="superscript"/>
              </w:rPr>
              <w:t>(9)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308,677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308,677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Pai Family Irrevocable Trust, dated 02-22-2021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Patanjali Peri</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Patrick Jordan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Reddy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Pejman Capital, LLC</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496,293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396,293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Provco Ventures I, LP</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QFB Tech LP</w:t>
            </w:r>
            <w:r>
              <w:rPr>
                <w:rFonts w:ascii="Arial" w:cs="Arial" w:eastAsia="Arial" w:hAnsi="Arial"/>
                <w:sz w:val="29"/>
                <w:szCs w:val="29"/>
                <w:color w:val="auto"/>
                <w:vertAlign w:val="superscript"/>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2,000,000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2,000,000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 Ventures LLC</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Rajan Pai</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Kuskye Jr.</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Ronald Perkes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Sasidhar Gunturu</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Seshu Kalluri</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Sharny Cherie Kieser</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SOMPO Light Vortex Inc.</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Sophia Laurice Casey Cannon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Spring Creek Capital, LLC</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1,500,000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N. Cannon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Structural Capital Investments III, LP</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279,394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179,394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Subramanian Srinivasan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line="270" w:lineRule="exact"/>
              <w:rPr>
                <w:sz w:val="20"/>
                <w:szCs w:val="20"/>
                <w:color w:val="auto"/>
              </w:rPr>
            </w:pPr>
            <w:r>
              <w:rPr>
                <w:rFonts w:ascii="Arial" w:cs="Arial" w:eastAsia="Arial" w:hAnsi="Arial"/>
                <w:sz w:val="18"/>
                <w:szCs w:val="18"/>
                <w:color w:val="auto"/>
                <w:w w:val="96"/>
              </w:rPr>
              <w:t>The Ball Axline Living Trust, dated July 22, 2014</w:t>
            </w:r>
            <w:r>
              <w:rPr>
                <w:rFonts w:ascii="Arial" w:cs="Arial" w:eastAsia="Arial" w:hAnsi="Arial"/>
                <w:sz w:val="29"/>
                <w:szCs w:val="29"/>
                <w:color w:val="auto"/>
                <w:w w:val="96"/>
                <w:vertAlign w:val="superscript"/>
              </w:rPr>
              <w:t>(10)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560,250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560,250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Kollengode Family Trust, dated April 8, 2022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Timothy Stonehocker</w:t>
            </w:r>
            <w:r>
              <w:rPr>
                <w:rFonts w:ascii="Arial" w:cs="Arial" w:eastAsia="Arial" w:hAnsi="Arial"/>
                <w:sz w:val="29"/>
                <w:szCs w:val="29"/>
                <w:color w:val="auto"/>
                <w:vertAlign w:val="superscript"/>
              </w:rPr>
              <w:t>(11)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1,531,621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1,531,621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VIZIO Investments LLC</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Vijay Parthasarathy</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Vishwesh Pai</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line="270" w:lineRule="exact"/>
              <w:rPr>
                <w:sz w:val="20"/>
                <w:szCs w:val="20"/>
                <w:color w:val="auto"/>
              </w:rPr>
            </w:pPr>
            <w:r>
              <w:rPr>
                <w:rFonts w:ascii="Arial" w:cs="Arial" w:eastAsia="Arial" w:hAnsi="Arial"/>
                <w:sz w:val="18"/>
                <w:szCs w:val="18"/>
                <w:color w:val="auto"/>
              </w:rPr>
              <w:t>Walden Sprout Opportunities Fund-A, LLC</w:t>
            </w:r>
            <w:r>
              <w:rPr>
                <w:rFonts w:ascii="Arial" w:cs="Arial" w:eastAsia="Arial" w:hAnsi="Arial"/>
                <w:sz w:val="29"/>
                <w:szCs w:val="29"/>
                <w:color w:val="auto"/>
                <w:vertAlign w:val="superscript"/>
              </w:rPr>
              <w:t>(12)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525,650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525,650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Wing Yee Teresa Yeung</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Worthy Ray Limited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Zubin Irani</w:t>
            </w:r>
            <w:r>
              <w:rPr>
                <w:rFonts w:ascii="Arial" w:cs="Arial" w:eastAsia="Arial" w:hAnsi="Arial"/>
                <w:sz w:val="29"/>
                <w:szCs w:val="29"/>
                <w:color w:val="auto"/>
                <w:vertAlign w:val="superscript"/>
              </w:rPr>
              <w:t>(13)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205,787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205,787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400" w:hanging="392"/>
        <w:spacing w:after="0" w:line="250"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know when or in what amounts the Selling Securityholders will offer the resale securities for sale, if at all. The Selling Securityholders may sell any or all of the resale securities included in and offered by this prospectus. We cannot estimate the number of resale securities that will be held by the Selling Securityholders after completion of the offering. However, for purposes of this table, we have assumed that after completion of the offering all of the resale securities will have been sold by the Selling Securityholders.</w:t>
      </w:r>
    </w:p>
    <w:p>
      <w:pPr>
        <w:spacing w:after="0" w:line="1" w:lineRule="exact"/>
        <w:rPr>
          <w:rFonts w:ascii="Arial" w:cs="Arial" w:eastAsia="Arial" w:hAnsi="Arial"/>
          <w:sz w:val="18"/>
          <w:szCs w:val="18"/>
          <w:color w:val="auto"/>
        </w:rPr>
      </w:pPr>
    </w:p>
    <w:p>
      <w:pPr>
        <w:ind w:left="400" w:hanging="392"/>
        <w:spacing w:after="0" w:line="260"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securities are being registered in accordance with the terms of Subscription Agreements dated November 15, 2021 and April 9, 2022, by and between the Company and certain accredited investors.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27" w:name="page28"/>
    <w:bookmarkEnd w:id="27"/>
    <w:p>
      <w:pPr>
        <w:jc w:val="both"/>
        <w:ind w:left="400" w:hanging="392"/>
        <w:spacing w:after="0" w:line="284"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16,639,064 shares of Class A Common Stock issuable upon conversion of 16,639,064 shares of Class B Common Stock of SoundHound AI. These securities are subject to a contractual lock-up for 12 months following the Closing, subject to limited exceptions, and are being registered in accordance with the terms of an Amended and Restated Registration Rights Agreement, dated as of April 26, 2022, by and between the Company, the Selling Securityholder and the other parties thereto. Also represents 833,435 shares of Class A Common Stock issuable upon exercise of stock options issued pursuant to the Merger Agreement in exchange for SoundHound options granted on March 28, 2017. The shares subject to the option vested 100% at grant date. Dr. Keyvan Mohajer has served as the Chief Executive Officer and a member of the Board since the Closing.</w:t>
      </w:r>
    </w:p>
    <w:p>
      <w:pPr>
        <w:spacing w:after="0" w:line="4" w:lineRule="exact"/>
        <w:rPr>
          <w:rFonts w:ascii="Arial" w:cs="Arial" w:eastAsia="Arial" w:hAnsi="Arial"/>
          <w:sz w:val="16"/>
          <w:szCs w:val="16"/>
          <w:color w:val="auto"/>
        </w:rPr>
      </w:pPr>
    </w:p>
    <w:p>
      <w:pPr>
        <w:jc w:val="both"/>
        <w:ind w:left="400" w:hanging="392"/>
        <w:spacing w:after="0" w:line="281"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18,583,756 shares of Class A Common Stock issuable upon conversion of 18,583,756 shares of Class B Common Stock of SoundHound AI. These securities are being registered in accordance with the terms of an Amended and Restated Registration Rights Agreement, dated as of April 26, 2022, by and between the Company, the Selling Securityholder and the other parties thereto. Also represents 666,748 shares of Class A Common Stock issuable upon exercise of stock options issued pursuant to the Merger Agreement in exchange for SoundHound options granted on March 28, 2017. The shares subject to the option vested 100% at grant date. Dr. Majid Emami has served as a member of the Board since the Closing.</w:t>
      </w:r>
    </w:p>
    <w:p>
      <w:pPr>
        <w:spacing w:after="0" w:line="2" w:lineRule="exact"/>
        <w:rPr>
          <w:rFonts w:ascii="Arial" w:cs="Arial" w:eastAsia="Arial" w:hAnsi="Arial"/>
          <w:sz w:val="16"/>
          <w:szCs w:val="16"/>
          <w:color w:val="auto"/>
        </w:rPr>
      </w:pPr>
    </w:p>
    <w:p>
      <w:pPr>
        <w:jc w:val="both"/>
        <w:ind w:left="400" w:hanging="392"/>
        <w:spacing w:after="0" w:line="250"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35,188,205 shares of Class A Common Stock of SoundHound AI, Inc. Kamran Elahian has voting and investment control of the shares held by Global Catalyst Partners III, L.P. and may be deemed to beneficially own the securities owned directly by Global Catalyst Partners III, L.P. Kamran Elahian served as a member of the board of directors of SoundHound, Inc. prior to the Closing.</w:t>
      </w:r>
    </w:p>
    <w:p>
      <w:pPr>
        <w:spacing w:after="0" w:line="1" w:lineRule="exact"/>
        <w:rPr>
          <w:rFonts w:ascii="Arial" w:cs="Arial" w:eastAsia="Arial" w:hAnsi="Arial"/>
          <w:sz w:val="18"/>
          <w:szCs w:val="18"/>
          <w:color w:val="auto"/>
        </w:rPr>
      </w:pPr>
    </w:p>
    <w:p>
      <w:pPr>
        <w:jc w:val="both"/>
        <w:ind w:left="400" w:hanging="392"/>
        <w:spacing w:after="0" w:line="250"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4,512,588 shares of Class A Common Stock issuable upon conversion of 4,512,588 shares of Class B Common Stock of SoundHound AI. James Hom has served as a member of the Board since the Closing. These securities are being registered in accordance with the terms of an Amended and Restated Registration Rights Agreement, dated as of April 26, 2022, by and between the Company, the Selling Securityholder and the other parties thereto.</w:t>
      </w:r>
    </w:p>
    <w:p>
      <w:pPr>
        <w:spacing w:after="0" w:line="1" w:lineRule="exact"/>
        <w:rPr>
          <w:rFonts w:ascii="Arial" w:cs="Arial" w:eastAsia="Arial" w:hAnsi="Arial"/>
          <w:sz w:val="18"/>
          <w:szCs w:val="18"/>
          <w:color w:val="auto"/>
        </w:rPr>
      </w:pPr>
    </w:p>
    <w:p>
      <w:pPr>
        <w:ind w:left="400" w:hanging="392"/>
        <w:spacing w:after="0" w:line="250"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Marcus Family Trust, dated 7/8/04, is a trust, with Larry Marcus appointed as the trustee with investment authority. Larry Marcus has served as a member of the Board since the Closing.</w:t>
      </w:r>
    </w:p>
    <w:p>
      <w:pPr>
        <w:jc w:val="both"/>
        <w:ind w:left="400" w:hanging="392"/>
        <w:spacing w:after="0" w:line="265" w:lineRule="auto"/>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the issuance of (i) 416,718 shares of Class A Common Stock issuable upon exercise of stock options issued pursuant to the Merger Agreement in exchange for SoundHound options granted July 26, 2016 which are fully vested as of the date of this filing, (ii) 138,906 shares of Class A Common Stock issuable upon exercise of stock options issued pursuant to the Merger Agreement in exchange for SoundHound options granted on September 6, 2017 which are fully vested as of the date of this filing, (iii) 138,907 shares of Class A Common Stock issuable upon exercise of stock options issued pursuant to the Merger Agreement in exchange for SoundHound options granted on August 15, 2019; the shares subject to the option vested 25% of the shares on August 1, 2020 and the remainder vests in 36 equal monthly installments thereafter and (iv) 444,499 shares of Class A Common Stock issuable upon exercise of stock options issued pursuant to the Merger Agreement in exchange for SoundHound options granted on October 27, 2020; the shares subject to the option vest in 48 equal monthly installments beginning November 1, 2020. Michael Zagorsek served as the Chief Operating Officer of SoundHound, Inc. prior to the Closing.</w:t>
      </w:r>
    </w:p>
    <w:p>
      <w:pPr>
        <w:spacing w:after="0" w:line="1" w:lineRule="exact"/>
        <w:rPr>
          <w:rFonts w:ascii="Arial" w:cs="Arial" w:eastAsia="Arial" w:hAnsi="Arial"/>
          <w:sz w:val="17"/>
          <w:szCs w:val="17"/>
          <w:color w:val="auto"/>
        </w:rPr>
      </w:pPr>
    </w:p>
    <w:p>
      <w:pPr>
        <w:jc w:val="both"/>
        <w:ind w:left="400" w:hanging="392"/>
        <w:spacing w:after="0" w:line="265" w:lineRule="auto"/>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308,677 shares of Class A Common Stock of SoundHound AI, Inc., issuable upon exercise of options, issued pursuant to the Merger Agreement in exchange for SoundHound options granted on September 27, 2021. The shares subject to the option vested 25% of the shares on September 15, 2022 and the remainder vests in 36 equal monthly installments thereafter, subject to Mr. Nitesh’s continuous service through each such vesting date. Nitesh Sharan served as the Chief Financial Officer of SoundHound, Inc. prior to the Closing.</w:t>
      </w:r>
    </w:p>
    <w:p>
      <w:pPr>
        <w:ind w:left="400" w:hanging="392"/>
        <w:spacing w:after="0" w:line="250"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Ball Axline Living Trust, dated July 22, 2014, is a trust, with Dr. Eric Ball appointed as the trustee with investment authority. Dr. Eric Ball has served as a member of the Board since the Closing.</w:t>
      </w:r>
    </w:p>
    <w:p>
      <w:pPr>
        <w:jc w:val="both"/>
        <w:ind w:left="400" w:hanging="392"/>
        <w:spacing w:after="0" w:line="281"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issuance of (i) 725,964 Class A Shares in exchange for securities of SoundHound, Inc. pursuant to the Merger Agreement (ii) 222,250 shares of Class A Common Stock issuable upon exercise of stock options issued pursuant to the Merger Agreement in exchange for SoundHound options granted on May19, 2015 which vested 100% at grant date, (iii) 416,719 shares of Class A Common Stock issuable upon exercise of stock options issued pursuant to the Merger Agreement in exchange for SoundHound options granted on December 15, 2016 which are fully vested as of the date of this filing and (iv) 166,688 shares of Class A Common Stock issuable upon exercise of stock options issued pursuant to the Merger Agreement in exchange for SoundHound options granted on August 15, 2019. The shares subject to the option vested 25% of the shares on January 8, 2019 and the remainder vests in 36 equal monthly installments thereafter, subject to Mr. Stonehocker’s continuous service through each such vesting date. Timothy Stonehocker served as the Chief Technology Officer of SoundHound, Inc. prior to the Closing.</w:t>
      </w:r>
    </w:p>
    <w:p>
      <w:pPr>
        <w:spacing w:after="0" w:line="4" w:lineRule="exact"/>
        <w:rPr>
          <w:rFonts w:ascii="Arial" w:cs="Arial" w:eastAsia="Arial" w:hAnsi="Arial"/>
          <w:sz w:val="16"/>
          <w:szCs w:val="16"/>
          <w:color w:val="auto"/>
        </w:rPr>
      </w:pPr>
    </w:p>
    <w:p>
      <w:pPr>
        <w:jc w:val="both"/>
        <w:ind w:left="400" w:hanging="392"/>
        <w:spacing w:after="0" w:line="250"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525,650 shares of Class A Common Stock of SoundHound AI, Inc. Larry Marcus has voting and investment control of the shares held by Walden Sprout Opportunities Fund-A, LLC and may be deemed to beneficially own the securities owned directly by Walden Sprout Opportunities Fund-A, LLC. Larry Marcus has served as a member of the Board since the Closing.</w:t>
      </w:r>
    </w:p>
    <w:p>
      <w:pPr>
        <w:spacing w:after="0" w:line="1" w:lineRule="exact"/>
        <w:rPr>
          <w:rFonts w:ascii="Arial" w:cs="Arial" w:eastAsia="Arial" w:hAnsi="Arial"/>
          <w:sz w:val="18"/>
          <w:szCs w:val="18"/>
          <w:color w:val="auto"/>
        </w:rPr>
      </w:pPr>
    </w:p>
    <w:p>
      <w:pPr>
        <w:jc w:val="both"/>
        <w:ind w:left="400" w:hanging="392"/>
        <w:spacing w:after="0" w:line="255"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205,787 shares of Class A Common Stock issuable upon exercise of stock options issued pursuant to the Merger Agreement in exchange for SoundHound options granted September 27, 2021 which vest quarterly over 4 years. Zubin Irani served as the Chief Revenue Officer of SoundHound, Inc. prior to the Closing.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 Note About this Offering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prospectus relates (i) the offer and resale of an aggregate of up to 55,999,499 shares of Class A Shares of the Company held by Selling Securityholders (representing 22.2% of the total number of shares of Class A Common Stock outstanding on a fully diluted basis), including (a) the PIPE Shares issued at $10.00 per share, (b) securities held by our officers, directors and their affiliates which were originally issued as (1) founder shares in connection with ATSP’s IPO for approximately $0.009 per share and (2) as part of placement units in connection with ATSP’s IPO at a price of $10.00 per placement unit, and (c)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(ii) the resale by certain of our affiliates from time to time of up to 39,735,408 Class A Shares (representing approximately 15.8% of the total number of shares of Class A Common Stock outstanding on a fully diluted basis) issuable upon conversion of Class B Shares issued pursuant to the Merger Agreement in connection with the Business Combination as merger consideration at an acquiror share value of $0.0073 per share, (iii) 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and (iv) the issuance by us of up to 3,457,996 Class A Shares upon the exercise of outstanding Warrants to purchase our Class A Shares at an exercise price of $11.50, which were originally issued as part of the units in connection with ATSP’s IPO at a price of $10.00 per unit.</w:t>
      </w:r>
    </w:p>
    <w:p>
      <w:pPr>
        <w:spacing w:after="0" w:line="17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Even if the trading price of our Class A Common Stock is significantly below $10.00, the offering price for the units offered in ATSP’s IPO, certain of the selling securityholders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and receive a positive rate of return due to the lower price that they purchased or received their shares than the public investors, who may not experience a similar rate of return on the securities they purchased due to differences in the purchase prices and the current trading price.</w:t>
      </w:r>
    </w:p>
    <w:p>
      <w:pPr>
        <w:spacing w:after="0" w:line="16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Based on the closing price of our Class A Common Stock of $2.57 as of May 1, 2023, holders of (i) 55,999,499 shares of Class A Common Stock of SoundHound AI held by Selling Securityholders, including the PIPE Shares issued at $10.00 per share would be expected to earn a potential loss of $7.43 per share (exclusive of the value of any other securities issued in the original transaction), securities held by our officers, directors and their affiliates (which were originally issued as founder shares in connection with ATSP’s IPO for approximately $0.009 would be expected to earn a potential profit of $2.56 per share, and as part of placement units in connection with ATSP’s IPO at a price of $10.00 per placement unit would be expected to earn a potential loss of $7.43 per share (exclusive of the value of any other securities issued in the original transaction)),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would be expected to earn a potential profit, upon exercise, of $0.48 per share, (ii) the resale by certain of our affiliates from time to time of up to 39,735,408 Class A Shares (representing approximately 15.8% of the total number of shares of Class A Common Stock outstanding on a fully diluted basis) issuable upon conversion of shares of Class B Common Stock issued pursuant to the Merger Agreement in connection with the Business Combination as merger consideration at an acquiror share value of $0.0073 per share would be expected to earn a potential profit of $2.56 per share, (iii) the resale from time to time of up to 174,750 Placement Warrants, each exercisable for one share of Class A Common Stock at a price of $11.50, subject to adjustment, which were originally issued as part of placement units in connection with ATSP’s IPO at a price of $10.00 per placement unit, would be expected to earn upon exercise a potential loss of $7.43 per share (exclusive of the value of any other securities issued in the original transaction) and (iv) the issuance by us of up to 3,457,996 Class A Shares upon the exercise of outstanding Warrants to purchase our Class A Shares at an exercise price of $11.50 (upon exercise representing approximately 1.4% of the total number of shares of Class A Common Stock outstanding on a fully diluted basis), as part of the units in connection with ATSP’s IPO at a price of $10.00 per unit, would be expected to earn upon exercise a potential loss of $7.43 per share (exclusive of the value of any other securities issued in the original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discussion is a summary of certain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Class A Common Stock or Warrants as part of a straddle, hedge, conversion, or other integrated transaction for U.S. federal income tax purposes, expatriates or former long-term residents of the United States, or investors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Code, and that acquire our Class A Common Stock and Warrants for cash pursuant to this prospectus.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summary, a “U.S. Holder” is a beneficial holder of securities who or that, for U.S. federal income tax purposes is: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 is a United States citizen or resident of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United States federal income tax purposes regardless of its source;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“non-U.S. Holder” is a beneficial holder of securities who or that is neither a U.S. Holder nor an entity or arrangement treated as a partnership for U.S. federal income tax purposes.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capital stock or rights to acquire our capital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w:t>
      </w:r>
      <w:r>
        <w:rPr>
          <w:rFonts w:ascii="Arial" w:cs="Arial" w:eastAsia="Arial" w:hAnsi="Arial"/>
          <w:sz w:val="18"/>
          <w:szCs w:val="18"/>
          <w:i w:val="1"/>
          <w:iCs w:val="1"/>
          <w:color w:val="auto"/>
        </w:rPr>
        <w:t>U.S. Holders — Gain or Loss on Sale, Taxable Exchange or Other Taxable Disposition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Class A Common Stock</w:t>
      </w:r>
      <w:r>
        <w:rPr>
          <w:rFonts w:ascii="Arial" w:cs="Arial" w:eastAsia="Arial" w:hAnsi="Arial"/>
          <w:sz w:val="18"/>
          <w:szCs w:val="18"/>
          <w:color w:val="auto"/>
        </w:rPr>
        <w:t>” below.</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Class A Common Stock</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The deductibility of capital losses is subject to limitations.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a Warrant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upon the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initial tax basis in the Class A Common Stock received generally should equal the holder’s adjusted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in either case, the holding period would not include the period during which the U.S. Holder held the warrant. If, instead, the cashless exercise were treated as a recapitalization, the holding period of the Class A Common Stock generally would include the holding period of the warrant.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324"/>
        <w:spacing w:after="0" w:line="269" w:lineRule="auto"/>
        <w:rPr>
          <w:sz w:val="20"/>
          <w:szCs w:val="20"/>
          <w:color w:val="auto"/>
        </w:rPr>
      </w:pPr>
      <w:r>
        <w:rPr>
          <w:rFonts w:ascii="Arial" w:cs="Arial" w:eastAsia="Arial" w:hAnsi="Arial"/>
          <w:sz w:val="17"/>
          <w:szCs w:val="17"/>
          <w:color w:val="auto"/>
        </w:rPr>
        <w:t>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warrants. In this case, a U.S. Holder’s initial tax basis in the Class A Common Stock received would equal the sum of the exercise price and the U.S. holder’s adjusted tax basis in the warrants exercised. It is unclear whether a U.S. Holder’s holding period for the Class A Common Stock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Class A Common Stock received, U.S. Holders are urged to consult their tax advisors regarding the tax consequences of a cashless exercise.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Redemption or Expiration of a Warrant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w:t>
      </w:r>
      <w:r>
        <w:rPr>
          <w:rFonts w:ascii="Arial" w:cs="Arial" w:eastAsia="Arial" w:hAnsi="Arial"/>
          <w:sz w:val="16"/>
          <w:szCs w:val="16"/>
          <w:i w:val="1"/>
          <w:iCs w:val="1"/>
          <w:color w:val="auto"/>
        </w:rPr>
        <w:t>U.S. Holders — Possible Constructive Distributions</w:t>
      </w:r>
      <w:r>
        <w:rPr>
          <w:rFonts w:ascii="Arial" w:cs="Arial" w:eastAsia="Arial" w:hAnsi="Arial"/>
          <w:sz w:val="16"/>
          <w:szCs w:val="16"/>
          <w:color w:val="auto"/>
        </w:rPr>
        <w:t>”). Such gain or loss generally will be treated as long-term capital gain or loss if the warrant is held by the U.S. Holder for more than one year at the time of such disposition or expiration. If a warrant is allowed to lapse unexercised, a U.S. Holder will generally recognize a capital loss equal to such holder’s adjusted tax basis in the warrant. The deductibility of capital losses is subject to certain limitations.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redemption of warrants for Class A Common Stock described in this prospectus under “</w:t>
      </w:r>
      <w:r>
        <w:rPr>
          <w:rFonts w:ascii="Arial" w:cs="Arial" w:eastAsia="Arial" w:hAnsi="Arial"/>
          <w:sz w:val="18"/>
          <w:szCs w:val="18"/>
          <w:i w:val="1"/>
          <w:iCs w:val="1"/>
          <w:color w:val="auto"/>
        </w:rPr>
        <w:t>Description of Capital Stock — Warrants</w:t>
      </w:r>
      <w:r>
        <w:rPr>
          <w:rFonts w:ascii="Arial" w:cs="Arial" w:eastAsia="Arial" w:hAnsi="Arial"/>
          <w:sz w:val="18"/>
          <w:szCs w:val="18"/>
          <w:color w:val="auto"/>
        </w:rPr>
        <w:t>” should be treated as a “recapitalization” for U.S. federal income tax purposes. Accordingly, you should not recognize any gain or loss on the redemption of warrants for shares of our Class A Common Stock. Your aggregate initial tax basis in the shares of Class A Common Stock received in the redemption should equal your aggregate adjusted tax basis in your warrants redeemed and your holding period for the shares of Class A Common Stock received in redemption of your warrants should include your holding period for your surrendered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above under “</w:t>
      </w:r>
      <w:r>
        <w:rPr>
          <w:rFonts w:ascii="Arial" w:cs="Arial" w:eastAsia="Arial" w:hAnsi="Arial"/>
          <w:sz w:val="16"/>
          <w:szCs w:val="16"/>
          <w:i w:val="1"/>
          <w:iCs w:val="1"/>
          <w:color w:val="auto"/>
        </w:rPr>
        <w:t>U.S. Holders — Taxation of Distributions</w:t>
      </w:r>
      <w:r>
        <w:rPr>
          <w:rFonts w:ascii="Arial" w:cs="Arial" w:eastAsia="Arial" w:hAnsi="Arial"/>
          <w:sz w:val="16"/>
          <w:szCs w:val="16"/>
          <w:color w:val="auto"/>
        </w:rPr>
        <w:t>” in the same manner as if such U.S. Holder received a cash distribution from us on Class A Common Stock equal to the fair market value of such increased interest.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w:t>
      </w:r>
      <w:r>
        <w:rPr>
          <w:rFonts w:ascii="Arial" w:cs="Arial" w:eastAsia="Arial" w:hAnsi="Arial"/>
          <w:sz w:val="16"/>
          <w:szCs w:val="16"/>
          <w:i w:val="1"/>
          <w:iCs w:val="1"/>
          <w:color w:val="auto"/>
        </w:rPr>
        <w:t>Non-U.S. Holders — Possible Constructive Distributions</w:t>
      </w:r>
      <w:r>
        <w:rPr>
          <w:rFonts w:ascii="Arial" w:cs="Arial" w:eastAsia="Arial" w:hAnsi="Arial"/>
          <w:sz w:val="16"/>
          <w:szCs w:val="16"/>
          <w:color w:val="auto"/>
        </w:rPr>
        <w:t>”), it is possible that this tax would be withheld from any amount owed to a non-U.S. Holder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Arial" w:cs="Arial" w:eastAsia="Arial" w:hAnsi="Arial"/>
          <w:sz w:val="16"/>
          <w:szCs w:val="16"/>
          <w:i w:val="1"/>
          <w:iCs w:val="1"/>
          <w:color w:val="auto"/>
        </w:rPr>
        <w:t>Non-U.S. Holders — Gain on Sale, Taxable Exchange or</w:t>
      </w:r>
      <w:r>
        <w:rPr>
          <w:rFonts w:ascii="Arial" w:cs="Arial" w:eastAsia="Arial" w:hAnsi="Arial"/>
          <w:sz w:val="16"/>
          <w:szCs w:val="16"/>
          <w:color w:val="auto"/>
        </w:rPr>
        <w:t xml:space="preserve"> </w:t>
      </w:r>
      <w:r>
        <w:rPr>
          <w:rFonts w:ascii="Arial" w:cs="Arial" w:eastAsia="Arial" w:hAnsi="Arial"/>
          <w:sz w:val="16"/>
          <w:szCs w:val="16"/>
          <w:i w:val="1"/>
          <w:iCs w:val="1"/>
          <w:color w:val="auto"/>
        </w:rPr>
        <w:t>Other Taxable Disposition of Class A Common Stock and Warrants</w:t>
      </w:r>
      <w:r>
        <w:rPr>
          <w:rFonts w:ascii="Arial" w:cs="Arial" w:eastAsia="Arial" w:hAnsi="Arial"/>
          <w:sz w:val="16"/>
          <w:szCs w:val="16"/>
          <w:color w:val="auto"/>
        </w:rPr>
        <w:t>” below. In addition, if we determine that we are likely to be classified as a</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real property holding corporation” (see “</w:t>
      </w:r>
      <w:r>
        <w:rPr>
          <w:rFonts w:ascii="Arial" w:cs="Arial" w:eastAsia="Arial" w:hAnsi="Arial"/>
          <w:sz w:val="16"/>
          <w:szCs w:val="16"/>
          <w:i w:val="1"/>
          <w:iCs w:val="1"/>
          <w:color w:val="auto"/>
        </w:rPr>
        <w:t>Non-U.S. Holders — Gain on Sale, Exchange or Other Taxable Disposition of Class A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 and Warrants</w:t>
      </w:r>
      <w:r>
        <w:rPr>
          <w:rFonts w:ascii="Arial" w:cs="Arial" w:eastAsia="Arial" w:hAnsi="Arial"/>
          <w:sz w:val="16"/>
          <w:szCs w:val="16"/>
          <w:color w:val="auto"/>
        </w:rPr>
        <w:t>” below), we will withhold 15% of any distribution that exceeds our current and accumulated earnings and profits.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a Warrant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federal income tax treatment of a non-U.S. Holder’s exercise of a warrant will generally correspond to the U.S. federal income tax treatment of the exercise of a warrant by a U.S. Holder, as described under “</w:t>
      </w:r>
      <w:r>
        <w:rPr>
          <w:rFonts w:ascii="Arial" w:cs="Arial" w:eastAsia="Arial" w:hAnsi="Arial"/>
          <w:sz w:val="18"/>
          <w:szCs w:val="18"/>
          <w:i w:val="1"/>
          <w:iCs w:val="1"/>
          <w:color w:val="auto"/>
        </w:rPr>
        <w:t>U.S. Holders — Exercise of a Warrant</w:t>
      </w:r>
      <w:r>
        <w:rPr>
          <w:rFonts w:ascii="Arial" w:cs="Arial" w:eastAsia="Arial" w:hAnsi="Arial"/>
          <w:sz w:val="18"/>
          <w:szCs w:val="18"/>
          <w:color w:val="auto"/>
        </w:rPr>
        <w:t>” above, although to the extent a cashless exercise results in a taxable exchange, the tax consequences to the non-U.S. Holder would be the same as those described below in “</w:t>
      </w:r>
      <w:r>
        <w:rPr>
          <w:rFonts w:ascii="Arial" w:cs="Arial" w:eastAsia="Arial" w:hAnsi="Arial"/>
          <w:sz w:val="18"/>
          <w:szCs w:val="18"/>
          <w:i w:val="1"/>
          <w:iCs w:val="1"/>
          <w:color w:val="auto"/>
        </w:rPr>
        <w:t>Non-U.S. Holders — Gain on</w:t>
      </w:r>
      <w:r>
        <w:rPr>
          <w:rFonts w:ascii="Arial" w:cs="Arial" w:eastAsia="Arial" w:hAnsi="Arial"/>
          <w:sz w:val="18"/>
          <w:szCs w:val="18"/>
          <w:color w:val="auto"/>
        </w:rPr>
        <w:t xml:space="preserve"> </w:t>
      </w:r>
      <w:r>
        <w:rPr>
          <w:rFonts w:ascii="Arial" w:cs="Arial" w:eastAsia="Arial" w:hAnsi="Arial"/>
          <w:sz w:val="18"/>
          <w:szCs w:val="18"/>
          <w:i w:val="1"/>
          <w:iCs w:val="1"/>
          <w:color w:val="auto"/>
        </w:rPr>
        <w:t>Sale, Exchange or Other Taxable Disposition of Class A Common Stock and Warrants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Class A Common Stock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redemption of Warrants for Class A Common Stock described in this prospectus under “</w:t>
      </w:r>
      <w:r>
        <w:rPr>
          <w:rFonts w:ascii="Arial" w:cs="Arial" w:eastAsia="Arial" w:hAnsi="Arial"/>
          <w:sz w:val="18"/>
          <w:szCs w:val="18"/>
          <w:i w:val="1"/>
          <w:iCs w:val="1"/>
          <w:color w:val="auto"/>
        </w:rPr>
        <w:t>Description of Capital Stock — Warrants</w:t>
      </w:r>
      <w:r>
        <w:rPr>
          <w:rFonts w:ascii="Arial" w:cs="Arial" w:eastAsia="Arial" w:hAnsi="Arial"/>
          <w:sz w:val="18"/>
          <w:szCs w:val="18"/>
          <w:color w:val="auto"/>
        </w:rPr>
        <w:t>” should be treated as a “recapitalization” for U.S. federal income tax purposes. Accordingly, you should not recognize any gain or loss on the redemption of warrants for shares of our Class A Common Stock. Your aggregate initial tax basis in the shares of Class A Common Stock received in the redemption should equal your aggregate adjusted tax basis in your warrants redeemed and your holding period for the shares of Class A Common Stock received in redemption of your warrants should include your holding period for your surrendered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Gain on Sale, Exchange or Other Taxable Disposition of Class A Common Stock and Warrants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170"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third bullet point above applies to a non-U.S. Holder and applicable exceptions are not available,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as described above under “</w:t>
      </w:r>
      <w:r>
        <w:rPr>
          <w:rFonts w:ascii="Arial" w:cs="Arial" w:eastAsia="Arial" w:hAnsi="Arial"/>
          <w:sz w:val="17"/>
          <w:szCs w:val="17"/>
          <w:i w:val="1"/>
          <w:iCs w:val="1"/>
          <w:color w:val="auto"/>
        </w:rPr>
        <w:t>Non-U.S. Holders — Taxation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Distributions</w:t>
      </w:r>
      <w:r>
        <w:rPr>
          <w:rFonts w:ascii="Arial" w:cs="Arial" w:eastAsia="Arial" w:hAnsi="Arial"/>
          <w:sz w:val="17"/>
          <w:szCs w:val="17"/>
          <w:color w:val="auto"/>
        </w:rPr>
        <w:t>” under that section in the same manner as if such non-U.S. Holder received a cash distribution from us on Class A Common Stock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market value of such increased interest.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Foreign Account Tax Compliance Act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w:t>
      </w:r>
    </w:p>
    <w:p>
      <w:pPr>
        <w:spacing w:after="0" w:line="2" w:lineRule="exact"/>
        <w:rPr>
          <w:sz w:val="20"/>
          <w:szCs w:val="20"/>
          <w:color w:val="auto"/>
        </w:rPr>
      </w:pPr>
    </w:p>
    <w:p>
      <w:pPr>
        <w:jc w:val="both"/>
        <w:ind w:firstLine="8"/>
        <w:spacing w:after="0" w:line="281" w:lineRule="auto"/>
        <w:tabs>
          <w:tab w:leader="none" w:pos="29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w:t>
      </w:r>
    </w:p>
    <w:p>
      <w:pPr>
        <w:spacing w:after="0" w:line="4" w:lineRule="exact"/>
        <w:rPr>
          <w:rFonts w:ascii="Arial" w:cs="Arial" w:eastAsia="Arial" w:hAnsi="Arial"/>
          <w:sz w:val="16"/>
          <w:szCs w:val="16"/>
          <w:color w:val="auto"/>
        </w:rPr>
      </w:pPr>
    </w:p>
    <w:p>
      <w:pPr>
        <w:jc w:val="both"/>
        <w:ind w:firstLine="8"/>
        <w:spacing w:after="0" w:line="290" w:lineRule="auto"/>
        <w:tabs>
          <w:tab w:leader="none" w:pos="2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Information returns will be filed with the IRS in connection with payments of dividends and the proceeds from a sale or other disposition of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by the Selling Securityholders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Selling Securityholder of the securities and any of their pledgees, assignees and successors-in-interest may, from time to time, sell any or all of their securities covered hereby on the Nasdaq Global Market or any other stock exchange, market or trading facility on which the securities are traded or in private transactions. These sales may be at fixed or negotiated prices.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equal to the aggregate exercise price from any exercises of the Warrants, assuming the exercise of the Warrants for cash.</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Upon effectiveness of the registration statement of which this prospectus forms a part, the securities beneficially owned by the Selling Securityholders covered by this prospectus may be offered and sold from time to time by the Selling Securityholders, subject to any applicable lock up agreements or other applicable restrictions. The term “Selling Securityholders” includes donees, pledgees, transferees or other successors in interest selling securities received after the date of this prospectus from a Selling Securityholder as a gift, pledge, partnership or limited liability company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Securityholders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Selling Securityholder may use any one or more of the following methods when selling securities: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 Stock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stockholders of the Selling Securityholders;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options transactions;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through a combination of any of the above methods of sale, as described below, or any other method permitted pursuant to applicable law.</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Selling Securityholders may also sell securities under Rule 144 or any other exemption from registration under the Securities Act of 1933, as amended (the “Securities Act”), if available, rather than under this prospectus.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a Selling Securityholder that is an entity may elect to make an in-kind distribution of securities to its members, partners or stockholders pursuant to the registration statement of which this prospectus is a part by delivering a prospectus with a plan of distribution.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324"/>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Securityholders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Offering by the Company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statements of SoundHound, Inc. as of and for the years ended December 31, 2022 and 2021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You can read our SEC filings, including the registration statement, over the Internet at the SEC’s website at </w:t>
      </w:r>
      <w:r>
        <w:rPr>
          <w:rFonts w:ascii="Arial" w:cs="Arial" w:eastAsia="Arial" w:hAnsi="Arial"/>
          <w:sz w:val="18"/>
          <w:szCs w:val="18"/>
          <w:i w:val="1"/>
          <w:iCs w:val="1"/>
          <w:color w:val="auto"/>
        </w:rPr>
        <w:t>www.sec.gov</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by which you may access these materials free of charge as soon as reasonably practicable after they are electronically filed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SEC. The information that is contained on, or that may be accessed through, our website is not a part of this prospectus. We have included our website in this prospectus solely as an inactive textual reference.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spacing w:after="0" w:line="17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28, 2023;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12, 2023;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Our Current Reports on Form 8-K filed with the SEC on </w:t>
      </w:r>
      <w:hyperlink r:id="rId60">
        <w:r>
          <w:rPr>
            <w:rFonts w:ascii="Arial" w:cs="Arial" w:eastAsia="Arial" w:hAnsi="Arial"/>
            <w:sz w:val="16"/>
            <w:szCs w:val="16"/>
            <w:u w:val="single" w:color="auto"/>
            <w:color w:val="0000EE"/>
          </w:rPr>
          <w:t>January 11, 2023</w:t>
        </w:r>
      </w:hyperlink>
      <w:r>
        <w:rPr>
          <w:rFonts w:ascii="Arial" w:cs="Arial" w:eastAsia="Arial" w:hAnsi="Arial"/>
          <w:sz w:val="16"/>
          <w:szCs w:val="16"/>
          <w:color w:val="auto"/>
        </w:rPr>
        <w:t xml:space="preserve">, </w:t>
      </w:r>
      <w:hyperlink r:id="rId61">
        <w:r>
          <w:rPr>
            <w:rFonts w:ascii="Arial" w:cs="Arial" w:eastAsia="Arial" w:hAnsi="Arial"/>
            <w:sz w:val="16"/>
            <w:szCs w:val="16"/>
            <w:u w:val="single" w:color="auto"/>
            <w:color w:val="0000EE"/>
          </w:rPr>
          <w:t>January 24, 2023</w:t>
        </w:r>
      </w:hyperlink>
      <w:r>
        <w:rPr>
          <w:rFonts w:ascii="Arial" w:cs="Arial" w:eastAsia="Arial" w:hAnsi="Arial"/>
          <w:sz w:val="16"/>
          <w:szCs w:val="16"/>
          <w:color w:val="auto"/>
        </w:rPr>
        <w:t xml:space="preserve">, </w:t>
      </w:r>
      <w:hyperlink r:id="rId62">
        <w:r>
          <w:rPr>
            <w:rFonts w:ascii="Arial" w:cs="Arial" w:eastAsia="Arial" w:hAnsi="Arial"/>
            <w:sz w:val="16"/>
            <w:szCs w:val="16"/>
            <w:u w:val="single" w:color="auto"/>
            <w:color w:val="0000EE"/>
          </w:rPr>
          <w:t>March 7, 2023</w:t>
        </w:r>
      </w:hyperlink>
      <w:r>
        <w:rPr>
          <w:rFonts w:ascii="Arial" w:cs="Arial" w:eastAsia="Arial" w:hAnsi="Arial"/>
          <w:sz w:val="16"/>
          <w:szCs w:val="16"/>
          <w:color w:val="auto"/>
        </w:rPr>
        <w:t xml:space="preserve">, </w:t>
      </w:r>
      <w:hyperlink r:id="rId63">
        <w:r>
          <w:rPr>
            <w:rFonts w:ascii="Arial" w:cs="Arial" w:eastAsia="Arial" w:hAnsi="Arial"/>
            <w:sz w:val="16"/>
            <w:szCs w:val="16"/>
            <w:u w:val="single" w:color="auto"/>
            <w:color w:val="0000EE"/>
          </w:rPr>
          <w:t>April 17, 2023</w:t>
        </w:r>
      </w:hyperlink>
      <w:r>
        <w:rPr>
          <w:rFonts w:ascii="Arial" w:cs="Arial" w:eastAsia="Arial" w:hAnsi="Arial"/>
          <w:sz w:val="16"/>
          <w:szCs w:val="16"/>
          <w:color w:val="auto"/>
        </w:rPr>
        <w:t xml:space="preserve">, and </w:t>
      </w:r>
      <w:hyperlink r:id="rId64">
        <w:r>
          <w:rPr>
            <w:rFonts w:ascii="Arial" w:cs="Arial" w:eastAsia="Arial" w:hAnsi="Arial"/>
            <w:sz w:val="16"/>
            <w:szCs w:val="16"/>
            <w:u w:val="single" w:color="auto"/>
            <w:color w:val="0000EE"/>
          </w:rPr>
          <w:t>May 5, 2023</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7" w:lineRule="exact"/>
        <w:rPr>
          <w:rFonts w:ascii="Arial" w:cs="Arial" w:eastAsia="Arial" w:hAnsi="Arial"/>
          <w:sz w:val="16"/>
          <w:szCs w:val="16"/>
          <w:color w:val="auto"/>
        </w:rPr>
      </w:pPr>
    </w:p>
    <w:p>
      <w:pPr>
        <w:jc w:val="both"/>
        <w:ind w:firstLine="324"/>
        <w:spacing w:after="0" w:line="271" w:lineRule="auto"/>
        <w:rPr>
          <w:sz w:val="20"/>
          <w:szCs w:val="20"/>
          <w:color w:val="auto"/>
        </w:rPr>
      </w:pPr>
      <w:r>
        <w:rPr>
          <w:rFonts w:ascii="Arial" w:cs="Arial" w:eastAsia="Arial" w:hAnsi="Arial"/>
          <w:sz w:val="17"/>
          <w:szCs w:val="17"/>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78" w:lineRule="exact"/>
        <w:rPr>
          <w:rFonts w:ascii="Arial" w:cs="Arial" w:eastAsia="Arial" w:hAnsi="Arial"/>
          <w:sz w:val="16"/>
          <w:szCs w:val="16"/>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You may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Information about us is also available at our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However, the information in our website is not a part of this prospectus and is not incorporated by reference.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55,999,499 Shares of Class A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39,735,408 Shares of Class A Common Stock Underlying Shares of Class B Common Stock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174,750 Placement 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3,457,996 Shares of Class A Common Stock 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691515</wp:posOffset>
            </wp:positionV>
            <wp:extent cx="17830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9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w w:val="96"/>
              </w:rPr>
              <w:t>The date of this Prospectus is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paying all expenses of the offering. The following table sets forth all expenses to be paid by the registrant. All amounts shown are estimates except for the registration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0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r>
      <w:tr>
        <w:trPr>
          <w:trHeight w:val="263"/>
        </w:trPr>
        <w:tc>
          <w:tcPr>
            <w:tcW w:w="100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90,383</w:t>
            </w:r>
          </w:p>
        </w:tc>
        <w:tc>
          <w:tcPr>
            <w:tcW w:w="100" w:type="dxa"/>
            <w:vAlign w:val="bottom"/>
          </w:tcPr>
          <w:p>
            <w:pPr>
              <w:spacing w:after="0"/>
              <w:rPr>
                <w:sz w:val="22"/>
                <w:szCs w:val="22"/>
                <w:color w:val="auto"/>
              </w:rPr>
            </w:pPr>
          </w:p>
        </w:tc>
      </w:tr>
      <w:tr>
        <w:trPr>
          <w:trHeight w:val="20"/>
        </w:trPr>
        <w:tc>
          <w:tcPr>
            <w:tcW w:w="10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Previously paid.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Charter and our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Charter also authorizes us to indemnify our officers, directors and other agents to the fullest extent permitted under Delaware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permitted by Section 145 of the Delaware General Corporation Law, our Bylaws provide that:</w:t>
      </w:r>
    </w:p>
    <w:p>
      <w:pPr>
        <w:spacing w:after="0" w:line="225"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provided in our Bylaws are not exclusive.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324"/>
        <w:spacing w:after="0" w:line="271" w:lineRule="auto"/>
        <w:rPr>
          <w:sz w:val="20"/>
          <w:szCs w:val="20"/>
          <w:color w:val="auto"/>
        </w:rPr>
      </w:pPr>
      <w:r>
        <w:rPr>
          <w:rFonts w:ascii="Arial" w:cs="Arial" w:eastAsia="Arial" w:hAnsi="Arial"/>
          <w:sz w:val="17"/>
          <w:szCs w:val="17"/>
          <w:color w:val="auto"/>
        </w:rPr>
        <w:t>Our Charter and our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has purchased and currently intends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1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26, 2022, we consummated the sale of an aggregate of 11,300,000 PIPE Shares, for a purchase price of $10.00 per share and an aggregate purchase price of $113,000,000. The PIPE Shares are identical to the shares of Class A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or around January 20, 2023, the Company entered into Preferred Stock Purchase Agreements (the “PS Purchase Agreements”) with certain investors (the “PS Investors”) pursuant to which the Company issued and sold to the PS Investors an aggregate of 835,011 shares of its newly designated Series A Preferred Stock for an aggregate issue price of approximately $25.0 million. The PS Purchase Agreements contain customary representations, warranties and covenants. The shares of Series A Preferred Stock were issued and sold in a private placement exempt from the registration requirements of the Securities Act pursuant to Section 4(a)(2) therein. The Company does not intend to register the shares of Series A Preferred Stock or the underlying common stock for resale under the Securities Act.</w:t>
      </w:r>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In connection with the Credit Agreement, on the Term Loan Closing Date the Company also issued a warrant to purchase up to 3,301,536 shares of Class A Common Stock to the Agent (the “ACP Warrant”). The ACP Warrant has a per share exercise price of $2.59 and may be exercised, including on a cashless basis, by the holder at any time prior to the 10-year anniversary of the issue date. The ACP Warrant will be automatically cashless exercised immediately prior to a change in control of the Company. The Company issued and sold the ACP Warrant in reliance on the exemption from the registration requirements of the Securities Act by virtue of Section 4(a)(2) thereof. In connection with its execution of the ACP Warrant, the Agent represented to the Company that it is an “accredited investor” as defined in Regulation D under the Securities Act and that the Warrant, and the shares of Class A Common Stock underlying the ACP Warrant, will be acquired solely for its own account and for investment purposes and not with a view to future sale or distribution.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16. Exhibits.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with this Registration Statement.</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agreements included or incorporated by reference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undersigned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Incorporated by Reference</w:t>
            </w:r>
          </w:p>
        </w:tc>
      </w:tr>
      <w:tr>
        <w:trPr>
          <w:trHeight w:val="223"/>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gridSpan w:val="20"/>
          </w:tcPr>
          <w:p>
            <w:pPr>
              <w:ind w:left="460"/>
              <w:spacing w:after="0"/>
              <w:rPr>
                <w:sz w:val="20"/>
                <w:szCs w:val="20"/>
                <w:color w:val="auto"/>
              </w:rPr>
            </w:pPr>
            <w:r>
              <w:rPr>
                <w:rFonts w:ascii="Arial" w:cs="Arial" w:eastAsia="Arial" w:hAnsi="Arial"/>
                <w:sz w:val="18"/>
                <w:szCs w:val="18"/>
                <w:b w:val="1"/>
                <w:bCs w:val="1"/>
                <w:color w:val="auto"/>
              </w:rPr>
              <w:t>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176"/>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60" w:type="dxa"/>
            <w:vAlign w:val="bottom"/>
            <w:tcBorders>
              <w:top w:val="single" w:sz="8" w:color="auto"/>
            </w:tcBorders>
            <w:gridSpan w:val="24"/>
            <w:shd w:val="clear" w:color="auto" w:fill="CCEEFF"/>
          </w:tcPr>
          <w:p>
            <w:pPr>
              <w:spacing w:after="0" w:line="17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Merger Agreement dated as of November 15, 2021 by and among Archimedes Tech</w:t>
              </w:r>
            </w:hyperlink>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November 16, 2021</w:t>
            </w: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920" w:type="dxa"/>
            <w:vAlign w:val="bottom"/>
            <w:tcBorders>
              <w:top w:val="single" w:sz="8" w:color="0000EE"/>
              <w:bottom w:val="single" w:sz="8" w:color="0000EE"/>
            </w:tcBorders>
            <w:gridSpan w:val="22"/>
            <w:shd w:val="clear" w:color="auto" w:fill="CCEEFF"/>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SPAC Partners Co., ATSPC Merger Sub, Inc. and SoundHound, Inc.</w:t>
              </w:r>
            </w:hyperlink>
          </w:p>
        </w:tc>
        <w:tc>
          <w:tcPr>
            <w:tcW w:w="136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w w:val="96"/>
              </w:rPr>
            </w:pPr>
            <w:hyperlink r:id="rId72">
              <w:r>
                <w:rPr>
                  <w:rFonts w:ascii="Arial" w:cs="Arial" w:eastAsia="Arial" w:hAnsi="Arial"/>
                  <w:sz w:val="18"/>
                  <w:szCs w:val="18"/>
                  <w:color w:val="0000EE"/>
                  <w:w w:val="96"/>
                </w:rPr>
                <w:t>Second Amended and Restated Certificate of Incorporation of SoundHound AI, Inc.</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90"/>
              <w:spacing w:after="0" w:line="17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2"/>
              </w:rPr>
              <w:t>May 2, 2022</w:t>
            </w: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Amended and Restated Bylaws of SoundHound AI, Inc.</w:t>
              </w:r>
            </w:hyperlink>
          </w:p>
        </w:tc>
        <w:tc>
          <w:tcPr>
            <w:tcW w:w="2360" w:type="dxa"/>
            <w:vAlign w:val="bottom"/>
            <w:tcBorders>
              <w:bottom w:val="single" w:sz="8" w:color="CCEEFF"/>
            </w:tcBorders>
            <w:gridSpan w:val="7"/>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tcBorders>
              <w:bottom w:val="single" w:sz="8" w:color="CCEEFF"/>
            </w:tcBorders>
            <w:gridSpan w:val="3"/>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87"/>
              </w:rPr>
              <w:t>3.2</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May 2, 2022</w:t>
            </w: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w w:val="99"/>
              </w:rPr>
            </w:pPr>
            <w:hyperlink r:id="rId74">
              <w:r>
                <w:rPr>
                  <w:rFonts w:ascii="Arial" w:cs="Arial" w:eastAsia="Arial" w:hAnsi="Arial"/>
                  <w:sz w:val="18"/>
                  <w:szCs w:val="18"/>
                  <w:color w:val="0000EE"/>
                  <w:w w:val="99"/>
                </w:rPr>
                <w:t>SoundHound  AI,  Inc.  Certificate  of  Designations  of  Preferences,  Rights  and</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90"/>
              <w:spacing w:after="0" w:line="17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89"/>
              </w:rPr>
              <w:t>January 24, 2023</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Limitations of Series A Convertible Preferred Stock.</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6400" w:type="dxa"/>
            <w:vAlign w:val="bottom"/>
            <w:gridSpan w:val="26"/>
            <w:shd w:val="clear" w:color="auto" w:fill="CCEEFF"/>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Amended and Restated Warrant Agreement.</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May 2, 2022</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Form of Specimen Class A Common Stock Certificate</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2"/>
              </w:rPr>
              <w:t>S-1</w:t>
            </w:r>
          </w:p>
        </w:tc>
        <w:tc>
          <w:tcPr>
            <w:tcW w:w="960" w:type="dxa"/>
            <w:vAlign w:val="bottom"/>
            <w:gridSpan w:val="3"/>
          </w:tcPr>
          <w:p>
            <w:pPr>
              <w:jc w:val="center"/>
              <w:ind w:left="90"/>
              <w:spacing w:after="0" w:line="17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1"/>
              </w:rPr>
              <w:t>May 16, 2022</w:t>
            </w: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Form of Specimen Warrant Certificate</w:t>
              </w:r>
            </w:hyperlink>
          </w:p>
        </w:tc>
        <w:tc>
          <w:tcPr>
            <w:tcW w:w="3640" w:type="dxa"/>
            <w:vAlign w:val="bottom"/>
            <w:tcBorders>
              <w:bottom w:val="single" w:sz="8" w:color="CCEEFF"/>
            </w:tcBorders>
            <w:gridSpan w:val="19"/>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S-1</w:t>
            </w:r>
          </w:p>
        </w:tc>
        <w:tc>
          <w:tcPr>
            <w:tcW w:w="960" w:type="dxa"/>
            <w:vAlign w:val="bottom"/>
            <w:tcBorders>
              <w:bottom w:val="single" w:sz="8" w:color="CCEEFF"/>
            </w:tcBorders>
            <w:gridSpan w:val="3"/>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87"/>
              </w:rPr>
              <w:t>4.3</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May 16, 2022</w:t>
            </w: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Amended and Restated Warrant Agreement.</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90"/>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2"/>
              </w:rPr>
              <w:t>May 2, 2022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Opinion of Ellenoff Grossman &amp; Schole LLP</w:t>
              </w:r>
            </w:hyperlink>
          </w:p>
        </w:tc>
        <w:tc>
          <w:tcPr>
            <w:tcW w:w="3120" w:type="dxa"/>
            <w:vAlign w:val="bottom"/>
            <w:tcBorders>
              <w:bottom w:val="single" w:sz="8" w:color="CCEEFF"/>
            </w:tcBorders>
            <w:gridSpan w:val="1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S-1</w:t>
            </w:r>
          </w:p>
        </w:tc>
        <w:tc>
          <w:tcPr>
            <w:tcW w:w="960" w:type="dxa"/>
            <w:vAlign w:val="bottom"/>
            <w:tcBorders>
              <w:bottom w:val="single" w:sz="8" w:color="CCEEFF"/>
            </w:tcBorders>
            <w:gridSpan w:val="3"/>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November 9, 2022</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Form of PIPE Subscription Agreement.</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70"/>
              <w:spacing w:after="0" w:line="17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1"/>
              </w:rPr>
              <w:t>November 16, 2021</w:t>
            </w: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Form of Lock-Up Agreement.</w:t>
              </w:r>
            </w:hyperlink>
          </w:p>
        </w:tc>
        <w:tc>
          <w:tcPr>
            <w:tcW w:w="4240" w:type="dxa"/>
            <w:vAlign w:val="bottom"/>
            <w:tcBorders>
              <w:bottom w:val="single" w:sz="8" w:color="CCEEFF"/>
            </w:tcBorders>
            <w:gridSpan w:val="21"/>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tcBorders>
              <w:bottom w:val="single" w:sz="8" w:color="CCEEFF"/>
            </w:tcBorders>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1"/>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November 16, 2021</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Amended and Restated Registration Rights Agreement, dated April 26, 2022, by and</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2"/>
              </w:rPr>
              <w:t>S-1</w:t>
            </w:r>
          </w:p>
        </w:tc>
        <w:tc>
          <w:tcPr>
            <w:tcW w:w="960" w:type="dxa"/>
            <w:vAlign w:val="bottom"/>
            <w:gridSpan w:val="3"/>
          </w:tcPr>
          <w:p>
            <w:pPr>
              <w:jc w:val="center"/>
              <w:ind w:left="70"/>
              <w:spacing w:after="0" w:line="17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1"/>
              </w:rPr>
              <w:t>May 16, 2022</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Borders>
              <w:top w:val="single" w:sz="8" w:color="0000EE"/>
            </w:tcBorders>
            <w:gridSpan w:val="25"/>
          </w:tcPr>
          <w:p>
            <w:pPr>
              <w:spacing w:after="0" w:line="196" w:lineRule="exact"/>
              <w:rPr>
                <w:rFonts w:ascii="Arial" w:cs="Arial" w:eastAsia="Arial" w:hAnsi="Arial"/>
                <w:sz w:val="18"/>
                <w:szCs w:val="18"/>
                <w:color w:val="0000EE"/>
                <w:w w:val="98"/>
              </w:rPr>
            </w:pPr>
            <w:hyperlink r:id="rId81">
              <w:r>
                <w:rPr>
                  <w:rFonts w:ascii="Arial" w:cs="Arial" w:eastAsia="Arial" w:hAnsi="Arial"/>
                  <w:sz w:val="18"/>
                  <w:szCs w:val="18"/>
                  <w:color w:val="0000EE"/>
                  <w:w w:val="98"/>
                </w:rPr>
                <w:t>between SoundHound AI, Inc. and certain stockholders of SoundHound AI, Inc.</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5"/>
                <w:szCs w:val="15"/>
                <w:color w:val="auto"/>
              </w:rPr>
            </w:pPr>
          </w:p>
        </w:tc>
        <w:tc>
          <w:tcPr>
            <w:tcW w:w="6400" w:type="dxa"/>
            <w:vAlign w:val="bottom"/>
            <w:gridSpan w:val="26"/>
            <w:shd w:val="clear" w:color="auto" w:fill="CCEEFF"/>
          </w:tcPr>
          <w:p>
            <w:pPr>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SoundHound AI, Inc. 2022 Incentive Award Plan.</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Proxy</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Annex D</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April 8, 2022</w:t>
            </w:r>
          </w:p>
        </w:tc>
      </w:tr>
      <w:tr>
        <w:trPr>
          <w:trHeight w:val="236"/>
        </w:trPr>
        <w:tc>
          <w:tcPr>
            <w:tcW w:w="9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0000EE"/>
            </w:tcBorders>
            <w:shd w:val="clear" w:color="auto" w:fill="CCEEFF"/>
          </w:tcPr>
          <w:p>
            <w:pPr>
              <w:spacing w:after="0"/>
              <w:rPr>
                <w:sz w:val="20"/>
                <w:szCs w:val="20"/>
                <w:color w:val="auto"/>
              </w:rPr>
            </w:pPr>
          </w:p>
        </w:tc>
        <w:tc>
          <w:tcPr>
            <w:tcW w:w="12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left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Statement</w:t>
            </w: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CCEEFF"/>
            </w:tcBorders>
            <w:shd w:val="clear" w:color="auto" w:fill="CCEEFF"/>
          </w:tcPr>
          <w:p>
            <w:pPr>
              <w:spacing w:after="0"/>
              <w:rPr>
                <w:sz w:val="20"/>
                <w:szCs w:val="20"/>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SoundHound AI, Inc. 2022 Employee Stock Purchase Plan.</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1"/>
              </w:rPr>
              <w:t>Proxy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3"/>
              </w:rPr>
              <w:t>Annex E</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4"/>
              </w:rPr>
              <w:t>April 8, 2022</w:t>
            </w:r>
          </w:p>
        </w:tc>
      </w:tr>
      <w:tr>
        <w:trPr>
          <w:trHeight w:val="236"/>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Statement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Form of Restricted Stock Unit Agreement.</w:t>
              </w:r>
            </w:hyperlink>
          </w:p>
        </w:tc>
        <w:tc>
          <w:tcPr>
            <w:tcW w:w="3340" w:type="dxa"/>
            <w:vAlign w:val="bottom"/>
            <w:tcBorders>
              <w:bottom w:val="single" w:sz="8" w:color="CCEEFF"/>
            </w:tcBorders>
            <w:gridSpan w:val="1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tcBorders>
              <w:bottom w:val="single" w:sz="8" w:color="CCEEFF"/>
            </w:tcBorders>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1"/>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May 2, 2022</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rPr>
            </w:pPr>
            <w:hyperlink r:id="rId85">
              <w:r>
                <w:rPr>
                  <w:rFonts w:ascii="Arial" w:cs="Arial" w:eastAsia="Arial" w:hAnsi="Arial"/>
                  <w:sz w:val="18"/>
                  <w:szCs w:val="18"/>
                  <w:color w:val="0000EE"/>
                </w:rPr>
                <w:t>Form of Stock Option Award Agreement.</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70"/>
              <w:spacing w:after="0" w:line="176" w:lineRule="exact"/>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2"/>
              </w:rPr>
              <w:t>May 2, 2022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5"/>
                <w:szCs w:val="15"/>
                <w:color w:val="auto"/>
              </w:rPr>
            </w:pPr>
          </w:p>
        </w:tc>
        <w:tc>
          <w:tcPr>
            <w:tcW w:w="6400" w:type="dxa"/>
            <w:vAlign w:val="bottom"/>
            <w:gridSpan w:val="26"/>
            <w:shd w:val="clear" w:color="auto" w:fill="CCEEFF"/>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Form of Indemnity Agreement.</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8"/>
              </w:rPr>
              <w:t>10.10</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May 2, 2022</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Employment Agreement with Keyvan Mohajer, Chief Executive Officer, dated June 2,</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70"/>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88"/>
              </w:rPr>
              <w:t>June 8, 2022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gridSpan w:val="3"/>
          </w:tcPr>
          <w:p>
            <w:pPr>
              <w:ind w:left="100"/>
              <w:spacing w:after="0" w:line="196" w:lineRule="exact"/>
              <w:rPr>
                <w:rFonts w:ascii="Arial" w:cs="Arial" w:eastAsia="Arial" w:hAnsi="Arial"/>
                <w:sz w:val="18"/>
                <w:szCs w:val="18"/>
                <w:color w:val="0000EE"/>
                <w:w w:val="84"/>
              </w:rPr>
            </w:pPr>
            <w:hyperlink r:id="rId87">
              <w:r>
                <w:rPr>
                  <w:rFonts w:ascii="Arial" w:cs="Arial" w:eastAsia="Arial" w:hAnsi="Arial"/>
                  <w:sz w:val="18"/>
                  <w:szCs w:val="18"/>
                  <w:color w:val="0000EE"/>
                  <w:w w:val="84"/>
                </w:rPr>
                <w:t>2022</w:t>
              </w:r>
            </w:hyperlink>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5"/>
                <w:szCs w:val="15"/>
                <w:color w:val="auto"/>
              </w:rPr>
            </w:pPr>
          </w:p>
        </w:tc>
        <w:tc>
          <w:tcPr>
            <w:tcW w:w="6400" w:type="dxa"/>
            <w:vAlign w:val="bottom"/>
            <w:gridSpan w:val="26"/>
            <w:shd w:val="clear" w:color="auto" w:fill="CCEEFF"/>
          </w:tcPr>
          <w:p>
            <w:pPr>
              <w:spacing w:after="0" w:line="176" w:lineRule="exact"/>
              <w:rPr>
                <w:rFonts w:ascii="Arial" w:cs="Arial" w:eastAsia="Arial" w:hAnsi="Arial"/>
                <w:sz w:val="18"/>
                <w:szCs w:val="18"/>
                <w:color w:val="0000EE"/>
                <w:w w:val="97"/>
              </w:rPr>
            </w:pPr>
            <w:hyperlink r:id="rId88">
              <w:r>
                <w:rPr>
                  <w:rFonts w:ascii="Arial" w:cs="Arial" w:eastAsia="Arial" w:hAnsi="Arial"/>
                  <w:sz w:val="18"/>
                  <w:szCs w:val="18"/>
                  <w:color w:val="0000EE"/>
                  <w:w w:val="97"/>
                </w:rPr>
                <w:t>Employment Agreement with Nitesh Sharan, Chief Financial Officer, dated June 2,</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1"/>
              </w:rPr>
              <w:t>10.2</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June 8, 2022</w:t>
            </w:r>
          </w:p>
        </w:tc>
      </w:tr>
      <w:tr>
        <w:trPr>
          <w:trHeight w:val="20"/>
        </w:trPr>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ind w:left="100"/>
              <w:spacing w:after="0" w:line="196" w:lineRule="exact"/>
              <w:rPr>
                <w:rFonts w:ascii="Arial" w:cs="Arial" w:eastAsia="Arial" w:hAnsi="Arial"/>
                <w:sz w:val="18"/>
                <w:szCs w:val="18"/>
                <w:color w:val="0000EE"/>
                <w:w w:val="84"/>
              </w:rPr>
            </w:pPr>
            <w:hyperlink r:id="rId88">
              <w:r>
                <w:rPr>
                  <w:rFonts w:ascii="Arial" w:cs="Arial" w:eastAsia="Arial" w:hAnsi="Arial"/>
                  <w:sz w:val="18"/>
                  <w:szCs w:val="18"/>
                  <w:color w:val="0000EE"/>
                  <w:w w:val="84"/>
                </w:rPr>
                <w:t>2022</w:t>
              </w:r>
            </w:hyperlink>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Employment Agreement with Timothy Stonehocker, Chief Technology Officer, dated</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70"/>
              <w:spacing w:after="0" w:line="17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88"/>
              </w:rPr>
              <w:t>June 8, 2022</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June 2, 2022</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Non-Employee Director Compensation Policy</w:t>
              </w:r>
            </w:hyperlink>
          </w:p>
        </w:tc>
        <w:tc>
          <w:tcPr>
            <w:tcW w:w="3060" w:type="dxa"/>
            <w:vAlign w:val="bottom"/>
            <w:tcBorders>
              <w:bottom w:val="single" w:sz="8" w:color="CCEEFF"/>
            </w:tcBorders>
            <w:gridSpan w:val="1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tcBorders>
              <w:bottom w:val="single" w:sz="8" w:color="CCEEFF"/>
            </w:tcBorders>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1"/>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June 8, 2022</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Common Stock Purchase Agreement, dated as of August 16, 2022, by and between</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70"/>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1"/>
              </w:rPr>
              <w:t>August 16, 2022</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SoundHound AI, Inc. and CF Principal Investments LLC</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5"/>
                <w:szCs w:val="15"/>
                <w:color w:val="auto"/>
              </w:rPr>
            </w:pPr>
          </w:p>
        </w:tc>
        <w:tc>
          <w:tcPr>
            <w:tcW w:w="6400" w:type="dxa"/>
            <w:vAlign w:val="bottom"/>
            <w:gridSpan w:val="26"/>
            <w:shd w:val="clear" w:color="auto" w:fill="CCEEFF"/>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Registration Rights Agreement, dated as of August 16, 2022, by and between</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91"/>
              </w:rPr>
              <w:t>10.2</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August 16, 2022</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8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SoundHound AI, Inc. and CF Principal Investments LLC</w:t>
              </w:r>
            </w:hyperlink>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00" w:type="dxa"/>
            <w:vAlign w:val="bottom"/>
          </w:tcPr>
          <w:p>
            <w:pPr>
              <w:spacing w:after="0"/>
              <w:rPr>
                <w:sz w:val="15"/>
                <w:szCs w:val="15"/>
                <w:color w:val="auto"/>
              </w:rPr>
            </w:pPr>
          </w:p>
        </w:tc>
        <w:tc>
          <w:tcPr>
            <w:tcW w:w="6400" w:type="dxa"/>
            <w:vAlign w:val="bottom"/>
            <w:gridSpan w:val="26"/>
          </w:tcPr>
          <w:p>
            <w:pPr>
              <w:spacing w:after="0" w:line="17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Form of Amended and Restated Side Letter Agreement by and between SoundHound</w:t>
              </w:r>
            </w:hyperlink>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2"/>
              </w:rPr>
              <w:t>S-1</w:t>
            </w:r>
          </w:p>
        </w:tc>
        <w:tc>
          <w:tcPr>
            <w:tcW w:w="960" w:type="dxa"/>
            <w:vAlign w:val="bottom"/>
            <w:gridSpan w:val="3"/>
          </w:tcPr>
          <w:p>
            <w:pPr>
              <w:jc w:val="center"/>
              <w:ind w:left="70"/>
              <w:spacing w:after="0" w:line="176" w:lineRule="exact"/>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89"/>
              </w:rPr>
              <w:t>February 14, 2023</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AI, Inc. and CF Principal Investments LLC.</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7"/>
                <w:szCs w:val="17"/>
                <w:color w:val="auto"/>
              </w:rPr>
            </w:pPr>
          </w:p>
        </w:tc>
        <w:tc>
          <w:tcPr>
            <w:tcW w:w="6400" w:type="dxa"/>
            <w:vAlign w:val="bottom"/>
            <w:gridSpan w:val="26"/>
            <w:shd w:val="clear" w:color="auto" w:fill="CCEEFF"/>
          </w:tcPr>
          <w:p>
            <w:pPr>
              <w:spacing w:after="0" w:line="176" w:lineRule="exact"/>
              <w:rPr>
                <w:rFonts w:ascii="Arial" w:cs="Arial" w:eastAsia="Arial" w:hAnsi="Arial"/>
                <w:sz w:val="18"/>
                <w:szCs w:val="18"/>
                <w:color w:val="0000EE"/>
              </w:rPr>
            </w:pPr>
            <w:hyperlink r:id="rId94">
              <w:r>
                <w:rPr>
                  <w:rFonts w:ascii="Arial" w:cs="Arial" w:eastAsia="Arial" w:hAnsi="Arial"/>
                  <w:sz w:val="18"/>
                  <w:szCs w:val="18"/>
                  <w:color w:val="0000EE"/>
                </w:rPr>
                <w:t>Form of Preferred Stock Purchase Agreement.</w:t>
              </w:r>
            </w:hyperlink>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gridSpan w:val="3"/>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87"/>
              </w:rPr>
              <w:t>3.1</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January 24, 2023</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tcPr>
          <w:p>
            <w:pPr>
              <w:spacing w:after="0"/>
              <w:rPr>
                <w:sz w:val="15"/>
                <w:szCs w:val="15"/>
                <w:color w:val="auto"/>
              </w:rPr>
            </w:pPr>
          </w:p>
        </w:tc>
        <w:tc>
          <w:tcPr>
            <w:tcW w:w="332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Subsidiaries of the Company.</w:t>
              </w:r>
            </w:hyperlink>
          </w:p>
        </w:tc>
        <w:tc>
          <w:tcPr>
            <w:tcW w:w="3080" w:type="dxa"/>
            <w:vAlign w:val="bottom"/>
            <w:tcBorders>
              <w:top w:val="single" w:sz="8" w:color="CCEEFF"/>
            </w:tcBorders>
            <w:gridSpan w:val="13"/>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8-K</w:t>
            </w:r>
          </w:p>
        </w:tc>
        <w:tc>
          <w:tcPr>
            <w:tcW w:w="960" w:type="dxa"/>
            <w:vAlign w:val="bottom"/>
            <w:tcBorders>
              <w:top w:val="single" w:sz="8" w:color="CCEEFF"/>
            </w:tcBorders>
            <w:gridSpan w:val="3"/>
          </w:tcPr>
          <w:p>
            <w:pPr>
              <w:jc w:val="center"/>
              <w:ind w:left="70"/>
              <w:spacing w:after="0" w:line="176" w:lineRule="exact"/>
              <w:rPr>
                <w:sz w:val="20"/>
                <w:szCs w:val="20"/>
                <w:color w:val="auto"/>
              </w:rPr>
            </w:pPr>
            <w:r>
              <w:rPr>
                <w:rFonts w:ascii="Arial" w:cs="Arial" w:eastAsia="Arial" w:hAnsi="Arial"/>
                <w:sz w:val="18"/>
                <w:szCs w:val="18"/>
                <w:color w:val="auto"/>
                <w:w w:val="91"/>
              </w:rPr>
              <w:t>21.1</w:t>
            </w:r>
          </w:p>
        </w:tc>
        <w:tc>
          <w:tcPr>
            <w:tcW w:w="12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2"/>
              </w:rPr>
              <w:t>May 2, 2022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17"/>
                <w:szCs w:val="17"/>
                <w:color w:val="auto"/>
              </w:rPr>
            </w:pPr>
          </w:p>
        </w:tc>
        <w:tc>
          <w:tcPr>
            <w:tcW w:w="344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1"/>
              </w:rPr>
              <w:t>Consent of Armanino LLP dated May 26, 2023.</w:t>
            </w:r>
          </w:p>
        </w:tc>
        <w:tc>
          <w:tcPr>
            <w:tcW w:w="2960" w:type="dxa"/>
            <w:vAlign w:val="bottom"/>
            <w:tcBorders>
              <w:bottom w:val="single" w:sz="8" w:color="CCEEFF"/>
            </w:tcBorders>
            <w:gridSpan w:val="11"/>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6400" w:type="dxa"/>
            <w:vAlign w:val="bottom"/>
            <w:gridSpan w:val="26"/>
          </w:tcPr>
          <w:p>
            <w:pPr>
              <w:spacing w:after="0"/>
              <w:rPr>
                <w:sz w:val="20"/>
                <w:szCs w:val="20"/>
                <w:color w:val="auto"/>
              </w:rPr>
            </w:pPr>
            <w:r>
              <w:rPr>
                <w:rFonts w:ascii="Arial" w:cs="Arial" w:eastAsia="Arial" w:hAnsi="Arial"/>
                <w:sz w:val="18"/>
                <w:szCs w:val="18"/>
                <w:color w:val="auto"/>
              </w:rPr>
              <w:t>Calculation of Filing Fees Table</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2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158" w:lineRule="exact"/>
        <w:rPr>
          <w:sz w:val="20"/>
          <w:szCs w:val="20"/>
          <w:color w:val="auto"/>
        </w:rPr>
      </w:pPr>
    </w:p>
    <w:p>
      <w:pPr>
        <w:ind w:right="6560" w:firstLine="8"/>
        <w:spacing w:after="0" w:line="449" w:lineRule="auto"/>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Previously filed.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jc w:val="both"/>
        <w:ind w:firstLine="332"/>
        <w:spacing w:after="0" w:line="263" w:lineRule="auto"/>
        <w:tabs>
          <w:tab w:leader="none" w:pos="5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33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left="660" w:firstLine="1292"/>
        <w:spacing w:after="0" w:line="277" w:lineRule="auto"/>
        <w:tabs>
          <w:tab w:leader="none" w:pos="2255" w:val="left"/>
        </w:tabs>
        <w:numPr>
          <w:ilvl w:val="2"/>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660" w:firstLine="1292"/>
        <w:spacing w:after="0" w:line="287" w:lineRule="auto"/>
        <w:tabs>
          <w:tab w:leader="none" w:pos="2271" w:val="left"/>
        </w:tabs>
        <w:numPr>
          <w:ilvl w:val="2"/>
          <w:numId w:val="2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1" w:lineRule="exact"/>
        <w:rPr>
          <w:rFonts w:ascii="Arial" w:cs="Arial" w:eastAsia="Arial" w:hAnsi="Arial"/>
          <w:sz w:val="16"/>
          <w:szCs w:val="16"/>
          <w:color w:val="auto"/>
        </w:rPr>
      </w:pPr>
    </w:p>
    <w:p>
      <w:pPr>
        <w:jc w:val="both"/>
        <w:ind w:left="340" w:firstLine="316"/>
        <w:spacing w:after="0" w:line="272" w:lineRule="auto"/>
        <w:tabs>
          <w:tab w:leader="none" w:pos="93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30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Santa Clara, State of California, on this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May, 2023.</w:t>
      </w:r>
    </w:p>
    <w:p>
      <w:pPr>
        <w:spacing w:after="0" w:line="2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SOUNDHOUND AI, INC.</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Dr. Keyvan Mohajer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028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28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Dr. Keyvan Mohajer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28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Nitesh Sharan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28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James Hom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28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Dr. Eric Ball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28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Larry Marcus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2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5">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Diana Sroka</w:t>
      </w:r>
    </w:p>
    <w:p>
      <w:pPr>
        <w:spacing w:after="0" w:line="225" w:lineRule="exact"/>
        <w:rPr>
          <w:sz w:val="20"/>
          <w:szCs w:val="20"/>
          <w:color w:val="auto"/>
        </w:rPr>
      </w:pPr>
    </w:p>
    <w:p>
      <w:pPr>
        <w:ind w:right="840" w:firstLine="8"/>
        <w:spacing w:after="0" w:line="290" w:lineRule="auto"/>
        <w:tabs>
          <w:tab w:leader="none" w:pos="1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By: /s/ Dr. Keyvan Mohajer Name: Dr. Keyvan Mohajer</w:t>
      </w:r>
    </w:p>
    <w:p>
      <w:pPr>
        <w:ind w:left="560"/>
        <w:spacing w:after="0"/>
        <w:rPr>
          <w:rFonts w:ascii="Arial" w:cs="Arial" w:eastAsia="Arial" w:hAnsi="Arial"/>
          <w:sz w:val="17"/>
          <w:szCs w:val="17"/>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-285115</wp:posOffset>
            </wp:positionV>
            <wp:extent cx="24942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00"/>
        </w:trPr>
        <w:tc>
          <w:tcPr>
            <w:tcW w:w="450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May 26, 2023</w:t>
            </w:r>
          </w:p>
        </w:tc>
      </w:tr>
      <w:tr>
        <w:trPr>
          <w:trHeight w:val="256"/>
        </w:trPr>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513"/>
        </w:trPr>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May 26, 2023</w:t>
            </w: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2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513"/>
        </w:trPr>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May 26, 2023</w:t>
            </w:r>
          </w:p>
        </w:tc>
      </w:tr>
      <w:tr>
        <w:trPr>
          <w:trHeight w:val="770"/>
        </w:trPr>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May 26, 2023</w:t>
            </w:r>
          </w:p>
        </w:tc>
      </w:tr>
      <w:tr>
        <w:trPr>
          <w:trHeight w:val="769"/>
        </w:trPr>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May 26, 2023</w:t>
            </w:r>
          </w:p>
        </w:tc>
      </w:tr>
      <w:tr>
        <w:trPr>
          <w:trHeight w:val="770"/>
        </w:trPr>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May 26, 2023</w:t>
            </w:r>
          </w:p>
        </w:tc>
      </w:tr>
    </w:tbl>
    <w:p>
      <w:pPr>
        <w:spacing w:after="0" w:line="1338" w:lineRule="exact"/>
        <w:rPr>
          <w:sz w:val="20"/>
          <w:szCs w:val="20"/>
          <w:color w:val="auto"/>
        </w:rPr>
      </w:pPr>
    </w:p>
    <w:p>
      <w:pPr>
        <w:sectPr>
          <w:pgSz w:w="11900" w:h="16838" w:orient="portrait"/>
          <w:cols w:equalWidth="0" w:num="2">
            <w:col w:w="3100" w:space="720"/>
            <w:col w:w="7420"/>
          </w:cols>
          <w:pgMar w:left="320" w:top="904" w:right="3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168910</wp:posOffset>
            </wp:positionV>
            <wp:extent cx="1234440" cy="360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8">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S-3 of our report dated March 28, 2023, relating to the consolidated financial statements of SoundHound AI, Inc., which appears in SoundHound AI, Inc.’s Annual Report on Form 10-K for the years ended December 31, 2022, and 2021. We also consent to the reference to us under the heading "Experts" in this Registration Statement.</w:t>
      </w:r>
    </w:p>
    <w:p>
      <w:pPr>
        <w:spacing w:after="0" w:line="10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Armanino</w:t>
      </w:r>
      <w:r>
        <w:rPr>
          <w:rFonts w:ascii="Arial" w:cs="Arial" w:eastAsia="Arial" w:hAnsi="Arial"/>
          <w:sz w:val="29"/>
          <w:szCs w:val="29"/>
          <w:color w:val="auto"/>
          <w:vertAlign w:val="superscript"/>
        </w:rPr>
        <w:t>LLP</w:t>
      </w:r>
    </w:p>
    <w:p>
      <w:pPr>
        <w:ind w:left="6740"/>
        <w:spacing w:after="0"/>
        <w:rPr>
          <w:sz w:val="20"/>
          <w:szCs w:val="20"/>
          <w:color w:val="auto"/>
        </w:rPr>
      </w:pPr>
      <w:r>
        <w:rPr>
          <w:rFonts w:ascii="Arial" w:cs="Arial" w:eastAsia="Arial" w:hAnsi="Arial"/>
          <w:sz w:val="18"/>
          <w:szCs w:val="18"/>
          <w:color w:val="auto"/>
        </w:rPr>
        <w:t>San Jose, California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May 26,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2"/>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lowerRoman"/>
      <w:start w:val="3"/>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Roman"/>
      <w:start w:val="4"/>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3"/>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99" Type="http://schemas.openxmlformats.org/officeDocument/2006/relationships/image" Target="media/image60.png"/><Relationship Id="rId100"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05" Type="http://schemas.openxmlformats.org/officeDocument/2006/relationships/image" Target="media/image66.png"/><Relationship Id="rId106" Type="http://schemas.openxmlformats.org/officeDocument/2006/relationships/image" Target="media/image67.png"/><Relationship Id="rId107" Type="http://schemas.openxmlformats.org/officeDocument/2006/relationships/image" Target="media/image68.png"/><Relationship Id="rId108" Type="http://schemas.openxmlformats.org/officeDocument/2006/relationships/image" Target="media/image69.jpeg"/><Relationship Id="rId58" Type="http://schemas.openxmlformats.org/officeDocument/2006/relationships/hyperlink" Target="http://www.sec.gov/Archives/edgar/data/1840856/000184085623000019/soun-20221231.htm" TargetMode="External"/><Relationship Id="rId59" Type="http://schemas.openxmlformats.org/officeDocument/2006/relationships/hyperlink" Target="https://www.sec.gov/Archives/edgar/data/1840856/000184085623000031/soun-20230331.htm" TargetMode="External"/><Relationship Id="rId60" Type="http://schemas.openxmlformats.org/officeDocument/2006/relationships/hyperlink" Target="http://www.sec.gov/Archives/edgar/data/1840856/000184085623000004/soun-20230105.htm" TargetMode="External"/><Relationship Id="rId61" Type="http://schemas.openxmlformats.org/officeDocument/2006/relationships/hyperlink" Target="http://www.sec.gov/Archives/edgar/data/1840856/000184085623000008/soun-20230120.htm" TargetMode="External"/><Relationship Id="rId62" Type="http://schemas.openxmlformats.org/officeDocument/2006/relationships/hyperlink" Target="http://www.sec.gov/Archives/edgar/data/1840856/000184085623000014/soun-20230307.htm" TargetMode="External"/><Relationship Id="rId63" Type="http://schemas.openxmlformats.org/officeDocument/2006/relationships/hyperlink" Target="http://www.sec.gov/Archives/edgar/data/1840856/000121390023030044/ea176992-8k_soundhound.htm" TargetMode="External"/><Relationship Id="rId64" Type="http://schemas.openxmlformats.org/officeDocument/2006/relationships/hyperlink" Target="https://www.sec.gov/Archives/edgar/data/1840856/000121390023036919/ea178069-8k_soundhound.htm" TargetMode="External"/><Relationship Id="rId71" Type="http://schemas.openxmlformats.org/officeDocument/2006/relationships/hyperlink" Target="http://www.sec.gov/Archives/edgar/data/1840856/000121390021059752/ea150505ex2-1_archimedes.htm" TargetMode="External"/><Relationship Id="rId72" Type="http://schemas.openxmlformats.org/officeDocument/2006/relationships/hyperlink" Target="http://www.sec.gov/Archives/edgar/data/1840856/000121390022023274/ea159193ex3-1_soundhound.htm" TargetMode="External"/><Relationship Id="rId73" Type="http://schemas.openxmlformats.org/officeDocument/2006/relationships/hyperlink" Target="http://www.sec.gov/Archives/edgar/data/1840856/000121390022023274/ea159193ex3-2_soundhound.htm" TargetMode="External"/><Relationship Id="rId74" Type="http://schemas.openxmlformats.org/officeDocument/2006/relationships/hyperlink" Target="http://www.sec.gov/Archives/edgar/data/1840856/000184085623000008/a31preferredstockcertifica.htm" TargetMode="External"/><Relationship Id="rId75" Type="http://schemas.openxmlformats.org/officeDocument/2006/relationships/hyperlink" Target="http://www.sec.gov/Archives/edgar/data/1840856/000121390022023274/ea159193ex4-1_soundhound.htm" TargetMode="External"/><Relationship Id="rId76" Type="http://schemas.openxmlformats.org/officeDocument/2006/relationships/hyperlink" Target="http://www.sec.gov/Archives/edgar/data/1840856/000121390022026797/fs12022ex4-2_soundhound.htm" TargetMode="External"/><Relationship Id="rId77" Type="http://schemas.openxmlformats.org/officeDocument/2006/relationships/hyperlink" Target="http://www.sec.gov/Archives/edgar/data/1840856/000121390022026797/fs12022ex4-3_soundhound.htm" TargetMode="External"/><Relationship Id="rId78" Type="http://schemas.openxmlformats.org/officeDocument/2006/relationships/hyperlink" Target="http://www.sec.gov/Archives/edgar/data/1840856/000121390022070561/ea168287ex5-1_soundhound.htm" TargetMode="External"/><Relationship Id="rId79" Type="http://schemas.openxmlformats.org/officeDocument/2006/relationships/hyperlink" Target="http://www.sec.gov/Archives/edgar/data/1840856/000121390021059752/ea150505ex10-3_archimedes.htm" TargetMode="External"/><Relationship Id="rId80" Type="http://schemas.openxmlformats.org/officeDocument/2006/relationships/hyperlink" Target="http://www.sec.gov/Archives/edgar/data/1840856/000121390021059752/ea150505ex10-4_archimedes.htm" TargetMode="External"/><Relationship Id="rId81" Type="http://schemas.openxmlformats.org/officeDocument/2006/relationships/hyperlink" Target="http://www.sec.gov/Archives/edgar/data/1840856/000121390022026797/fs12022ex10-3_soundhound.htm" TargetMode="External"/><Relationship Id="rId82" Type="http://schemas.openxmlformats.org/officeDocument/2006/relationships/hyperlink" Target="http://www.sec.gov/Archives/edgar/data/1840856/000121390022018967/f424b30422_archimedes.htm#T601" TargetMode="External"/><Relationship Id="rId83" Type="http://schemas.openxmlformats.org/officeDocument/2006/relationships/hyperlink" Target="http://www.sec.gov/Archives/edgar/data/1840856/000121390022018967/f424b30422_archimedes.htm#T602" TargetMode="External"/><Relationship Id="rId84" Type="http://schemas.openxmlformats.org/officeDocument/2006/relationships/hyperlink" Target="http://www.sec.gov/Archives/edgar/data/1840856/000121390022023274/ea159193ex10-8_soundhound.htm" TargetMode="External"/><Relationship Id="rId85" Type="http://schemas.openxmlformats.org/officeDocument/2006/relationships/hyperlink" Target="http://www.sec.gov/Archives/edgar/data/1840856/000121390022023274/ea159193ex10-9_soundhound.htm" TargetMode="External"/><Relationship Id="rId86" Type="http://schemas.openxmlformats.org/officeDocument/2006/relationships/hyperlink" Target="http://www.sec.gov/Archives/edgar/data/1840856/000121390022023274/ea159193ex10-10_soundhound.htm" TargetMode="External"/><Relationship Id="rId87" Type="http://schemas.openxmlformats.org/officeDocument/2006/relationships/hyperlink" Target="http://www.sec.gov/Archives/edgar/data/1840856/000121390022031794/ea161309ex10-1_soundhound.htm" TargetMode="External"/><Relationship Id="rId88" Type="http://schemas.openxmlformats.org/officeDocument/2006/relationships/hyperlink" Target="http://www.sec.gov/Archives/edgar/data/1840856/000121390022031794/ea161309ex10-2_soundhound.htm" TargetMode="External"/><Relationship Id="rId89" Type="http://schemas.openxmlformats.org/officeDocument/2006/relationships/hyperlink" Target="http://www.sec.gov/Archives/edgar/data/1840856/000121390022031794/ea161309ex10-3_soundhound.htm" TargetMode="External"/><Relationship Id="rId90" Type="http://schemas.openxmlformats.org/officeDocument/2006/relationships/hyperlink" Target="http://www.sec.gov/Archives/edgar/data/1840856/000121390022031794/ea161309ex10-4_soundhound.htm" TargetMode="External"/><Relationship Id="rId91" Type="http://schemas.openxmlformats.org/officeDocument/2006/relationships/hyperlink" Target="http://www.sec.gov/Archives/edgar/data/1840856/000121390022049015/ea164559ex10-1_sound.htm" TargetMode="External"/><Relationship Id="rId92" Type="http://schemas.openxmlformats.org/officeDocument/2006/relationships/hyperlink" Target="http://www.sec.gov/Archives/edgar/data/1840856/000121390022049015/ea164559ex10-2_sound.htm" TargetMode="External"/><Relationship Id="rId93" Type="http://schemas.openxmlformats.org/officeDocument/2006/relationships/hyperlink" Target="http://www.sec.gov/Archives/edgar/data/1840856/000121390023011606/fs12023a4ex10-15_soundhound.htm" TargetMode="External"/><Relationship Id="rId94" Type="http://schemas.openxmlformats.org/officeDocument/2006/relationships/hyperlink" Target="http://www.sec.gov/Archives/edgar/data/1840856/000184085623000008/a101preferredstockpurchase.htm" TargetMode="External"/><Relationship Id="rId95" Type="http://schemas.openxmlformats.org/officeDocument/2006/relationships/hyperlink" Target="http://www.sec.gov/Archives/edgar/data/1840856/000121390022023274/ea159193ex21-1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2023-05-26T16:37:44Z</dcterms:created>
  <dcterms:modified xsi:type="dcterms:W3CDTF">2023-05-26T16:37:44Z</dcterms:modified>
</cp:coreProperties>
</file>