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320040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1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9019"/>
          </w:cols>
          <w:pgMar w:left="1440" w:top="806" w:right="1440" w:bottom="1440" w:gutter="0" w:footer="0" w:header="0"/>
        </w:sectPr>
      </w:pPr>
    </w:p>
    <w:p>
      <w:pPr>
        <w:spacing w:after="0" w:line="208" w:lineRule="exact"/>
        <w:rPr>
          <w:sz w:val="24"/>
          <w:szCs w:val="24"/>
          <w:color w:val="auto"/>
        </w:rPr>
      </w:pPr>
    </w:p>
    <w:p>
      <w:pPr>
        <w:ind w:left="2380" w:firstLine="370"/>
        <w:spacing w:after="0" w:line="312" w:lineRule="auto"/>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4"/>
          <w:szCs w:val="24"/>
          <w:color w:val="auto"/>
        </w:rPr>
      </w:pPr>
    </w:p>
    <w:p>
      <w:pPr>
        <w:sectPr>
          <w:pgSz w:w="11900" w:h="16838" w:orient="portrait"/>
          <w:cols w:equalWidth="0" w:num="2">
            <w:col w:w="6260" w:space="320"/>
            <w:col w:w="2439"/>
          </w:cols>
          <w:pgMar w:left="1440" w:top="806" w:right="1440" w:bottom="1440" w:gutter="0" w:footer="0" w:header="0"/>
          <w:type w:val="continuous"/>
        </w:sectPr>
      </w:pPr>
    </w:p>
    <w:p>
      <w:pPr>
        <w:spacing w:after="0" w:line="4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806"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806" w:right="1440" w:bottom="1440" w:gutter="0" w:footer="0" w:header="0"/>
          <w:type w:val="continuous"/>
        </w:sectPr>
      </w:pPr>
    </w:p>
    <w:p>
      <w:pPr>
        <w:spacing w:after="0" w:line="10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60" w:right="2279" w:hanging="6"/>
        <w:spacing w:after="0" w:line="273" w:lineRule="exact"/>
        <w:tabs>
          <w:tab w:leader="none" w:pos="8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Solicitation Material Pursuant to §240.14a-12</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880" w:hanging="426"/>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80" w:hanging="426"/>
        <w:spacing w:after="0"/>
        <w:tabs>
          <w:tab w:leader="none" w:pos="8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80" w:hanging="426"/>
        <w:spacing w:after="0"/>
        <w:tabs>
          <w:tab w:leader="none" w:pos="8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539115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29, 2024</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SoundHound AI, Inc.:</w:t>
      </w:r>
    </w:p>
    <w:p>
      <w:pPr>
        <w:spacing w:after="0" w:line="15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a virtual basis on Wednesday, June 12, 2024 at 8:00 a.m. Pacific Time, for the following purposes:</w:t>
      </w:r>
    </w:p>
    <w:p>
      <w:pPr>
        <w:spacing w:after="0" w:line="107" w:lineRule="exact"/>
        <w:rPr>
          <w:sz w:val="20"/>
          <w:szCs w:val="20"/>
          <w:color w:val="auto"/>
        </w:rPr>
      </w:pPr>
    </w:p>
    <w:p>
      <w:pPr>
        <w:jc w:val="both"/>
        <w:ind w:left="1320" w:right="459" w:hanging="434"/>
        <w:spacing w:after="0" w:line="261"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a one-year term that expires at the 2025 Annual Meeting of Stockholders, or until their successors are elected and qualified;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(which will be either every year, every two years or every three years);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UNANIMOUSLY RECOMMENDS A VOTE FOR THE ELECTION OF EACH OF THE DIRECTOR NOMINEES, A VOTE FOR THE RATIFICATION OF THE APPOINTMENT OF THE COMPANY’S INDEPENDENT REGISTERED PUBLIC ACCOUNTING FIRM FOR THE FISCAL YEAR ENDING DECEMBER 31, 2024, A VOTE FOR THE APPROVAL, ON A NON-BINDING, ADVISORY BASIS, OF THE COMPENSATION OF OUR NAMED EXECUTIVE OFFICERS, AND A VOTE FOR 3 YEARS FOR THE FREQUENCY OF CONDUCTING FUTURE STOCKHOLDER ADVISORY VOTES ON NAMED EXECUTIVE OFFICER COMPENSATION.</w:t>
      </w:r>
    </w:p>
    <w:p>
      <w:pPr>
        <w:spacing w:after="0" w:line="11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The Board has fixed the close of business on April 15, 2024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Your vote is important. You are requested to carefully read the Proxy Statement and accompanying Notice of Annual Meeting for a more complete statement of matters to be considered at the Annual Meeting.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52705</wp:posOffset>
            </wp:positionV>
            <wp:extent cx="2143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Keyvan Mohajer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READ THE PROXY STATEMENT AND PROMPTLY VOTE YOUR PROXY VIA THE INTERNET, BY TELEPHONE OR, IF YOU RECEIVED A PRINTED FORM OF PROXY IN THE MAIL, BY COMPLETING, DATING, SIGNING AND RETURNING THE ENCLOSED PROXY 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spacing w:after="0" w:line="121"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HAVE ALREADY VOTED OR DELIVERED YOUR PROXY FOR THE ANNUAL MEETING, YOUR VOTE WILL BE COUNTED, AND YOU DO NOT HAVE TO VOTE YOUR SHARES AGAIN. IF YOU WISH TO CHANGE YOUR VOTE, YOU SHOULD REVOTE YOUR SHARES.</w:t>
      </w:r>
    </w:p>
    <w:p>
      <w:pPr>
        <w:spacing w:after="0" w:line="109"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7"/>
          <w:szCs w:val="17"/>
          <w:b w:val="1"/>
          <w:bCs w:val="1"/>
          <w:color w:val="auto"/>
        </w:rPr>
        <w:t>THE PROXY STATEMENT, OUR FORM OF PROXY CARD, AND OUR ANNUAL REPORT ON FORM 10-K FOR THE FISCAL YEAR ENDED DECEMBER 31, 2023 ARE AVAILABLE ON THE</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b w:val="1"/>
          <w:bCs w:val="1"/>
          <w:color w:val="auto"/>
        </w:rPr>
        <w:t>INTERNET AT HTTPS://INVESTORS.SOUNDHOUND.COM/CORPORATE-GOVERNANCE/ANNUAL-MEETING OR AT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12, 2024</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use at the 2024 Annual Meeting of Stockholders of the Company and at all adjournments and postponements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Annual Meeting will be held at 8:00 a.m. Pacific Time on Wednesday, June 12, 2024 on a virtual basis for the following purposes:</w:t>
      </w:r>
    </w:p>
    <w:p>
      <w:pPr>
        <w:spacing w:after="0" w:line="89" w:lineRule="exact"/>
        <w:rPr>
          <w:sz w:val="20"/>
          <w:szCs w:val="20"/>
          <w:color w:val="auto"/>
        </w:rPr>
      </w:pPr>
    </w:p>
    <w:p>
      <w:pPr>
        <w:jc w:val="both"/>
        <w:ind w:left="1320" w:right="45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Board for a one-year term that expires at the 2025 Annual Meeting of Stockholders, or until their successors are elected and qualified;</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as the Company’s independent registered public accounting firm for the fiscal year ending December 31, 2024;</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(which will be either every year, every two years or every three years);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63"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each of the Director Nominees, a vote “FOR” the ratification of the appointment of the Auditor as the Company’s independent registered public accounting firm for the fiscal year ending December 31, 2024, a vote “FOR” the approval, on a non-binding, advisory basis, of the compensation of our named executive officers, and a vote for “3 YEARS” for the frequency of conducting future stockholder advisory votes on named executive officer compensation.</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Stockholders of record of our Class A common stock and Class B common stock at the close of business on April 15,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will be entitled to notice of, and are cordially invited to, attend the Annual Meeting and to attend any adjournment or postponement thereof. </w:t>
      </w:r>
      <w:r>
        <w:rPr>
          <w:rFonts w:ascii="Times New Roman" w:cs="Times New Roman" w:eastAsia="Times New Roman" w:hAnsi="Times New Roman"/>
          <w:sz w:val="18"/>
          <w:szCs w:val="18"/>
          <w:b w:val="1"/>
          <w:bCs w:val="1"/>
          <w:color w:val="auto"/>
        </w:rPr>
        <w:t>However, to assure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representation at the Annual Meeting, please vote your proxy via the internet, by telephone, or by completing, dating, signing and returning the enclosed proxy.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please read the Proxy Statement and then promptly vote your proxy in order to ensure your representation at the Annual Meeting.</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You may cast your vote by visiting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You may also have access to the materials for the Annual Meeting by visiting the website: </w:t>
      </w:r>
      <w:r>
        <w:rPr>
          <w:rFonts w:ascii="Times New Roman" w:cs="Times New Roman" w:eastAsia="Times New Roman" w:hAnsi="Times New Roman"/>
          <w:sz w:val="18"/>
          <w:szCs w:val="18"/>
          <w:i w:val="1"/>
          <w:iCs w:val="1"/>
          <w:color w:val="auto"/>
        </w:rPr>
        <w:t>https://www.soundhound.com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will need to use the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appearing on your proxy card to vote prior to or at the Annual Meeting.</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entitles the holder thereof to one vote and each share of Class B common stock entitles the holder thereof to ten votes. All shares of common stock vote together as a single class.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spacing w:after="0" w:line="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 are urged to review carefully the information contained in the enclosed proxy statement prior to deciding how to vote your shares. This notice and the attached proxy statement are first being disseminated to stockholders on or about May 3,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52705</wp:posOffset>
            </wp:positionV>
            <wp:extent cx="2682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Keyvan Mohajer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EACH OF THE DIRECTOR NOMINEES, FOR THE RATIFICATION OF THE APPOINTMENT OF THE AUDITOR AS THE COMPANY’S INDEPENDENT REGISTERED PUBLIC ACCOUNTING FIRM FOR THE FISCAL YEAR ENDING DECEMBER 31, 2024, FOR THE COMPENSATION OF THE EXECUTIVE OFFICERS AND FOR THREE YEARS FOR THE FREQUENCY TO CONDUCT FUTURE ADVISORY VOTES ON EXECUTIVE COMPENSATION.</w:t>
      </w:r>
    </w:p>
    <w:p>
      <w:pPr>
        <w:spacing w:after="0" w:line="11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Important Notice Regarding the Availability of Proxy Materials for the Annual Meeting to be Held on June 12, 2024: </w:t>
      </w:r>
      <w:r>
        <w:rPr>
          <w:rFonts w:ascii="Times New Roman" w:cs="Times New Roman" w:eastAsia="Times New Roman" w:hAnsi="Times New Roman"/>
          <w:sz w:val="18"/>
          <w:szCs w:val="18"/>
          <w:b w:val="1"/>
          <w:bCs w:val="1"/>
          <w:color w:val="auto"/>
        </w:rPr>
        <w:t>This proxy statement, along with our Annual Report on Form 10-K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December 31, 2023, is available at: </w:t>
      </w:r>
      <w:r>
        <w:rPr>
          <w:rFonts w:ascii="Times New Roman" w:cs="Times New Roman" w:eastAsia="Times New Roman" w:hAnsi="Times New Roman"/>
          <w:sz w:val="18"/>
          <w:szCs w:val="18"/>
          <w:b w:val="1"/>
          <w:bCs w:val="1"/>
          <w:i w:val="1"/>
          <w:iCs w:val="1"/>
          <w:color w:val="auto"/>
        </w:rPr>
        <w:t>https://investors.soundhound.com/corporate-governance/annual-meeting</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QUESTIONS AND ANSWERS ABOUT THESE PROXY MATERIALS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THE ANNUAL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0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w w:val="98"/>
              </w:rPr>
              <w:t>PROPOSAL 1</w:t>
            </w:r>
          </w:p>
        </w:tc>
        <w:tc>
          <w:tcPr>
            <w:tcW w:w="62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EE"/>
              </w:rPr>
              <w:t>— ELECTION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0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2</w:t>
            </w:r>
          </w:p>
        </w:tc>
        <w:tc>
          <w:tcPr>
            <w:tcW w:w="522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 RATIFICATION OF THE APPOINTMENT OF THE COMPANY’S</w:t>
            </w: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 FOR FISCAL 2023</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10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3</w:t>
            </w:r>
          </w:p>
        </w:tc>
        <w:tc>
          <w:tcPr>
            <w:tcW w:w="5680" w:type="dxa"/>
            <w:vAlign w:val="bottom"/>
            <w:tcBorders>
              <w:bottom w:val="single" w:sz="8" w:color="0000EE"/>
            </w:tcBorders>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 APPROVAL ON AN ADVISORY BASIS OF THE COMPENSATION OF</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18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4</w:t>
            </w:r>
          </w:p>
        </w:tc>
        <w:tc>
          <w:tcPr>
            <w:tcW w:w="622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APPROVAL OF THE BASIS OF FREQENCY TO CONDUCT FUTURE</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480" w:type="dxa"/>
            <w:vAlign w:val="bottom"/>
            <w:tcBorders>
              <w:top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ADVISORY VOTES ON EXECUTIVE COMPENSATION</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80" w:type="dxa"/>
            <w:vAlign w:val="bottom"/>
            <w:tcBorders>
              <w:bottom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5400" w:type="dxa"/>
            <w:vAlign w:val="bottom"/>
            <w:gridSpan w:val="11"/>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43</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at 8:00 a.m. Pacific Time on Wednesday, June 12, 2024</w:t>
      </w:r>
    </w:p>
    <w:p>
      <w:pPr>
        <w:spacing w:after="0" w:line="2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made these materials available to you on the Internet or, upon your request, has delivered printed versions of these materials to you by mail,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SoundHound AI, Inc. for use at the 2024 Annual Meeting of Stockholders (the “Annual Meeting”) to be held on a virtual basis on Wednesday, June 12, 2024 at 8:00 a.m. Pacific Time, and at any postponement(s) or adjournment(s) thereof. These materials were first sent or given to stockholders on or about April 14, 2024. This proxy statement gives you information on these proposals so that you can make an informed decision.</w:t>
      </w:r>
    </w:p>
    <w:p>
      <w:pPr>
        <w:spacing w:after="0" w:line="11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SoundHound AI, Inc.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w:t>
      </w:r>
      <w:r>
        <w:rPr>
          <w:rFonts w:ascii="Times New Roman" w:cs="Times New Roman" w:eastAsia="Times New Roman" w:hAnsi="Times New Roman"/>
          <w:sz w:val="18"/>
          <w:szCs w:val="18"/>
          <w:color w:val="auto"/>
        </w:rPr>
        <w:t>r” or similar terminology.</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included in these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These materials include:</w:t>
      </w:r>
    </w:p>
    <w:p>
      <w:pPr>
        <w:spacing w:after="0" w:line="144"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for the Annual Meeting;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2023;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requested printed versions of these materials by mail, a proxy card (if you are a stockholder of record) or a voting instruction form (if you are a beneficial owner of shares held in street name).</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7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Company has elected to provide access to its proxy materials via the Internet instead of mailing printed copies. Accordingly, the Company is sending a Notice of Internet Availability of Proxy Materials (the “</w:t>
      </w:r>
      <w:r>
        <w:rPr>
          <w:rFonts w:ascii="Times New Roman" w:cs="Times New Roman" w:eastAsia="Times New Roman" w:hAnsi="Times New Roman"/>
          <w:sz w:val="18"/>
          <w:szCs w:val="18"/>
          <w:b w:val="1"/>
          <w:bCs w:val="1"/>
          <w:color w:val="auto"/>
        </w:rPr>
        <w:t>Internet Availability Notice</w:t>
      </w:r>
      <w:r>
        <w:rPr>
          <w:rFonts w:ascii="Times New Roman" w:cs="Times New Roman" w:eastAsia="Times New Roman" w:hAnsi="Times New Roman"/>
          <w:sz w:val="18"/>
          <w:szCs w:val="18"/>
          <w:color w:val="auto"/>
        </w:rPr>
        <w:t xml:space="preserve">”) to the Company’s stockholders. Most stockholders will not receive printed copies of the proxy materials unless they request them. Instead, instructions on how to access the proxy materials over the Internet or to request a printed copy may be found with the Internet Availability Notice. All stockholders will have the ability to access the proxy materials on the website referred to in the Internet Availability Notice or request to receive a printed set of the proxy materials. Stockholders may request to receive proxy materials in printed form by telephone, mail, by logging on to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or electronically by email on an ongoing basis. The Company encourages stockholders to take advantage of the availability of the proxy materials on the Internet to help reduce the environmental impact of our annual meetings.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get electronic access to the proxy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Internet Availability Notice will provide you with instructions regarding how to:</w:t>
      </w:r>
    </w:p>
    <w:p>
      <w:pPr>
        <w:spacing w:after="0" w:line="158"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the Company’s proxy materials for the Annual Meeting on the Internet;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Company to send future proxy materials to you electronically by email.</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the Company the cost of printing and mailing documents to you and will reduce the impact of the Company’s annual meetings on the environment. If you choose to receive future proxy materials by email, you will receive an email message next year with instructions containing a link to those materials. Your election to receive proxy materials by email will remain in effect until you terminate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 of stockholders?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who owned shares of our Class A common stock, par value $0.0001 per share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the Class A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April 15,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may vote at the Annual Meeting. There were 287,715,003 shares of Class A Common Stock outstanding on the Record Date, each having one vote per share, and there were 32,735,408 shares of Class B Common Stock outstanding on the Record Date, each having ten votes per share. All shares of Common Stock vote together as a single class. Accordingly, a total of 615,069,083 votes may be cast at the Annual Meeting. Information about the stockholdings of our directors and executive officers is contained in the section of this Proxy Statement entitled “Beneficial Ownership of Principal Stockholders, Officers and Directors” on page 35 of this Proxy Statement.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proxy card?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proxy card enables you to appoint Dr. Keyvan Mohajer, our Chief Executive Officer and a Director, Nitesh Sharan, our Chief Financial Officer, and Warren Heit, our general counsel, as your representatives at the Annual Meeting. By completing and returning the proxy card or voting online as described herein, you are authorizing Dr. Mohajer and Messrs. Sharan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are being asked to vote:</w:t>
      </w:r>
    </w:p>
    <w:p>
      <w:pPr>
        <w:spacing w:after="0" w:line="144" w:lineRule="exact"/>
        <w:rPr>
          <w:sz w:val="20"/>
          <w:szCs w:val="20"/>
          <w:color w:val="auto"/>
        </w:rPr>
      </w:pPr>
    </w:p>
    <w:p>
      <w:pPr>
        <w:jc w:val="both"/>
        <w:ind w:left="1320" w:right="459" w:hanging="434"/>
        <w:spacing w:after="0" w:line="266"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Company’s Board for a one-year term that expires at the 2025 Annual Meeting of Stockholders, or until their successors are elected and qualified;</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as the Company’s independent registered public accounting firm for the fiscal year ending December 31, 2024;</w:t>
      </w:r>
    </w:p>
    <w:p>
      <w:pPr>
        <w:spacing w:after="0" w:line="10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 xml:space="preserve">Our Board unanimously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Director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the Auditor as the Company’s independent registered public accounting firm for the fiscal year ending December 31, 2024,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on a non-binding, advisory basis, of the compensation of our named executive officers, and for </w:t>
      </w:r>
      <w:r>
        <w:rPr>
          <w:rFonts w:ascii="Times New Roman" w:cs="Times New Roman" w:eastAsia="Times New Roman" w:hAnsi="Times New Roman"/>
          <w:sz w:val="18"/>
          <w:szCs w:val="18"/>
          <w:b w:val="1"/>
          <w:bCs w:val="1"/>
          <w:color w:val="auto"/>
        </w:rPr>
        <w:t>“3 YEARS”</w:t>
      </w:r>
      <w:r>
        <w:rPr>
          <w:rFonts w:ascii="Times New Roman" w:cs="Times New Roman" w:eastAsia="Times New Roman" w:hAnsi="Times New Roman"/>
          <w:sz w:val="18"/>
          <w:szCs w:val="18"/>
          <w:color w:val="auto"/>
        </w:rPr>
        <w:t xml:space="preserve"> for the frequency of conducting future stockholder advisory votes on named executive officer compensation.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6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29" w:lineRule="exact"/>
        <w:rPr>
          <w:sz w:val="20"/>
          <w:szCs w:val="20"/>
          <w:color w:val="auto"/>
        </w:rPr>
      </w:pPr>
    </w:p>
    <w:p>
      <w:pPr>
        <w:jc w:val="both"/>
        <w:ind w:left="1320" w:right="459" w:hanging="434"/>
        <w:spacing w:after="0" w:line="256"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Use the internet to vote by going to the internet address listed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Internet Availability Notice; have your proxy card or Internet Availability Notice in hand as you will be prompted to enter your control number to create and submit an electronic vote. If you vote in this manner, your “proxy,” whose name is listed on the proxy card or Internet Availability Notice, will vote your shares as you instruct on the proxy card or Internet Availability Notice. If you sign and return the proxy card or submit an electronic vote but do not give instructions on how to vote your shares, your shares will be voted as recommended by the Board.</w:t>
      </w:r>
    </w:p>
    <w:p>
      <w:pPr>
        <w:spacing w:after="0" w:line="88" w:lineRule="exact"/>
        <w:rPr>
          <w:rFonts w:ascii="Times New Roman" w:cs="Times New Roman" w:eastAsia="Times New Roman" w:hAnsi="Times New Roman"/>
          <w:sz w:val="18"/>
          <w:szCs w:val="18"/>
          <w:b w:val="1"/>
          <w:bCs w:val="1"/>
          <w:color w:val="auto"/>
        </w:rPr>
      </w:pPr>
    </w:p>
    <w:p>
      <w:pPr>
        <w:jc w:val="both"/>
        <w:ind w:left="1320" w:right="459" w:hanging="434"/>
        <w:spacing w:after="0" w:line="261"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Via telephone</w:t>
      </w:r>
      <w:r>
        <w:rPr>
          <w:rFonts w:ascii="Times New Roman" w:cs="Times New Roman" w:eastAsia="Times New Roman" w:hAnsi="Times New Roman"/>
          <w:sz w:val="18"/>
          <w:szCs w:val="18"/>
          <w:color w:val="auto"/>
        </w:rPr>
        <w:t>. Using a touch-tone telephone, you may transmit your voting instructions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provided on your proxy card or Internet Availability Notice. Have your proxy card or Internet Availability Notice in hand as you will be prompted to enter your control number to create and submit a telephonic vote.</w:t>
      </w:r>
    </w:p>
    <w:p>
      <w:pPr>
        <w:spacing w:after="0" w:line="98" w:lineRule="exact"/>
        <w:rPr>
          <w:rFonts w:ascii="Times New Roman" w:cs="Times New Roman" w:eastAsia="Times New Roman" w:hAnsi="Times New Roman"/>
          <w:sz w:val="18"/>
          <w:szCs w:val="18"/>
          <w:b w:val="1"/>
          <w:bCs w:val="1"/>
          <w:color w:val="auto"/>
        </w:rPr>
      </w:pPr>
    </w:p>
    <w:p>
      <w:pPr>
        <w:jc w:val="both"/>
        <w:ind w:left="1320" w:right="479" w:hanging="434"/>
        <w:spacing w:after="0" w:line="267"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 person on a virtual basis</w:t>
      </w:r>
      <w:r>
        <w:rPr>
          <w:rFonts w:ascii="Times New Roman" w:cs="Times New Roman" w:eastAsia="Times New Roman" w:hAnsi="Times New Roman"/>
          <w:sz w:val="18"/>
          <w:szCs w:val="18"/>
          <w:color w:val="auto"/>
        </w:rPr>
        <w:t>. You may vote at the Annual Meeting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you log-in for the Annual Meeting. Have your proxy card or Internet Availability Notice in hand as you will be prompted to enter your control number to vote at the Annual Meeting.</w:t>
      </w:r>
    </w:p>
    <w:p>
      <w:pPr>
        <w:spacing w:after="0" w:line="78" w:lineRule="exact"/>
        <w:rPr>
          <w:rFonts w:ascii="Times New Roman" w:cs="Times New Roman" w:eastAsia="Times New Roman" w:hAnsi="Times New Roman"/>
          <w:sz w:val="18"/>
          <w:szCs w:val="18"/>
          <w:b w:val="1"/>
          <w:bCs w:val="1"/>
          <w:color w:val="auto"/>
        </w:rPr>
      </w:pPr>
    </w:p>
    <w:p>
      <w:pPr>
        <w:jc w:val="both"/>
        <w:ind w:left="1320" w:right="459" w:hanging="434"/>
        <w:spacing w:after="0" w:line="257"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If you requested printed copies of the proxy materials by mail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 record holder, you may vote by proxy by filling out the proxy card and sending it back in the envelope provided. If you requested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request a paper copy of the proxy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request a paper copy of proxy materials:</w:t>
      </w:r>
    </w:p>
    <w:p>
      <w:pPr>
        <w:spacing w:after="0" w:line="131"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You may obtain a paper copy of the proxy materials by writing to us at 5400 Betsy Ross</w:t>
      </w:r>
    </w:p>
    <w:p>
      <w:pPr>
        <w:spacing w:after="0" w:line="2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Santa Clara, CA, 95054, Attn: Warren Heit.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You may obtain a paper copy of the proxy materials by calling 1-800-579-1639 or the Company at (408) 441-3200.</w:t>
      </w:r>
    </w:p>
    <w:p>
      <w:pPr>
        <w:spacing w:after="0" w:line="80" w:lineRule="exact"/>
        <w:rPr>
          <w:rFonts w:ascii="Times New Roman" w:cs="Times New Roman" w:eastAsia="Times New Roman" w:hAnsi="Times New Roman"/>
          <w:sz w:val="18"/>
          <w:szCs w:val="18"/>
          <w:color w:val="auto"/>
        </w:rPr>
      </w:pPr>
    </w:p>
    <w:p>
      <w:pPr>
        <w:ind w:left="1320" w:right="459" w:hanging="434"/>
        <w:spacing w:after="0" w:line="261"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the Internet:You may obtain a paper copy of the proxy materials by logging on to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ind w:left="880"/>
        <w:spacing w:after="0"/>
        <w:tabs>
          <w:tab w:leader="none" w:pos="1300" w:val="left"/>
          <w:tab w:leader="none" w:pos="1660" w:val="left"/>
          <w:tab w:leader="none" w:pos="2720" w:val="left"/>
          <w:tab w:leader="none" w:pos="3160" w:val="left"/>
          <w:tab w:leader="none" w:pos="3620" w:val="left"/>
          <w:tab w:leader="none" w:pos="4200" w:val="left"/>
          <w:tab w:leader="none" w:pos="4440" w:val="left"/>
          <w:tab w:leader="none" w:pos="4980" w:val="left"/>
          <w:tab w:leader="none" w:pos="5480" w:val="left"/>
          <w:tab w:leader="none" w:pos="5780" w:val="left"/>
          <w:tab w:leader="none" w:pos="6140" w:val="left"/>
          <w:tab w:leader="none" w:pos="6720" w:val="left"/>
          <w:tab w:leader="none" w:pos="7520" w:val="left"/>
          <w:tab w:leader="none" w:pos="7840" w:val="left"/>
          <w:tab w:leader="none" w:pos="8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w:t>
        <w:tab/>
        <w:t>Email:</w:t>
      </w:r>
      <w:r>
        <w:rPr>
          <w:sz w:val="20"/>
          <w:szCs w:val="20"/>
          <w:color w:val="auto"/>
        </w:rPr>
        <w:tab/>
      </w:r>
      <w:r>
        <w:rPr>
          <w:rFonts w:ascii="Times New Roman" w:cs="Times New Roman" w:eastAsia="Times New Roman" w:hAnsi="Times New Roman"/>
          <w:sz w:val="18"/>
          <w:szCs w:val="18"/>
          <w:color w:val="auto"/>
        </w:rPr>
        <w:t>You</w:t>
        <w:tab/>
        <w:t>may</w:t>
        <w:tab/>
        <w:t>obtain</w:t>
        <w:tab/>
        <w:t>a</w:t>
        <w:tab/>
        <w:t>paper</w:t>
        <w:tab/>
        <w:t>copy</w:t>
        <w:tab/>
        <w:t>of</w:t>
        <w:tab/>
        <w:t>the</w:t>
        <w:tab/>
        <w:t>proxy</w:t>
        <w:tab/>
        <w:t>materials</w:t>
        <w:tab/>
        <w:t>by</w:t>
        <w:tab/>
        <w:t>email</w:t>
      </w:r>
      <w:r>
        <w:rPr>
          <w:sz w:val="20"/>
          <w:szCs w:val="20"/>
          <w:color w:val="auto"/>
        </w:rPr>
        <w:tab/>
      </w:r>
      <w:r>
        <w:rPr>
          <w:rFonts w:ascii="Times New Roman" w:cs="Times New Roman" w:eastAsia="Times New Roman" w:hAnsi="Times New Roman"/>
          <w:sz w:val="16"/>
          <w:szCs w:val="16"/>
          <w:color w:val="auto"/>
        </w:rPr>
        <w:t>at</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sendmaterial@proxyvote.com.</w:t>
      </w:r>
    </w:p>
    <w:p>
      <w:pPr>
        <w:spacing w:after="0" w:line="1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Please make your request for a paper copy as instructed above on or before May 29, 2024 to facilitate timely delivery.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may have multiple accounts at the transfer agent and/or with brokerage firms. Please sign and return all proxy cards to ensure that all of your shares are voted.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if I change my mind after I return my proxy?</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the polls close at the Annual Meeting. You may do this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to Warren Heit, our General Counsel, stating that you would like to revoke your proxy of a particular date;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card with a later date and returning it before the polls close at the Annual Meeting;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Annual Meeting.</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sign and return my proxy card?</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absent instructions from you. However, due to voting rules that may prevent your bank or broker from voting your uninstructed shares on a discretionary basis in the election of directors, the compensation of our named executive officers, the frequency of conducting future stockholder advisory votes on named executive officer compensation and other non-routine matters, it is important that you cast your vote.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may I vote with respect to each proposal and how are votes counted?</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each of proposals 2 and 3, you may vote “for” or “against” such proposal or you may “abstain” from casting a vote on such proposal. With respect to proposal 4, you may vote for “1 Year,” “2 Years” or “3 Years” or you may “abstain” from casting a vote on such proposal. Abstentions, votes marked “withheld” and broker non-votes will be counted for the purpose of determining whether a quorum is present at the Annual Meeting.</w:t>
      </w:r>
    </w:p>
    <w:p>
      <w:pPr>
        <w:spacing w:after="0" w:line="12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Broker non-votes occur on a matter when a broker is not permitted to vote on that matter without instructions from the beneficial owner and instructions are not given. These matters are referred to as “non-routine” matters. The election of the directors, the advisory vote on compensation of our named executive officers, and the frequency of conducting future stockholder advisory votes on named executive officer compensation are “non-routine.” Thus, in tabulating the voting result for these proposals, shares that constitute broker non-votes are not considered votes cast on that proposal. The ratification of the appointment of the Auditor is a “routine” matter and therefore a broker may vote on this matter without instructions from the beneficial owner as long as instructions are not given.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are required to elect the Director Nominees as directors of the Company?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are required to ratify the Company’s independent public accountants?</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ratify the Auditor as our independent registered public accounting firm for the year ending December 31, 2024. Abstentions will have the effect of a vote against the ratification of this proposal, but since this is a routine matter, brokers may vote at the Annual Meeting on this proposal provided that they have not received instructions from a beneficial owner.</w:t>
      </w:r>
    </w:p>
    <w:p>
      <w:pPr>
        <w:spacing w:after="0" w:line="16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to approve, on a non-binding, advisory basis, the compensation of the Company’s named executive officers?</w:t>
      </w:r>
    </w:p>
    <w:p>
      <w:pPr>
        <w:spacing w:after="0" w:line="6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 Abstentions will have the same effect as votes against the proposal. Broker non-votes will have no effect on the approval of the compensation of our named executive officers.</w:t>
      </w:r>
    </w:p>
    <w:p>
      <w:pPr>
        <w:spacing w:after="0" w:line="16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to approve, on a non-binding, advisory basis, the frequency of conducting future stockholder advisory votes on named executive officer compensation?</w:t>
      </w:r>
    </w:p>
    <w:p>
      <w:pPr>
        <w:spacing w:after="0" w:line="6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determination of the frequency of conducting future stockholder advisory votes on named executive officer compensation, the frequency receiving the highest number of affirmative votes at the Annual Meeting will be deemed to the be frequency selected by our stockholders. Only shares that are voted in favor of a particular frequency will be counted toward that frequency’s achievement of a plurality. Shares present at the Annual Meeting that are not voted for a particular frequency or shares present by proxy where the stockholder properly withheld authority to vote for such frequency will not be counted toward that frequency’s achievement of a plurality. Broker non-votes will have no effect on the determination of the frequency of conducting future stockholder advisory votes on named executive officer compensation.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don’t indicate how to vote my proxy?</w:t>
      </w:r>
    </w:p>
    <w:p>
      <w:pPr>
        <w:spacing w:after="0" w:line="13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just sign your proxy card without providing further instructions, your shares will be counted as a “for” vote for all of the Director Nominees,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13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identifying stockholders are kept confidential and will not be disclosed except as may be necessary to meet legal requirements.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do I find the voting results of the Annual Meeting?</w:t>
      </w:r>
    </w:p>
    <w:p>
      <w:pPr>
        <w:spacing w:after="0" w:line="13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may announce voting results at the Annual Meeting and will file a Current Report on Form 8-K announcing the voting results of the Annual Meeting.</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bears the cost of soliciting proxies?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you, as a stockholder of SoundHound AI, Inc., as part of the solicitation of proxies by our Board for use at the Annual Meeting to be held on June 12, 2024, and any adjournment or postponement thereof. This Proxy Statement is first being furnished to stockholders on or about May 3, 2024. This Proxy Statement provides you with information you need to know to be able to vote or instruct your proxy how to vote at the Annual Meeting.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Date, Time, Place of Annual Meeting</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a virtual basis on Wednesday, June 12, 2024 at 8:00 a.m. Pacific Time, or such other date, time and place to which the Annual Meeting may be adjourned or postponed.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Purpose of the Annual Meeting</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 will ask stockholders to consider and vote upon the following proposals:</w:t>
      </w:r>
    </w:p>
    <w:p>
      <w:pPr>
        <w:spacing w:after="0" w:line="81" w:lineRule="exact"/>
        <w:rPr>
          <w:sz w:val="20"/>
          <w:szCs w:val="20"/>
          <w:color w:val="auto"/>
        </w:rPr>
      </w:pPr>
    </w:p>
    <w:p>
      <w:pPr>
        <w:ind w:left="1320" w:right="45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 Nominees to serve on the Board for a one-year term that expires at the 2025 Annual Meeting of Stockholders, or until their successors are elected and qualified;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Recommendations of the Board</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After careful consideration of each nominee for director, the Board has unanimously determined to recommend that stockholders vote “FOR” each of the Director Nominees,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Record Date and Voting Power</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fixed the close of business on April 15, 2024, as the record date for the determination of the outstanding shares of Common Stock entitled to notice of, and to vote on, the matters presented at the Annual Meeting. As of the Record Date, there were an aggregate of 320,450,411 shares of Common Stock outstanding, consisting of 287,715,003 shares of Class A Common Stock and 32,735,408 shares of Class B Common Stock. Each share of Class A Common Stock entitles the holder thereof to one vote and each share of Class B Common Stock entitles the holder thereof to ten votes. All shares of Common Stock vote together as a single class. Accordingly, a total of 615,069,083 votes may be cast at the Annual Meeting.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Quorum and Required Vote</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ratify the Auditor as our independent registered public accounting firm for the year ending December 31, 2024. Abstentions will have the effect of a vote against the ratification of the appointment of the Auditor. Brokers may use their discretion to vote shares held by them of record for this proposal if they have not been provided with voting instructions from the beneficial owner of the shares of Common Stock.</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 Abstentions will have the same effect as votes against the proposal. Broker non-votes will have no effect on the approval of the compensation of our named executive officers.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determination of the frequency of conducting future stockholder advisory votes on named executive officer compensation, the frequency receiving the highest number of affirmative votes at the Annual Meeting will be deemed to the be frequency selected by our stockholders. Only shares that are voted in favor of a particular frequency will be counted toward that frequency’s achievement of a plurality. Shares present at the Annual Meeting that are not voted for a particular frequency or shares present by proxy where the stockholder properly withheld authority to vote for such frequency will not be counted toward that frequency’s achievement of a plurality. Broker non-votes will have no effect on the determination of the frequency of conducting future stockholder advisory votes on named executive officer compensation.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56" w:lineRule="exact"/>
        <w:rPr>
          <w:sz w:val="20"/>
          <w:szCs w:val="20"/>
          <w:color w:val="auto"/>
        </w:rPr>
      </w:pPr>
    </w:p>
    <w:p>
      <w:pPr>
        <w:jc w:val="both"/>
        <w:ind w:left="1320" w:right="459" w:hanging="434"/>
        <w:spacing w:after="0" w:line="256"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Use the internet to vote by going to the internet address listed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Internet Availability Notice; have your proxy card or Internet Availability Notice in hand as you will be prompted to enter your control number and to create and submit an electronic vote. If you vote in this manner, your “proxy,” whose name is listed on the proxy card or Internet Availability Notice, will vote your shares as you instruct on the proxy card. If you sign and return the proxy card or submit an electronic vote but do not give instructions on how to vote your shares, your shares will be voted as recommended by the Board.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Telephone</w:t>
      </w:r>
      <w:r>
        <w:rPr>
          <w:rFonts w:ascii="Times New Roman" w:cs="Times New Roman" w:eastAsia="Times New Roman" w:hAnsi="Times New Roman"/>
          <w:sz w:val="18"/>
          <w:szCs w:val="18"/>
          <w:color w:val="auto"/>
        </w:rPr>
        <w:t>. Using a touch-tone telephone, you may transmit your voting instructions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provided on your proxy card or Internet Availability Notice. Have your proxy card or Internet Availability Notice in hand as you will be prompted to enter your control number to create and submit a telephonic vote.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person on a virtual basis</w:t>
      </w:r>
      <w:r>
        <w:rPr>
          <w:rFonts w:ascii="Times New Roman" w:cs="Times New Roman" w:eastAsia="Times New Roman" w:hAnsi="Times New Roman"/>
          <w:sz w:val="18"/>
          <w:szCs w:val="18"/>
          <w:color w:val="auto"/>
        </w:rPr>
        <w:t>. You may vote at the Annual Meeting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you log-in for the Annual Meeting. Have your proxy card or Internet Availability Notice in hand as you will be prompted to enter your control number to vote at the Annual Meeting.</w:t>
      </w:r>
    </w:p>
    <w:p>
      <w:pPr>
        <w:spacing w:after="0" w:line="105" w:lineRule="exact"/>
        <w:rPr>
          <w:rFonts w:ascii="Times New Roman" w:cs="Times New Roman" w:eastAsia="Times New Roman" w:hAnsi="Times New Roman"/>
          <w:sz w:val="18"/>
          <w:szCs w:val="18"/>
          <w:color w:val="auto"/>
        </w:rPr>
      </w:pPr>
    </w:p>
    <w:p>
      <w:pPr>
        <w:jc w:val="both"/>
        <w:ind w:left="1320" w:right="479" w:hanging="434"/>
        <w:spacing w:after="0" w:line="257"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If you request printed copies of the proxy materials by mail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 record holder, you may vote by proxy by filling out the proxy card and sending it back in the envelope provided. If you request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0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Revocability of Proxies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Right of Appraisal</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None of Delaware law, our Certificate of Incorporation, or our Bylaws, each as amended, provides for appraisal or other similar rights for dissenting stockholders in connection with any of the proposals to be voted upon at this Annual Meeting. Accordingly, our stockholders will have no right to dissent and obtain payment for their shares.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Who Can Answer Your Questions About Voting Your Shares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Principal Offices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5400 Betsy Ross Drive, Santa Clara, CA, 95054. The Company’s telephone number at such address is (408) 441-3200.</w:t>
      </w:r>
    </w:p>
    <w:p>
      <w:pPr>
        <w:spacing w:after="0" w:line="9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ANNUAL MEETING. THE BOARD UNANIMOUSLY RECOMMENDS A VOTE “FOR” THE ELECTION OF EACH DIRECTOR NOMINEE,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proxy statement, the terms, “we,” “us,” “our” “the Company” “SoundHound,” or “SoundHound AI” refer to, a Delaware corporation. Further, in this document:</w:t>
      </w:r>
    </w:p>
    <w:p>
      <w:pPr>
        <w:spacing w:after="0" w:line="94" w:lineRule="exact"/>
        <w:rPr>
          <w:sz w:val="20"/>
          <w:szCs w:val="20"/>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Charter” means the Second Amended &amp; Restated Certificate of Incorporation of the Company, which took effect upon the filing thereof in the State of Delaware.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means our Annual Report on Form 10-K for the year ended December 31, 2023, filed with the SEC on March 1, 2024.</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consummated pursuant to that certain Merger Agreement, dated as of November 15, 2021, by and among Archimedes Tech SPAC Partners Co., ATSPC Merger Sub and SoundHound, Inc., as it may be amended or supplemented.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Amended &amp; Restated Bylaws of the Company, which took effect upon the effectiveness of the Amended Charter.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or “Class A Shares” means the Class A common stock, $0.0001 par value per share, of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or “Class B Shares” means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19"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 means SoundHound, Inc., prior to the consummation of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has nominated the Director Nominees to stand for election at the Annual Meeting. Stockholders will be asked to elect each of the Director Nominees, each to hold office until the 2025 Annual Meeting of Stockholders or until his or her successor is elected and qualified. The enclosed proxy, if returned, and unless indicated to the contrary, will be voted for the election of each of the Director Nominees.</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Qualifications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Nominees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sets forth the biographical background information for all of our Director Nominees:</w:t>
      </w:r>
    </w:p>
    <w:p>
      <w:pPr>
        <w:spacing w:after="0" w:line="15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has been our Chief Executive Officer and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the consummation of the Business Combination in April 2022. Dr. Mohajer has served as Legacy SoundHound’s Chief Executive Officer and a member of Legacy SoundHound’s Board of Directors (the “</w:t>
      </w:r>
      <w:r>
        <w:rPr>
          <w:rFonts w:ascii="Times New Roman" w:cs="Times New Roman" w:eastAsia="Times New Roman" w:hAnsi="Times New Roman"/>
          <w:sz w:val="18"/>
          <w:szCs w:val="18"/>
          <w:b w:val="1"/>
          <w:bCs w:val="1"/>
          <w:color w:val="auto"/>
        </w:rPr>
        <w:t>Legacy SoundHound Board</w:t>
      </w:r>
      <w:r>
        <w:rPr>
          <w:rFonts w:ascii="Times New Roman" w:cs="Times New Roman" w:eastAsia="Times New Roman" w:hAnsi="Times New Roman"/>
          <w:sz w:val="18"/>
          <w:szCs w:val="18"/>
          <w:color w:val="auto"/>
        </w:rPr>
        <w:t>”) since 2005, when he co-founded Legacy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James Hom has been a member of the Board and Chief Product Officer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Mr. Hom, one of SoundHound’s co-founders, has served as Vice President of Products and the Chief Product Officer and a member of the Legacy SoundHound Board since 2006. As Chief Product Officer, Mr. Hom leads product development and advancement of SoundHound’s Voice AI platform and 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Sroka. </w:t>
      </w:r>
      <w:r>
        <w:rPr>
          <w:rFonts w:ascii="Times New Roman" w:cs="Times New Roman" w:eastAsia="Times New Roman" w:hAnsi="Times New Roman"/>
          <w:sz w:val="18"/>
          <w:szCs w:val="18"/>
          <w:color w:val="auto"/>
        </w:rPr>
        <w:t>Diana Sroka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In 2001, Ms. Sroka joined HP Inc. (“</w:t>
      </w:r>
      <w:r>
        <w:rPr>
          <w:rFonts w:ascii="Times New Roman" w:cs="Times New Roman" w:eastAsia="Times New Roman" w:hAnsi="Times New Roman"/>
          <w:sz w:val="18"/>
          <w:szCs w:val="18"/>
          <w:b w:val="1"/>
          <w:bCs w:val="1"/>
          <w:color w:val="auto"/>
        </w:rPr>
        <w:t>HP</w:t>
      </w:r>
      <w:r>
        <w:rPr>
          <w:rFonts w:ascii="Times New Roman" w:cs="Times New Roman" w:eastAsia="Times New Roman" w:hAnsi="Times New Roman"/>
          <w:sz w:val="18"/>
          <w:szCs w:val="18"/>
          <w:color w:val="auto"/>
        </w:rPr>
        <w:t>”)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and in July 2023, she was elected the Treasurer of the Executive Committee.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2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the Company’s initial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offering in March 2021 and remained on the Board following the Business Combination.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foregoing, we believe that each of the Director Nominees that is nominated for reelection is well-qualified to serve as a member of our Board due to their prior experience and work with and on our Board.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cast at the Annual Meeting will be elected.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56"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ELECTION OF EACH OF THE NOMINEES FOR DIRECTOR.</w:t>
      </w:r>
    </w:p>
    <w:p>
      <w:pPr>
        <w:sectPr>
          <w:pgSz w:w="11900" w:h="16838" w:orient="portrait"/>
          <w:cols w:equalWidth="0" w:num="1">
            <w:col w:w="9019"/>
          </w:cols>
          <w:pgMar w:left="1440" w:top="270"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EXECUTIVE OFFICERS, DIRECTORS, AND 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Listed below are the names of the current directors and executive officers of the Company, their ages and positions held as of the Record Date and biographies if not disclosed above: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Chief Product Office</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Science Office and Senior Vice President of Engineering</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 and serves as a senior executive leader.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oversees the activities of our management in the handling of the business and affairs of our company. Our Class A Common Stock trades on the Nasdaq Capital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Role of Board in Risk Oversight Process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face a number of risks, including those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Annual Report on Form 10-K.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Committees of the Board</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w:cs="Times New Roman" w:eastAsia="Times New Roman" w:hAnsi="Times New Roman"/>
          <w:sz w:val="18"/>
          <w:szCs w:val="18"/>
          <w:i w:val="1"/>
          <w:iCs w:val="1"/>
          <w:color w:val="auto"/>
        </w:rPr>
        <w:t>investors.soundhound.com/corporate-governance/documents-charters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Audit Committee oversees our corporate accounting, financial reporting practices and the audits of financial statements. For this purpose, the Audit Committee has a charter (which is reviewed annually) and performs several functions. The Audit Committee:</w:t>
      </w:r>
    </w:p>
    <w:p>
      <w:pPr>
        <w:spacing w:after="0" w:line="108" w:lineRule="exact"/>
        <w:rPr>
          <w:sz w:val="20"/>
          <w:szCs w:val="20"/>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independence and performance of, and assesses the qualifications of, our independent auditor and engages such independent auditor;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plan and fees for the annual audit, quarterly reviews, tax and other audit-related services and approves in advance any non-audit service and fees therefor to be provided by the independent auditor;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independence of the independent auditor and the rotation of partners of the independent auditor on our engagement team as required by law;</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all aspects of our systems of internal accounting and financial reporting control and corporate governance functions on behalf of the board;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93"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Audit Committee Report</w:t>
      </w:r>
      <w:r>
        <w:rPr>
          <w:rFonts w:ascii="Times New Roman" w:cs="Times New Roman" w:eastAsia="Times New Roman" w:hAnsi="Times New Roman"/>
          <w:sz w:val="18"/>
          <w:szCs w:val="18"/>
          <w:color w:val="auto"/>
        </w:rPr>
        <w:t>” for further matters related to the Audit Committee.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w:t>
      </w:r>
    </w:p>
    <w:p>
      <w:pPr>
        <w:spacing w:after="0" w:line="114"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Compensation Committee Report</w:t>
      </w:r>
      <w:r>
        <w:rPr>
          <w:rFonts w:ascii="Times New Roman" w:cs="Times New Roman" w:eastAsia="Times New Roman" w:hAnsi="Times New Roman"/>
          <w:sz w:val="18"/>
          <w:szCs w:val="18"/>
          <w:color w:val="auto"/>
        </w:rPr>
        <w:t>” for further matters related to the Compensation Committee.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Attendance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Board held during fiscal year 2023. Each of our directors attended all of the meetings of the Board held during fiscal year 2023, while such director was a member of the Board.</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were six (6) meetings, exclusive of action by unanimous written consent, of the Audit Committee held during fiscal year 2023. Each of the committee members attended all of the meetings of the Audit Committee held during fiscal year 2023, while such committee member served on the Audit Committee.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Compensation Committee held during fiscal year 2023. Each of the committee members attended all of the meetings of the Compensation Committee held during fiscal year 2023, while such committee member served on the Compensation Committee.</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Nominating and Corporate Governance Committee held during fiscal year 2023. Each of the committee members attended all of the meetings of the Nominating and Corporate Governance Committee held during fiscal year 2023, while such committee member served on the Nominating and Corporate Governance Committee.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Attendance at Annual Meeting of Stockholders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the attendance of our Board members at our annual meetings of stockholders, but we expect all directors to make every effort to attend any meeting of stockholders.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for information about related party transactions involving members of our Compensation Committee or their affiliates.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Section 16(a) Beneficial Ownership Reporting Compliance</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that they file. Based upon a review of these filings, the Company believes that all required Section 16(a) filings were made on a timely basis during fiscal year 2023, except that Global Catalyst Partners, a former ten percent holder, filed one late Form 4 reporting one transaction.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Diversity Matrix</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Board Diversity Matrix (as of April 29, 2024)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(5 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1"/>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Hispanic, Latino or Latina</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Undisclosed</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One director identifies as Middle Eastern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Compensation Committee of the Board, which is comprised solely of independent directors within the meaning of applicable rules of Nasdaq, outside directors within the meaning of Section 162(m)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non-employee directors within the meaning of Rule 16b-3 under the Exchange Act, is responsible for developing executive compensation policies and advising the Board with respect to such policies and administering the Company’s cash and equity incentive plans. The Compensation Committee sets performance goals and objectives for the CEO and the other executive officers, evaluates their performance with respect to those goals and sets their compensation based upon the evaluation of their performance. In evaluating executive officer pay, the Compensation Committee may retain the services of a compensation consultant and consider recommendations from the CEO with respect to goals and compensation of the other executive officers. The Compensation Committee assesses the information it receives in accordance with its business judgment. The Compensation Committee also periodically reviews non-employee director compensation. All decisions with respect to executive compensation are approved by the Compensation Committee and all decisions with respect to director compensation are recommended by the Compensation Committee to the full Board for approval.</w:t>
      </w:r>
    </w:p>
    <w:p>
      <w:pPr>
        <w:spacing w:after="0" w:line="13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 by the Compensation Committee: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Larry Marcus, Chair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Eric Ball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Our compensation discussion and analysis (“</w:t>
      </w:r>
      <w:r>
        <w:rPr>
          <w:rFonts w:ascii="Times New Roman" w:cs="Times New Roman" w:eastAsia="Times New Roman" w:hAnsi="Times New Roman"/>
          <w:sz w:val="18"/>
          <w:szCs w:val="18"/>
          <w:b w:val="1"/>
          <w:bCs w:val="1"/>
          <w:color w:val="auto"/>
        </w:rPr>
        <w:t>CD&amp;A</w:t>
      </w:r>
      <w:r>
        <w:rPr>
          <w:rFonts w:ascii="Times New Roman" w:cs="Times New Roman" w:eastAsia="Times New Roman" w:hAnsi="Times New Roman"/>
          <w:sz w:val="18"/>
          <w:szCs w:val="18"/>
          <w:color w:val="auto"/>
        </w:rPr>
        <w:t>”) describes our executive-compensation philosophy and program as reported in the executive compensation tables that follow, which provide information relating primarily to compensation decisions for the following 2023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of the Company:</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500" w:type="dxa"/>
            <w:vAlign w:val="bottom"/>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r>
      <w:tr>
        <w:trPr>
          <w:trHeight w:val="47"/>
        </w:trPr>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00" w:type="dxa"/>
            <w:vAlign w:val="bottom"/>
          </w:tcPr>
          <w:p>
            <w:pPr>
              <w:spacing w:after="0"/>
              <w:rPr>
                <w:sz w:val="4"/>
                <w:szCs w:val="4"/>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5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00" w:type="dxa"/>
            <w:vAlign w:val="bottom"/>
          </w:tcPr>
          <w:p>
            <w:pPr>
              <w:spacing w:after="0"/>
              <w:rPr>
                <w:sz w:val="4"/>
                <w:szCs w:val="4"/>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49"/>
        </w:trPr>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5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designed our executive compensation programs to support the goals below:</w:t>
      </w:r>
    </w:p>
    <w:p>
      <w:pPr>
        <w:spacing w:after="0" w:line="158"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 that can help us scale as a newly public company and beyond;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and substantially link rewards to measurable corporate and individual performance;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alignment of executives with the goal of creating long-term shareholder value;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 low and grow in progressing overall compensation package value to market.</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Long-term incentives for NEOs are emphasized more in our executives’ total compensation packages.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the structure of our executive compensation policies continues to be appropriately aligned to the achievement of Company goals and objectives and the best interests of shareholders. Corporate performance is taken into account in setting compensation policies and making decisions, which include, but are not limited to, revenue, profitability, annual recurring revenue, and stock price.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 and Best Practices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committed to including strong governance standards in our compensation programs. Our key compensation practices include the following:</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0" w:type="dxa"/>
            <w:vAlign w:val="bottom"/>
          </w:tcPr>
          <w:p>
            <w:pPr>
              <w:spacing w:after="0"/>
              <w:rPr>
                <w:sz w:val="18"/>
                <w:szCs w:val="18"/>
                <w:color w:val="auto"/>
              </w:rPr>
            </w:pPr>
          </w:p>
        </w:tc>
        <w:tc>
          <w:tcPr>
            <w:tcW w:w="384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What We Do</w:t>
            </w:r>
          </w:p>
        </w:tc>
        <w:tc>
          <w:tcPr>
            <w:tcW w:w="404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What We Do Not Do</w:t>
            </w:r>
          </w:p>
        </w:tc>
        <w:tc>
          <w:tcPr>
            <w:tcW w:w="0" w:type="dxa"/>
            <w:vAlign w:val="bottom"/>
          </w:tcPr>
          <w:p>
            <w:pPr>
              <w:spacing w:after="0"/>
              <w:rPr>
                <w:sz w:val="1"/>
                <w:szCs w:val="1"/>
                <w:color w:val="auto"/>
              </w:rPr>
            </w:pPr>
          </w:p>
        </w:tc>
      </w:tr>
      <w:tr>
        <w:trPr>
          <w:trHeight w:val="87"/>
        </w:trPr>
        <w:tc>
          <w:tcPr>
            <w:tcW w:w="22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220" w:type="dxa"/>
            <w:vAlign w:val="bottom"/>
          </w:tcPr>
          <w:p>
            <w:pPr>
              <w:spacing w:after="0"/>
              <w:rPr>
                <w:sz w:val="24"/>
                <w:szCs w:val="24"/>
                <w:color w:val="auto"/>
              </w:rPr>
            </w:pP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Prioritize performance-based, at-risk compensation</w:t>
            </w:r>
          </w:p>
        </w:tc>
        <w:tc>
          <w:tcPr>
            <w:tcW w:w="100" w:type="dxa"/>
            <w:vAlign w:val="bottom"/>
            <w:vMerge w:val="continue"/>
          </w:tcPr>
          <w:p>
            <w:pPr>
              <w:spacing w:after="0"/>
              <w:rPr>
                <w:sz w:val="24"/>
                <w:szCs w:val="24"/>
                <w:color w:val="auto"/>
              </w:rPr>
            </w:pPr>
          </w:p>
        </w:tc>
        <w:tc>
          <w:tcPr>
            <w:tcW w:w="40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significant perquisites</w:t>
            </w:r>
          </w:p>
        </w:tc>
        <w:tc>
          <w:tcPr>
            <w:tcW w:w="0" w:type="dxa"/>
            <w:vAlign w:val="bottom"/>
          </w:tcPr>
          <w:p>
            <w:pPr>
              <w:spacing w:after="0"/>
              <w:rPr>
                <w:sz w:val="1"/>
                <w:szCs w:val="1"/>
                <w:color w:val="auto"/>
              </w:rPr>
            </w:pPr>
          </w:p>
        </w:tc>
      </w:tr>
      <w:tr>
        <w:trPr>
          <w:trHeight w:val="379"/>
        </w:trPr>
        <w:tc>
          <w:tcPr>
            <w:tcW w:w="220" w:type="dxa"/>
            <w:vAlign w:val="bottom"/>
          </w:tcPr>
          <w:p>
            <w:pPr>
              <w:spacing w:after="0"/>
              <w:rPr>
                <w:sz w:val="24"/>
                <w:szCs w:val="24"/>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Emphasize equity compensation to promote</w:t>
            </w:r>
          </w:p>
        </w:tc>
        <w:tc>
          <w:tcPr>
            <w:tcW w:w="40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Permit hedging or pledging of our stock</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retention</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Engage an independent compensation consultant</w:t>
            </w:r>
          </w:p>
        </w:tc>
        <w:tc>
          <w:tcPr>
            <w:tcW w:w="40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single-trigger cash payments upon a</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control</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 compensation that aligns executives with our</w:t>
            </w:r>
          </w:p>
        </w:tc>
        <w:tc>
          <w:tcPr>
            <w:tcW w:w="40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tax-gross ups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goal of creating long-term shareholder value</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Executive Compensation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vote on both the compensation of our NEOs (on an advisory basis) and how often we should hold this vote. We expect that our Compensation Committee will consider the result of the annual Say-on-Pay vote in determining the ongoing design and administration of our executive compensation program.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Executive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the Compensation Committee</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and overseeing our executive compensation programs, and annually reviewing and determining the compensation to be provided to our NEOs.</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Management</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executives consulted with the Compensation Committee in 2023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Compensation Consultant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Compensia (“Compensia” or the “Compensation Consultant”) has provided executive consulting services to our Compensation Committee. The Compensation Committee most recently engaged Compensia in November 2021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Compensia developed the below peer group in November 2021, which continues to inform our executive compensation programs. Specifically, we use peer group data to obtain compensation benchmarks for our named executive officers, specifically with technology companies, with a focus on software companies, with revenue below $500M and market cap between $500M to $5B.</w:t>
      </w: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AppFolio</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Domo</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Ping Identity</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Riot Blockchain</w:t>
            </w:r>
          </w:p>
        </w:tc>
      </w:tr>
      <w:tr>
        <w:trPr>
          <w:trHeight w:val="234"/>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Holding</w:t>
            </w: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Yext</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SPS Commerce</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Cerence</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QAD</w:t>
            </w: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PROS Holdings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Model N</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PagerDuty</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Upland Software</w:t>
            </w:r>
          </w:p>
        </w:tc>
      </w:tr>
      <w:tr>
        <w:trPr>
          <w:trHeight w:val="38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Qualys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SailPoint</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LivePerson</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Zuora</w:t>
            </w:r>
          </w:p>
        </w:tc>
      </w:tr>
      <w:tr>
        <w:trPr>
          <w:trHeight w:val="234"/>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Technologies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Ideanomics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Momentive Global</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Agilysys</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review our compensation levels annually against our peer group and assess executives based on their individual performance and overall company performance. The Compensation Committee, comprised entirely of independent directors, then reviews these recommendations, considers any relevant guidance from the Compensation Consultant, and makes the final decision on compensation for our named executive officers.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15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Base salary represents the fixed portion of an executive officer’s compensation and is intended to provide compensation for day-to-day performance. At the beginning of 2023, the Company had implemented a Salary Exchange Program (“SEP”) in place from December 1, 2022 through May 31, 2023 where the executives’ salary was reduced by 15% for the duration, and in lieu of this reduction, the equivalent value of the reduction was granted as Restricted Stock Awards at the November 30, 2022 closing price of $1.28 and released and fully vested on August 21, 2023. Dr. Mohajer elected to participate in the 15% reduction but did not receive an equivalent grant. Also, during the annual compensation review of the executive team, no salary increases were put into effect for 2023.</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of December 31, 2023, our NEOs’ annualized base salaries were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Base Salary</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Annual bonus compensation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2023, as part of their employment agreements, executives were eligible for bonuses,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Our 2023 annual bonus compensation plan included the following goals and weightings: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 Performance</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300" w:type="dxa"/>
            <w:vAlign w:val="bottom"/>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(earned %)</w:t>
            </w:r>
          </w:p>
        </w:tc>
        <w:tc>
          <w:tcPr>
            <w:tcW w:w="0" w:type="dxa"/>
            <w:vAlign w:val="bottom"/>
          </w:tcPr>
          <w:p>
            <w:pPr>
              <w:spacing w:after="0"/>
              <w:rPr>
                <w:sz w:val="1"/>
                <w:szCs w:val="1"/>
                <w:color w:val="auto"/>
              </w:rPr>
            </w:pPr>
          </w:p>
        </w:tc>
      </w:tr>
      <w:tr>
        <w:trPr>
          <w:trHeight w:val="47"/>
        </w:trPr>
        <w:tc>
          <w:tcPr>
            <w:tcW w:w="2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$46.5M</w:t>
            </w:r>
          </w:p>
        </w:tc>
        <w:tc>
          <w:tcPr>
            <w:tcW w:w="13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$43M – $50M</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$45.9M (91%)</w:t>
            </w:r>
          </w:p>
        </w:tc>
        <w:tc>
          <w:tcPr>
            <w:tcW w:w="0" w:type="dxa"/>
            <w:vAlign w:val="bottom"/>
          </w:tcPr>
          <w:p>
            <w:pPr>
              <w:spacing w:after="0"/>
              <w:rPr>
                <w:sz w:val="1"/>
                <w:szCs w:val="1"/>
                <w:color w:val="auto"/>
              </w:rPr>
            </w:pPr>
          </w:p>
        </w:tc>
      </w:tr>
      <w:tr>
        <w:trPr>
          <w:trHeight w:val="194"/>
        </w:trPr>
        <w:tc>
          <w:tcPr>
            <w:tcW w:w="2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Fourth Quarter Adjusted</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$2M</w:t>
            </w:r>
          </w:p>
        </w:tc>
        <w:tc>
          <w:tcPr>
            <w:tcW w:w="130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$0 – $4M</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($3.7)M (0%)</w:t>
            </w: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Recurring 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$40M</w:t>
            </w:r>
          </w:p>
        </w:tc>
        <w:tc>
          <w:tcPr>
            <w:tcW w:w="13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$30M – $50M</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Below target (0%)</w:t>
            </w:r>
          </w:p>
        </w:tc>
        <w:tc>
          <w:tcPr>
            <w:tcW w:w="0" w:type="dxa"/>
            <w:vAlign w:val="bottom"/>
          </w:tcPr>
          <w:p>
            <w:pPr>
              <w:spacing w:after="0"/>
              <w:rPr>
                <w:sz w:val="1"/>
                <w:szCs w:val="1"/>
                <w:color w:val="auto"/>
              </w:rPr>
            </w:pPr>
          </w:p>
        </w:tc>
      </w:tr>
      <w:tr>
        <w:trPr>
          <w:trHeight w:val="19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Achieved at varying levels up to</w:t>
            </w:r>
          </w:p>
        </w:tc>
        <w:tc>
          <w:tcPr>
            <w:tcW w:w="0" w:type="dxa"/>
            <w:vAlign w:val="bottom"/>
          </w:tcPr>
          <w:p>
            <w:pPr>
              <w:spacing w:after="0"/>
              <w:rPr>
                <w:sz w:val="1"/>
                <w:szCs w:val="1"/>
                <w:color w:val="auto"/>
              </w:rPr>
            </w:pPr>
          </w:p>
        </w:tc>
      </w:tr>
      <w:tr>
        <w:trPr>
          <w:trHeight w:val="234"/>
        </w:trPr>
        <w:tc>
          <w:tcPr>
            <w:tcW w:w="2320" w:type="dxa"/>
            <w:vAlign w:val="bottom"/>
            <w:vMerge w:val="continue"/>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Based on the Company’s strong 2023 performance, the following amounts were earned under our annual bonus compensation plan: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2023 Bonus</w:t>
            </w:r>
          </w:p>
        </w:tc>
        <w:tc>
          <w:tcPr>
            <w:tcW w:w="14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2023 Bonus</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Earned</w:t>
            </w:r>
          </w:p>
        </w:tc>
        <w:tc>
          <w:tcPr>
            <w:tcW w:w="14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Actually Paid</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54,181</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54,181</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Bonuses were paid in March 2024 based on our 2023 fiscal year performance. Even though revenue performance targets were met, the Compensation Committee reviewed the overall achievement and considered other measures of the Company and determined that 25.8% pay-out on targets was more aligned with our financial situation. Accordingly, the Compensation Committee exercised its discretion to reduce payouts to 25% of the amount earned for each of our NEOs.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Equity Incentive Compensation</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equity incentives in the form of service vesting-based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benchmarking against companies in the same industry that are similar in size, value, and market cap, equity incentive awards for 2023 in the form of Restricted Stock Awards were determined by targeting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our peer group. Total Compensation packages are highly leveraged on equity to provide overall packages that are both competitive to the market, while aligning our status as a newly public company on the path to profitability.</w:t>
      </w:r>
    </w:p>
    <w:p>
      <w:pPr>
        <w:spacing w:after="0" w:line="10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Compensation Committee’s benchmarking and considering the equity awards granted to our NEOs in 2022 in connection with their entering into new employment agreements, the Compensation Committee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determined to grant service-based-vesting restricted stock to our NEOs in 2023 to enhance retention. The details of the grants made to each NEO in 2023 are shown in the table below. The awards vest in 36 monthly increments beginning in September 2023. The table below does not include the restricted stock grants made to some of our NEOs pursuant to the salary reduction program discussed above.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Restricted</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Received in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Received</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1,326,000</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773,500</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restricted stock awards made pursuant to the salary reduction program.</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Retirement Savings, Health, and Welfare Benefits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Other Employee Benefits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generally do not provide perquisites to our NEOs, and we do not view perquisites or other personal benefits as a significant component of our executive compensation program.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Severance and Change in Control Arrangements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Considerations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Derivatives Trading, Hedging, and Pledging Policies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Tax and Accounting Considerations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 million. Our Compensation Committee may exercise business judgment in accordance with its compensation philosophy to award compensation that is not tax deductible if it determines that such award is in the best interests of the Company and our stockholders.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Award Timing</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grant equity awards in anticipation of the release of material nonpublic information. Similarly, we do not time the release of material nonpublic information based on equity award grant dates.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for Share-Based Compensation</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follow Financial Accounting Standard Board Accounting Standards Codification Topic 718, (“</w:t>
      </w:r>
      <w:r>
        <w:rPr>
          <w:rFonts w:ascii="Times New Roman" w:cs="Times New Roman" w:eastAsia="Times New Roman" w:hAnsi="Times New Roman"/>
          <w:sz w:val="18"/>
          <w:szCs w:val="18"/>
          <w:b w:val="1"/>
          <w:bCs w:val="1"/>
          <w:color w:val="auto"/>
        </w:rPr>
        <w:t>ASC Topic 718</w:t>
      </w:r>
      <w:r>
        <w:rPr>
          <w:rFonts w:ascii="Times New Roman" w:cs="Times New Roman" w:eastAsia="Times New Roman" w:hAnsi="Times New Roman"/>
          <w:sz w:val="18"/>
          <w:szCs w:val="18"/>
          <w:color w:val="auto"/>
        </w:rPr>
        <w:t>”), for our share-based compensation awards. ASC Topic 718 requires companies to measure the 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Clawback Policy</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information on our Executive Compensation Clawback Policy, see section below entitled “Compensation Recovery and Clawback Policy.”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for the fiscal years ended December 31, 2023, 2022, and 2021, with respect to compensation awarded to, earned by or paid to our named executive officers.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6"/>
                <w:szCs w:val="16"/>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21"/>
                <w:szCs w:val="21"/>
                <w:b w:val="1"/>
                <w:bCs w:val="1"/>
                <w:color w:val="auto"/>
                <w:vertAlign w:val="superscript"/>
              </w:rPr>
              <w:t>(2)</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1"/>
                <w:szCs w:val="21"/>
                <w:b w:val="1"/>
                <w:bCs w:val="1"/>
                <w:color w:val="auto"/>
                <w:w w:val="92"/>
                <w:vertAlign w:val="superscript"/>
              </w:rPr>
              <w:t>(3)</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3"/>
          </w:tcPr>
          <w:p>
            <w:pPr>
              <w:jc w:val="center"/>
              <w:ind w:right="80"/>
              <w:spacing w:after="0" w:line="216"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21"/>
                <w:szCs w:val="21"/>
                <w:b w:val="1"/>
                <w:bCs w:val="1"/>
                <w:color w:val="auto"/>
                <w:w w:val="99"/>
                <w:vertAlign w:val="superscript"/>
              </w:rPr>
              <w:t>(4)</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Dr. Keyvan</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421,875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1,326,000</w:t>
            </w:r>
            <w:r>
              <w:rPr>
                <w:rFonts w:ascii="Times New Roman" w:cs="Times New Roman" w:eastAsia="Times New Roman" w:hAnsi="Times New Roman"/>
                <w:sz w:val="21"/>
                <w:szCs w:val="21"/>
                <w:color w:val="auto"/>
                <w:vertAlign w:val="superscript"/>
              </w:rPr>
              <w:t>(5)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116,103</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72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1,863,978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Mohajer,</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CEO</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381,042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10,054,500</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10,548,042</w:t>
            </w:r>
          </w:p>
        </w:tc>
        <w:tc>
          <w:tcPr>
            <w:tcW w:w="0" w:type="dxa"/>
            <w:vAlign w:val="bottom"/>
          </w:tcPr>
          <w:p>
            <w:pPr>
              <w:spacing w:after="0"/>
              <w:rPr>
                <w:sz w:val="1"/>
                <w:szCs w:val="1"/>
                <w:color w:val="auto"/>
              </w:rPr>
            </w:pPr>
          </w:p>
        </w:tc>
      </w:tr>
      <w:tr>
        <w:trPr>
          <w:trHeight w:val="304"/>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260,000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0" w:type="dxa"/>
            <w:vAlign w:val="bottom"/>
          </w:tcPr>
          <w:p>
            <w:pPr>
              <w:spacing w:after="0"/>
              <w:rPr>
                <w:sz w:val="1"/>
                <w:szCs w:val="1"/>
                <w:color w:val="auto"/>
              </w:rPr>
            </w:pPr>
          </w:p>
        </w:tc>
      </w:tr>
      <w:tr>
        <w:trPr>
          <w:trHeight w:val="41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773,500</w:t>
            </w:r>
            <w:r>
              <w:rPr>
                <w:rFonts w:ascii="Times New Roman" w:cs="Times New Roman" w:eastAsia="Times New Roman" w:hAnsi="Times New Roman"/>
                <w:sz w:val="21"/>
                <w:szCs w:val="21"/>
                <w:color w:val="auto"/>
                <w:vertAlign w:val="superscript"/>
              </w:rPr>
              <w:t>(6)</w:t>
            </w:r>
          </w:p>
        </w:tc>
        <w:tc>
          <w:tcPr>
            <w:tcW w:w="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80" w:type="dxa"/>
            <w:vAlign w:val="bottom"/>
          </w:tcPr>
          <w:p>
            <w:pPr>
              <w:spacing w:after="0"/>
              <w:rPr>
                <w:sz w:val="24"/>
                <w:szCs w:val="24"/>
                <w:color w:val="auto"/>
              </w:rPr>
            </w:pP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23"/>
        </w:trPr>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CFO</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328,958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127,500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4,302,250</w:t>
            </w: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4,758,708</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$ 952,070</w:t>
            </w: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1,110,403</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Zagorsek,</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350,000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773,500</w:t>
            </w:r>
            <w:r>
              <w:rPr>
                <w:rFonts w:ascii="Times New Roman" w:cs="Times New Roman" w:eastAsia="Times New Roman" w:hAnsi="Times New Roman"/>
                <w:sz w:val="21"/>
                <w:szCs w:val="21"/>
                <w:color w:val="auto"/>
                <w:vertAlign w:val="superscript"/>
              </w:rPr>
              <w:t>(7)</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54,181</w:t>
            </w:r>
          </w:p>
        </w:tc>
        <w:tc>
          <w:tcPr>
            <w:tcW w:w="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COO</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308,958</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4,302,250</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4,663,708</w:t>
            </w:r>
          </w:p>
        </w:tc>
        <w:tc>
          <w:tcPr>
            <w:tcW w:w="0" w:type="dxa"/>
            <w:vAlign w:val="bottom"/>
          </w:tcPr>
          <w:p>
            <w:pPr>
              <w:spacing w:after="0"/>
              <w:rPr>
                <w:sz w:val="1"/>
                <w:szCs w:val="1"/>
                <w:color w:val="auto"/>
              </w:rPr>
            </w:pPr>
          </w:p>
        </w:tc>
      </w:tr>
      <w:tr>
        <w:trPr>
          <w:trHeight w:val="304"/>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240,000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James Hom,</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335,000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442,000</w:t>
            </w:r>
            <w:r>
              <w:rPr>
                <w:rFonts w:ascii="Times New Roman" w:cs="Times New Roman" w:eastAsia="Times New Roman" w:hAnsi="Times New Roman"/>
                <w:sz w:val="10"/>
                <w:szCs w:val="10"/>
                <w:color w:val="auto"/>
              </w:rPr>
              <w:t>(8)</w:t>
            </w:r>
          </w:p>
        </w:tc>
        <w:tc>
          <w:tcPr>
            <w:tcW w:w="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43,216</w:t>
            </w:r>
          </w:p>
        </w:tc>
        <w:tc>
          <w:tcPr>
            <w:tcW w:w="80" w:type="dxa"/>
            <w:vAlign w:val="bottom"/>
          </w:tcPr>
          <w:p>
            <w:pPr>
              <w:spacing w:after="0"/>
              <w:rPr>
                <w:sz w:val="24"/>
                <w:szCs w:val="24"/>
                <w:color w:val="auto"/>
              </w:rPr>
            </w:pP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r>
        <w:trPr>
          <w:trHeight w:val="405"/>
        </w:trPr>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CPO</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302,479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41,875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3,426,750</w:t>
            </w:r>
          </w:p>
        </w:tc>
        <w:tc>
          <w:tcPr>
            <w:tcW w:w="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3,771,104</w:t>
            </w: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335,000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442,000</w:t>
            </w:r>
            <w:r>
              <w:rPr>
                <w:rFonts w:ascii="Times New Roman" w:cs="Times New Roman" w:eastAsia="Times New Roman" w:hAnsi="Times New Roman"/>
                <w:sz w:val="21"/>
                <w:szCs w:val="21"/>
                <w:color w:val="auto"/>
                <w:vertAlign w:val="superscript"/>
              </w:rPr>
              <w:t>(9)</w:t>
            </w:r>
          </w:p>
        </w:tc>
        <w:tc>
          <w:tcPr>
            <w:tcW w:w="8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43,216</w:t>
            </w:r>
          </w:p>
        </w:tc>
        <w:tc>
          <w:tcPr>
            <w:tcW w:w="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Stonehocker,</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CTO</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302,479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4,035,235</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4,379,589</w:t>
            </w:r>
          </w:p>
        </w:tc>
        <w:tc>
          <w:tcPr>
            <w:tcW w:w="0" w:type="dxa"/>
            <w:vAlign w:val="bottom"/>
          </w:tcPr>
          <w:p>
            <w:pPr>
              <w:spacing w:after="0"/>
              <w:rPr>
                <w:sz w:val="1"/>
                <w:szCs w:val="1"/>
                <w:color w:val="auto"/>
              </w:rPr>
            </w:pPr>
          </w:p>
        </w:tc>
      </w:tr>
      <w:tr>
        <w:trPr>
          <w:trHeight w:val="304"/>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250,000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459" w:hanging="426"/>
        <w:spacing w:after="0" w:line="266"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 participated in a salary reduction program from December 1, 2022 through May 31, 2023, where each NEO elected to forego 15% of his base salary, as described above. Messrs. Sharan, Zagorsek, Hom, and Stonehocker each received restricted stock awards in lieu of their foregone base salary, as shown in the August 21, 2023 grants in the “Grants of Plan-Based Awards” table below. Dr. Mohajer did not receive restricted stock in lieu of his salary reduction.</w:t>
      </w:r>
    </w:p>
    <w:p>
      <w:pPr>
        <w:ind w:left="880" w:hanging="426"/>
        <w:spacing w:after="0"/>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cash bonuses earned in 2022 and paid in 2023.</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2023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ind w:left="880" w:right="479" w:hanging="426"/>
        <w:spacing w:after="0" w:line="264"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applicable, reflects cash amounts earned in Fiscal 2023 and paid in March 2024 pursuant to the respective Bonus Plan. For further information please see our CD&amp;A.</w:t>
      </w:r>
    </w:p>
    <w:p>
      <w:pPr>
        <w:jc w:val="both"/>
        <w:ind w:left="880" w:right="479" w:hanging="426"/>
        <w:spacing w:after="0" w:line="264"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600,000 shares of service vesting-based restricted stock granted on August 2023 as part of the company wide annual compensation review. The service vesting-based restricted stock award will vest in equal installments on a monthly schedule on September 1, 2023.</w:t>
      </w:r>
    </w:p>
    <w:p>
      <w:pPr>
        <w:jc w:val="both"/>
        <w:ind w:left="880" w:right="459" w:hanging="426"/>
        <w:spacing w:after="0" w:line="268"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350,000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22,636 shares of service vesting-based restricted stock granted in August 2023 which was vested immediately, in lieu of the 15% salary reduction from December 2022 through May 2023. This grant is shown below in the “Grants of Plan-Based Awards” table.</w:t>
      </w:r>
    </w:p>
    <w:p>
      <w:pPr>
        <w:sectPr>
          <w:pgSz w:w="11900" w:h="16838" w:orient="portrait"/>
          <w:cols w:equalWidth="0" w:num="1">
            <w:col w:w="9019"/>
          </w:cols>
          <w:pgMar w:left="1440" w:top="270" w:right="1440" w:bottom="353"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350,000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25,723 shares of service vesting-based restricted stock granted August 2023 which was vested immediately, in lieu of the 15% salary reduction from December 2022 through May 2023. This grant is shown below in the “Grants of Plan-Based Awards” table.</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200,000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22,655 shares of service vesting-based restricted stock granted August 2023 which was vested immediately, in lieu of the 15% salary reduction from December 2022 through May 2023. This grant is shown below in the “Grants of Plan-Based Awards” table.</w:t>
      </w:r>
    </w:p>
    <w:p>
      <w:pPr>
        <w:jc w:val="both"/>
        <w:ind w:left="880" w:right="459" w:hanging="426"/>
        <w:spacing w:after="0" w:line="268"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200,000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22,458 shares of service vesting-based restricted stock granted August 2023 which was vested immediately, in lieu of the 15% salary reduction from December 2022 through May 2023. This grant is shown below in the “Grants of Plan-Based Awards” table.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the Company’s Named Executive Officers as of December 31, 2023</w:t>
      </w:r>
    </w:p>
    <w:p>
      <w:pPr>
        <w:spacing w:after="0" w:line="146" w:lineRule="exact"/>
        <w:rPr>
          <w:sz w:val="20"/>
          <w:szCs w:val="20"/>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 In addition, the Board adopted and approved a Non-Employee Director Compensation Policy.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Keyvan Mohajer, Chief Executive Officer</w:t>
      </w:r>
    </w:p>
    <w:p>
      <w:pPr>
        <w:spacing w:after="0" w:line="154"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Under Dr. Mohajer’s employment agreement (the “</w:t>
      </w:r>
      <w:r>
        <w:rPr>
          <w:rFonts w:ascii="Times New Roman" w:cs="Times New Roman" w:eastAsia="Times New Roman" w:hAnsi="Times New Roman"/>
          <w:sz w:val="18"/>
          <w:szCs w:val="18"/>
          <w:b w:val="1"/>
          <w:bCs w:val="1"/>
          <w:color w:val="auto"/>
        </w:rPr>
        <w:t>June 2022 CEO Employment Agreement</w:t>
      </w:r>
      <w:r>
        <w:rPr>
          <w:rFonts w:ascii="Times New Roman" w:cs="Times New Roman" w:eastAsia="Times New Roman" w:hAnsi="Times New Roman"/>
          <w:sz w:val="18"/>
          <w:szCs w:val="18"/>
          <w:color w:val="auto"/>
        </w:rPr>
        <w:t>”), Dr. Mohajer receives a base salary of $450,000.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CEO Employment Agreement provides for the grant to Dr. Mohajer of 720,000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under the SoundHound AI, Inc. 2022 Incentive Award Plan (the “</w:t>
      </w:r>
      <w:r>
        <w:rPr>
          <w:rFonts w:ascii="Times New Roman" w:cs="Times New Roman" w:eastAsia="Times New Roman" w:hAnsi="Times New Roman"/>
          <w:sz w:val="18"/>
          <w:szCs w:val="18"/>
          <w:b w:val="1"/>
          <w:bCs w:val="1"/>
          <w:color w:val="auto"/>
        </w:rPr>
        <w:t>2022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Plan</w:t>
      </w:r>
      <w:r>
        <w:rPr>
          <w:rFonts w:ascii="Times New Roman" w:cs="Times New Roman" w:eastAsia="Times New Roman" w:hAnsi="Times New Roman"/>
          <w:sz w:val="18"/>
          <w:szCs w:val="18"/>
          <w:color w:val="auto"/>
        </w:rPr>
        <w:t>”), which grant became effective upon the filing of the Company’s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S-8 (the “</w:t>
      </w:r>
      <w:r>
        <w:rPr>
          <w:rFonts w:ascii="Times New Roman" w:cs="Times New Roman" w:eastAsia="Times New Roman" w:hAnsi="Times New Roman"/>
          <w:sz w:val="18"/>
          <w:szCs w:val="18"/>
          <w:b w:val="1"/>
          <w:bCs w:val="1"/>
          <w:color w:val="auto"/>
        </w:rPr>
        <w:t>Form S-8</w:t>
      </w:r>
      <w:r>
        <w:rPr>
          <w:rFonts w:ascii="Times New Roman" w:cs="Times New Roman" w:eastAsia="Times New Roman" w:hAnsi="Times New Roman"/>
          <w:sz w:val="18"/>
          <w:szCs w:val="18"/>
          <w:color w:val="auto"/>
        </w:rPr>
        <w:t>”)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Dr. Mohajer was also granted 480,000 RSUs that are subject to performance-based vesting (the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Dr. Mohajer is eligible to participate in the standard benefit plans offered to similarly situated employees by the Company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Dr. Mohajer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Nitesh Sharan, Chief Financial Officer</w:t>
      </w:r>
    </w:p>
    <w:p>
      <w:pPr>
        <w:spacing w:after="0" w:line="15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Sharan’s employment agreement (the “</w:t>
      </w:r>
      <w:r>
        <w:rPr>
          <w:rFonts w:ascii="Times New Roman" w:cs="Times New Roman" w:eastAsia="Times New Roman" w:hAnsi="Times New Roman"/>
          <w:sz w:val="18"/>
          <w:szCs w:val="18"/>
          <w:b w:val="1"/>
          <w:bCs w:val="1"/>
          <w:color w:val="auto"/>
        </w:rPr>
        <w:t>June 2022 CFO Employment Agreement</w:t>
      </w:r>
      <w:r>
        <w:rPr>
          <w:rFonts w:ascii="Times New Roman" w:cs="Times New Roman" w:eastAsia="Times New Roman" w:hAnsi="Times New Roman"/>
          <w:sz w:val="18"/>
          <w:szCs w:val="18"/>
          <w:color w:val="auto"/>
        </w:rPr>
        <w:t>”), Mr. Sharan receives a base salary of $350,000.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Sharan has also entered into the Company’s standard form of confidential information and inventions assignment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Michael Zagorsek, Chief Operating Officer</w:t>
      </w:r>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Zagorsek’s employment agreement (the “</w:t>
      </w:r>
      <w:r>
        <w:rPr>
          <w:rFonts w:ascii="Times New Roman" w:cs="Times New Roman" w:eastAsia="Times New Roman" w:hAnsi="Times New Roman"/>
          <w:sz w:val="18"/>
          <w:szCs w:val="18"/>
          <w:b w:val="1"/>
          <w:bCs w:val="1"/>
          <w:color w:val="auto"/>
        </w:rPr>
        <w:t>June 2022 COO Employment Agreement</w:t>
      </w:r>
      <w:r>
        <w:rPr>
          <w:rFonts w:ascii="Times New Roman" w:cs="Times New Roman" w:eastAsia="Times New Roman" w:hAnsi="Times New Roman"/>
          <w:sz w:val="18"/>
          <w:szCs w:val="18"/>
          <w:color w:val="auto"/>
        </w:rPr>
        <w:t>”), Mr. Zagorsek receives a base salary of $350,000. In addition, Mr. Zagorsek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Zagorsek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Zagorsek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Timothy Stonehocker, Chief Technology Officer</w:t>
      </w:r>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Stonehocker’s employment agreement (the “</w:t>
      </w:r>
      <w:r>
        <w:rPr>
          <w:rFonts w:ascii="Times New Roman" w:cs="Times New Roman" w:eastAsia="Times New Roman" w:hAnsi="Times New Roman"/>
          <w:sz w:val="18"/>
          <w:szCs w:val="18"/>
          <w:b w:val="1"/>
          <w:bCs w:val="1"/>
          <w:color w:val="auto"/>
        </w:rPr>
        <w:t>June 2022 CTO Employment Agreement</w:t>
      </w:r>
      <w:r>
        <w:rPr>
          <w:rFonts w:ascii="Times New Roman" w:cs="Times New Roman" w:eastAsia="Times New Roman" w:hAnsi="Times New Roman"/>
          <w:sz w:val="18"/>
          <w:szCs w:val="18"/>
          <w:color w:val="auto"/>
        </w:rPr>
        <w:t>”), Mr. Stonehocker receives a base salary of $335,000. In addition, Mr. Stonehocker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CTO Employment Agreement provides for a grant to Mr. Stonehocker of 210,000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Stonehocker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Mr. Stonehocker was also granted 140,000 PSUs under the 2022 Incentive Award Plan, which grant became effective upon the filing of the Form S-8 with the SEC. The PSUs have a four-year performance period and are subject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Stonehocker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CTO Employment Agreement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Stonehocker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James Hom, Chief Product Officer</w:t>
      </w:r>
    </w:p>
    <w:p>
      <w:pPr>
        <w:spacing w:after="0" w:line="15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Hom’s employment agreement (the “</w:t>
      </w:r>
      <w:r>
        <w:rPr>
          <w:rFonts w:ascii="Times New Roman" w:cs="Times New Roman" w:eastAsia="Times New Roman" w:hAnsi="Times New Roman"/>
          <w:sz w:val="18"/>
          <w:szCs w:val="18"/>
          <w:b w:val="1"/>
          <w:bCs w:val="1"/>
          <w:color w:val="auto"/>
        </w:rPr>
        <w:t>June 2022 CPO Employment Agreement</w:t>
      </w:r>
      <w:r>
        <w:rPr>
          <w:rFonts w:ascii="Times New Roman" w:cs="Times New Roman" w:eastAsia="Times New Roman" w:hAnsi="Times New Roman"/>
          <w:sz w:val="18"/>
          <w:szCs w:val="18"/>
          <w:color w:val="auto"/>
        </w:rPr>
        <w:t>”), Mr. Hom receives a base salary of $335,000.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Mr. Hom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Hom has also entered into the Company’s standard form of confidential information and inventions assignment agreement.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2"/>
                <w:szCs w:val="12"/>
                <w:color w:val="auto"/>
              </w:rPr>
            </w:pPr>
          </w:p>
        </w:tc>
        <w:tc>
          <w:tcPr>
            <w:tcW w:w="8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10"/>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10"/>
            <w:vMerge w:val="continue"/>
          </w:tcPr>
          <w:p>
            <w:pPr>
              <w:spacing w:after="0"/>
              <w:rPr>
                <w:sz w:val="8"/>
                <w:szCs w:val="8"/>
                <w:color w:val="auto"/>
              </w:rPr>
            </w:pPr>
          </w:p>
        </w:tc>
        <w:tc>
          <w:tcPr>
            <w:tcW w:w="9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8"/>
                <w:szCs w:val="8"/>
                <w:color w:val="auto"/>
              </w:rPr>
            </w:pPr>
          </w:p>
        </w:tc>
        <w:tc>
          <w:tcPr>
            <w:tcW w:w="860" w:type="dxa"/>
            <w:vAlign w:val="bottom"/>
            <w:vMerge w:val="restart"/>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gridSpan w:val="7"/>
            <w:vMerge w:val="restart"/>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incentive plan awards (3)</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100" w:type="dxa"/>
            <w:vAlign w:val="bottom"/>
          </w:tcPr>
          <w:p>
            <w:pPr>
              <w:spacing w:after="0"/>
              <w:rPr>
                <w:sz w:val="13"/>
                <w:szCs w:val="13"/>
                <w:color w:val="auto"/>
              </w:rPr>
            </w:pPr>
          </w:p>
        </w:tc>
        <w:tc>
          <w:tcPr>
            <w:tcW w:w="860" w:type="dxa"/>
            <w:vAlign w:val="bottom"/>
          </w:tcPr>
          <w:p>
            <w:pPr>
              <w:jc w:val="center"/>
              <w:ind w:right="63"/>
              <w:spacing w:after="0" w:line="160"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17"/>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0"/>
                <w:szCs w:val="10"/>
                <w:color w:val="auto"/>
              </w:rPr>
            </w:pPr>
          </w:p>
        </w:tc>
        <w:tc>
          <w:tcPr>
            <w:tcW w:w="7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40" w:type="dxa"/>
            <w:vAlign w:val="bottom"/>
          </w:tcPr>
          <w:p>
            <w:pPr>
              <w:spacing w:after="0"/>
              <w:rPr>
                <w:sz w:val="10"/>
                <w:szCs w:val="10"/>
                <w:color w:val="auto"/>
              </w:rPr>
            </w:pPr>
          </w:p>
        </w:tc>
        <w:tc>
          <w:tcPr>
            <w:tcW w:w="8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c>
          <w:tcPr>
            <w:tcW w:w="9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0"/>
                <w:szCs w:val="10"/>
                <w:color w:val="auto"/>
              </w:rPr>
            </w:pPr>
          </w:p>
        </w:tc>
        <w:tc>
          <w:tcPr>
            <w:tcW w:w="8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Dr. Keyvan Mohajer, CEO</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450,000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6"/>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675,000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1,326,000</w:t>
            </w:r>
          </w:p>
        </w:tc>
        <w:tc>
          <w:tcPr>
            <w:tcW w:w="0" w:type="dxa"/>
            <w:vAlign w:val="bottom"/>
          </w:tcPr>
          <w:p>
            <w:pPr>
              <w:spacing w:after="0"/>
              <w:rPr>
                <w:sz w:val="1"/>
                <w:szCs w:val="1"/>
                <w:color w:val="auto"/>
              </w:rPr>
            </w:pPr>
          </w:p>
        </w:tc>
      </w:tr>
      <w:tr>
        <w:trPr>
          <w:trHeight w:val="337"/>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315,000</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53,421</w:t>
            </w:r>
          </w:p>
        </w:tc>
        <w:tc>
          <w:tcPr>
            <w:tcW w:w="0" w:type="dxa"/>
            <w:vAlign w:val="bottom"/>
          </w:tcPr>
          <w:p>
            <w:pPr>
              <w:spacing w:after="0"/>
              <w:rPr>
                <w:sz w:val="1"/>
                <w:szCs w:val="1"/>
                <w:color w:val="auto"/>
              </w:rPr>
            </w:pPr>
          </w:p>
        </w:tc>
      </w:tr>
      <w:tr>
        <w:trPr>
          <w:trHeight w:val="33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Zagorsek, COO</w:t>
            </w: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315,000</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0" w:type="dxa"/>
            <w:vAlign w:val="bottom"/>
          </w:tcPr>
          <w:p>
            <w:pPr>
              <w:spacing w:after="0"/>
              <w:rPr>
                <w:sz w:val="1"/>
                <w:szCs w:val="1"/>
                <w:color w:val="auto"/>
              </w:rPr>
            </w:pPr>
          </w:p>
        </w:tc>
      </w:tr>
      <w:tr>
        <w:trPr>
          <w:trHeight w:val="283"/>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25,723</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0" w:type="dxa"/>
            <w:vAlign w:val="bottom"/>
          </w:tcPr>
          <w:p>
            <w:pPr>
              <w:spacing w:after="0"/>
              <w:rPr>
                <w:sz w:val="1"/>
                <w:szCs w:val="1"/>
                <w:color w:val="auto"/>
              </w:rPr>
            </w:pPr>
          </w:p>
        </w:tc>
      </w:tr>
      <w:tr>
        <w:trPr>
          <w:trHeight w:val="337"/>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Timothy Stonehocker, CTO</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167,500</w:t>
            </w: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251,250</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22,458</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0" w:type="dxa"/>
            <w:vAlign w:val="bottom"/>
          </w:tcPr>
          <w:p>
            <w:pPr>
              <w:spacing w:after="0"/>
              <w:rPr>
                <w:sz w:val="1"/>
                <w:szCs w:val="1"/>
                <w:color w:val="auto"/>
              </w:rPr>
            </w:pPr>
          </w:p>
        </w:tc>
      </w:tr>
      <w:tr>
        <w:trPr>
          <w:trHeight w:val="33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Hom, CPO</w:t>
            </w: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167,500</w:t>
            </w: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251,250</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0" w:type="dxa"/>
            <w:vAlign w:val="bottom"/>
          </w:tcPr>
          <w:p>
            <w:pPr>
              <w:spacing w:after="0"/>
              <w:rPr>
                <w:sz w:val="1"/>
                <w:szCs w:val="1"/>
                <w:color w:val="auto"/>
              </w:rPr>
            </w:pPr>
          </w:p>
        </w:tc>
      </w:tr>
      <w:tr>
        <w:trPr>
          <w:trHeight w:val="283"/>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22,655</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53,466</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459" w:hanging="426"/>
        <w:spacing w:after="0" w:line="26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August 3, 2023 as part of the company wide annual compensation review. The service vesting-based restricted stock award will vest 1/36 on a monthly schedule on September 1, 2023 with the remainder vesting over 3 years.</w:t>
      </w:r>
    </w:p>
    <w:p>
      <w:pPr>
        <w:spacing w:after="0" w:line="1"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August 21, 2023 vesting immediately, in lieu of the 15% salary reduction from December 2022 through May 2023.</w:t>
      </w:r>
    </w:p>
    <w:p>
      <w:pPr>
        <w:jc w:val="both"/>
        <w:ind w:left="880" w:right="459" w:hanging="426"/>
        <w:spacing w:after="0" w:line="276"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refer to target and maximum cash payments available to NEOs under the Bonus Plan. Despite our strong 2023 performance, our Compensation Committee exercised its discretion to reduce payouts under our 2023 non-equity incentive plan awards to 25% of our NEOs’ target amounts.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2023 Fiscal Year End</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as of December 31, 2023.</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
        </w:trPr>
        <w:tc>
          <w:tcPr>
            <w:tcW w:w="2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150"/>
              <w:spacing w:after="0" w:line="18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203"/>
        </w:trPr>
        <w:tc>
          <w:tcPr>
            <w:tcW w:w="20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r>
      <w:tr>
        <w:trPr>
          <w:trHeight w:val="255"/>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exercisable</w:t>
            </w:r>
            <w:r>
              <w:rPr>
                <w:rFonts w:ascii="Times New Roman" w:cs="Times New Roman" w:eastAsia="Times New Roman" w:hAnsi="Times New Roman"/>
                <w:sz w:val="18"/>
                <w:szCs w:val="18"/>
                <w:b w:val="1"/>
                <w:bCs w:val="1"/>
                <w:color w:val="auto"/>
                <w:w w:val="96"/>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24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48"/>
        </w:trPr>
        <w:tc>
          <w:tcPr>
            <w:tcW w:w="20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3/28/2027</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173,632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135,045</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9/27/2031</w:t>
            </w:r>
          </w:p>
        </w:tc>
      </w:tr>
      <w:tr>
        <w:trPr>
          <w:trHeight w:val="36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416,718</w:t>
            </w: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7/26/2026</w:t>
            </w:r>
          </w:p>
        </w:tc>
      </w:tr>
      <w:tr>
        <w:trPr>
          <w:trHeight w:val="284"/>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138,906</w:t>
            </w: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9/6/2027</w:t>
            </w:r>
          </w:p>
        </w:tc>
      </w:tr>
      <w:tr>
        <w:trPr>
          <w:trHeight w:val="283"/>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8/15/2029</w:t>
            </w:r>
          </w:p>
        </w:tc>
      </w:tr>
      <w:tr>
        <w:trPr>
          <w:trHeight w:val="324"/>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92,606</w:t>
            </w:r>
            <w:r>
              <w:rPr>
                <w:rFonts w:ascii="Times New Roman" w:cs="Times New Roman" w:eastAsia="Times New Roman" w:hAnsi="Times New Roman"/>
                <w:sz w:val="20"/>
                <w:szCs w:val="20"/>
                <w:color w:val="auto"/>
                <w:vertAlign w:val="superscript"/>
              </w:rPr>
              <w:t>(3)</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r>
      <w:tr>
        <w:trPr>
          <w:trHeight w:val="36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 CTO</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222,250</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5/19/2025</w:t>
            </w:r>
          </w:p>
        </w:tc>
      </w:tr>
      <w:tr>
        <w:trPr>
          <w:trHeight w:val="284"/>
        </w:trPr>
        <w:tc>
          <w:tcPr>
            <w:tcW w:w="206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416,719</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12/15/2026</w:t>
            </w:r>
          </w:p>
        </w:tc>
      </w:tr>
      <w:tr>
        <w:trPr>
          <w:trHeight w:val="283"/>
        </w:trPr>
        <w:tc>
          <w:tcPr>
            <w:tcW w:w="206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166,688</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8/15/2029</w:t>
            </w:r>
          </w:p>
        </w:tc>
      </w:tr>
      <w:tr>
        <w:trPr>
          <w:trHeight w:val="40"/>
        </w:trPr>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900" w:orient="portrait"/>
          <w:cols w:equalWidth="0" w:num="1">
            <w:col w:w="9019"/>
          </w:cols>
          <w:pgMar w:left="1440" w:top="270" w:right="1440" w:bottom="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17145"/>
                    </a:xfrm>
                    <a:prstGeom prst="rect">
                      <a:avLst/>
                    </a:prstGeom>
                    <a:noFill/>
                  </pic:spPr>
                </pic:pic>
              </a:graphicData>
            </a:graphic>
          </wp:anchor>
        </w:drawing>
        <w:t>____________</w:t>
      </w:r>
    </w:p>
    <w:p>
      <w:pPr>
        <w:spacing w:after="0" w:line="113" w:lineRule="exact"/>
        <w:rPr>
          <w:sz w:val="20"/>
          <w:szCs w:val="20"/>
          <w:color w:val="auto"/>
        </w:rPr>
      </w:pPr>
    </w:p>
    <w:p>
      <w:pPr>
        <w:ind w:left="880" w:hanging="426"/>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are fully vested.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51"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September 27, 2021; four year vesting schedule, under which 25% will vest 12 months after the grant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shares will vest at the end of each quarter thereafter.</w:t>
      </w:r>
    </w:p>
    <w:p>
      <w:pPr>
        <w:ind w:left="880" w:right="459" w:hanging="426"/>
        <w:spacing w:after="0" w:line="245"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October 27, 2020; four year vesting schedule, under which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shares will vest at the end of each month thereafter.</w:t>
      </w:r>
    </w:p>
    <w:p>
      <w:pPr>
        <w:spacing w:after="0" w:line="33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payout value</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of unearned</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Market value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shares or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2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90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7/20/2022</w:t>
            </w:r>
            <w:r>
              <w:rPr>
                <w:rFonts w:ascii="Times New Roman" w:cs="Times New Roman" w:eastAsia="Times New Roman" w:hAnsi="Times New Roman"/>
                <w:sz w:val="20"/>
                <w:szCs w:val="20"/>
                <w:color w:val="auto"/>
                <w:w w:val="97"/>
                <w:vertAlign w:val="superscript"/>
              </w:rPr>
              <w:t>(3)</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1,130,666</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7/20/2022</w:t>
            </w:r>
            <w:r>
              <w:rPr>
                <w:rFonts w:ascii="Times New Roman" w:cs="Times New Roman" w:eastAsia="Times New Roman" w:hAnsi="Times New Roman"/>
                <w:sz w:val="20"/>
                <w:szCs w:val="20"/>
                <w:color w:val="auto"/>
                <w:w w:val="97"/>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659,555</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659,555</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206,111</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376,889</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Timothy Stonehocker,</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CTO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126,875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206,111</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376,889</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awards with performance goals not currently expected to be achieved but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ind w:left="880" w:right="479" w:hanging="426"/>
        <w:spacing w:after="0" w:line="264"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Market Value columns determined by multiplying the number of shares or units shown in ‘share or units’ columns, as applicable, by $2.12, the closing price of our common stock on December 29, 2023.</w:t>
      </w:r>
    </w:p>
    <w:p>
      <w:pPr>
        <w:ind w:left="880" w:hanging="426"/>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4 years (48 months) from the grant date listed.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3 years (36 months) from the grant date listed.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at 2023 Fiscal Year End</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540" w:type="dxa"/>
            <w:vAlign w:val="bottom"/>
            <w:gridSpan w:val="5"/>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realized on</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realized 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vesting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426,899</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949,926</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211,525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505,475</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214,612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511,228</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 CTO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155,514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372,362</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391,252</w:t>
            </w:r>
          </w:p>
        </w:tc>
      </w:tr>
      <w:tr>
        <w:trPr>
          <w:trHeight w:val="41"/>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49,978 shares acquired on June 20, 2023 with a FMV of $4.05, 45,525 shares acquired on September 20, 2023 with a FMV of $2.08 and 62,402 shares acquired December 20, 2023 with a FMV of $2.08.</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no defined benefit plans or other supplemental retirement plans for the named executive officers.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no nonqualified defined contribution plans or other nonqualified deferred compensation plans for the named executive officers.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a Termination or Change in Control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ACCELERATION/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CONTINUED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ACCELERATION/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 &amp;</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CONTINUED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7"/>
          </w:tcPr>
          <w:p>
            <w:pP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ACCRUED</w:t>
            </w:r>
            <w:r>
              <w:rPr>
                <w:rFonts w:ascii="Times New Roman" w:cs="Times New Roman" w:eastAsia="Times New Roman" w:hAnsi="Times New Roman"/>
                <w:sz w:val="10"/>
                <w:szCs w:val="10"/>
                <w:b w:val="1"/>
                <w:bCs w:val="1"/>
                <w:color w:val="auto"/>
              </w:rPr>
              <w:t xml:space="preserve"> EXERCISABILITY</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VESTING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BASE</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ANNUAL</w:t>
            </w:r>
          </w:p>
        </w:tc>
        <w:tc>
          <w:tcPr>
            <w:tcW w:w="40" w:type="dxa"/>
            <w:vAlign w:val="bottom"/>
          </w:tcPr>
          <w:p>
            <w:pPr>
              <w:spacing w:after="0"/>
              <w:rPr>
                <w:sz w:val="12"/>
                <w:szCs w:val="12"/>
                <w:color w:val="auto"/>
              </w:rPr>
            </w:pPr>
          </w:p>
        </w:tc>
        <w:tc>
          <w:tcPr>
            <w:tcW w:w="116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7"/>
              </w:rPr>
              <w:t>OF UNVESTED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5"/>
              </w:rPr>
              <w:t>UNVESTED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3"/>
              </w:rPr>
              <w:t>HEALTH</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SALARY</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CASH BONUS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CASH</w:t>
            </w:r>
          </w:p>
        </w:tc>
        <w:tc>
          <w:tcPr>
            <w:tcW w:w="40" w:type="dxa"/>
            <w:vAlign w:val="bottom"/>
          </w:tcPr>
          <w:p>
            <w:pPr>
              <w:spacing w:after="0"/>
              <w:rPr>
                <w:sz w:val="11"/>
                <w:szCs w:val="11"/>
                <w:color w:val="auto"/>
              </w:rPr>
            </w:pPr>
          </w:p>
        </w:tc>
        <w:tc>
          <w:tcPr>
            <w:tcW w:w="920" w:type="dxa"/>
            <w:vAlign w:val="bottom"/>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gridSpan w:val="6"/>
          </w:tcPr>
          <w:p>
            <w:pPr>
              <w:spacing w:after="0" w:line="139" w:lineRule="exact"/>
              <w:rPr>
                <w:sz w:val="20"/>
                <w:szCs w:val="20"/>
                <w:color w:val="auto"/>
              </w:rPr>
            </w:pPr>
            <w:r>
              <w:rPr>
                <w:rFonts w:ascii="Times New Roman" w:cs="Times New Roman" w:eastAsia="Times New Roman" w:hAnsi="Times New Roman"/>
                <w:sz w:val="9"/>
                <w:szCs w:val="9"/>
                <w:b w:val="1"/>
                <w:bCs w:val="1"/>
                <w:color w:val="auto"/>
              </w:rPr>
              <w:t xml:space="preserve">CONTINUATION </w:t>
            </w:r>
            <w:r>
              <w:rPr>
                <w:rFonts w:ascii="Times New Roman" w:cs="Times New Roman" w:eastAsia="Times New Roman" w:hAnsi="Times New Roman"/>
                <w:sz w:val="16"/>
                <w:szCs w:val="16"/>
                <w:b w:val="1"/>
                <w:bCs w:val="1"/>
                <w:color w:val="auto"/>
                <w:vertAlign w:val="subscript"/>
              </w:rPr>
              <w:t>CONTINUATION</w:t>
            </w: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3"/>
              </w:rPr>
              <w:t>BONUS</w:t>
            </w:r>
          </w:p>
        </w:tc>
        <w:tc>
          <w:tcPr>
            <w:tcW w:w="40" w:type="dxa"/>
            <w:vAlign w:val="bottom"/>
          </w:tcPr>
          <w:p>
            <w:pPr>
              <w:spacing w:after="0"/>
              <w:rPr>
                <w:sz w:val="12"/>
                <w:szCs w:val="12"/>
                <w:color w:val="auto"/>
              </w:rPr>
            </w:pPr>
          </w:p>
        </w:tc>
        <w:tc>
          <w:tcPr>
            <w:tcW w:w="920" w:type="dxa"/>
            <w:vAlign w:val="bottom"/>
          </w:tcPr>
          <w:p>
            <w:pPr>
              <w:jc w:val="center"/>
              <w:ind w:left="97"/>
              <w:spacing w:after="0" w:line="139" w:lineRule="exact"/>
              <w:rPr>
                <w:sz w:val="20"/>
                <w:szCs w:val="20"/>
                <w:color w:val="auto"/>
              </w:rPr>
            </w:pPr>
            <w:r>
              <w:rPr>
                <w:rFonts w:ascii="Times New Roman" w:cs="Times New Roman" w:eastAsia="Times New Roman" w:hAnsi="Times New Roman"/>
                <w:sz w:val="13"/>
                <w:szCs w:val="13"/>
                <w:b w:val="1"/>
                <w:bCs w:val="1"/>
                <w:color w:val="auto"/>
                <w:w w:val="92"/>
              </w:rPr>
              <w:t>OPTIONS</w:t>
            </w:r>
            <w:r>
              <w:rPr>
                <w:rFonts w:ascii="Times New Roman" w:cs="Times New Roman" w:eastAsia="Times New Roman" w:hAnsi="Times New Roman"/>
                <w:sz w:val="14"/>
                <w:szCs w:val="14"/>
                <w:b w:val="1"/>
                <w:bCs w:val="1"/>
                <w:color w:val="auto"/>
                <w:w w:val="92"/>
                <w:vertAlign w:val="superscript"/>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UNITS</w:t>
            </w:r>
            <w:r>
              <w:rPr>
                <w:rFonts w:ascii="Times New Roman" w:cs="Times New Roman" w:eastAsia="Times New Roman" w:hAnsi="Times New Roman"/>
                <w:sz w:val="14"/>
                <w:szCs w:val="14"/>
                <w:b w:val="1"/>
                <w:bCs w:val="1"/>
                <w:color w:val="auto"/>
                <w:w w:val="94"/>
                <w:vertAlign w:val="superscript"/>
              </w:rPr>
              <w:t>(3)</w:t>
            </w:r>
          </w:p>
        </w:tc>
        <w:tc>
          <w:tcPr>
            <w:tcW w:w="118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CONTINUATION</w:t>
            </w:r>
            <w:r>
              <w:rPr>
                <w:rFonts w:ascii="Times New Roman" w:cs="Times New Roman" w:eastAsia="Times New Roman" w:hAnsi="Times New Roman"/>
                <w:sz w:val="14"/>
                <w:szCs w:val="14"/>
                <w:b w:val="1"/>
                <w:bCs w:val="1"/>
                <w:color w:val="auto"/>
                <w:w w:val="97"/>
                <w:vertAlign w:val="superscript"/>
              </w:rPr>
              <w:t>(4)</w:t>
            </w:r>
          </w:p>
        </w:tc>
        <w:tc>
          <w:tcPr>
            <w:tcW w:w="80" w:type="dxa"/>
            <w:vAlign w:val="bottom"/>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4"/>
                <w:szCs w:val="14"/>
                <w:b w:val="1"/>
                <w:bCs w:val="1"/>
                <w:color w:val="auto"/>
                <w:w w:val="91"/>
                <w:vertAlign w:val="superscript"/>
              </w:rPr>
              <w:t>(1)</w:t>
            </w:r>
          </w:p>
        </w:tc>
        <w:tc>
          <w:tcPr>
            <w:tcW w:w="60" w:type="dxa"/>
            <w:vAlign w:val="bottom"/>
          </w:tcPr>
          <w:p>
            <w:pPr>
              <w:spacing w:after="0"/>
              <w:rPr>
                <w:sz w:val="17"/>
                <w:szCs w:val="17"/>
                <w:color w:val="auto"/>
              </w:rPr>
            </w:pP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Pr>
          <w:p>
            <w:pPr>
              <w:spacing w:after="0"/>
              <w:rPr>
                <w:sz w:val="17"/>
                <w:szCs w:val="17"/>
                <w:color w:val="auto"/>
              </w:rPr>
            </w:pPr>
          </w:p>
        </w:tc>
        <w:tc>
          <w:tcPr>
            <w:tcW w:w="960" w:type="dxa"/>
            <w:vAlign w:val="bottom"/>
            <w:gridSpan w:val="2"/>
          </w:tcPr>
          <w:p>
            <w:pPr>
              <w:jc w:val="center"/>
              <w:ind w:left="15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140" w:type="dxa"/>
            <w:vAlign w:val="bottom"/>
            <w:tcBorders>
              <w:top w:val="single" w:sz="8" w:color="auto"/>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Dr. Keyvan</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Mohajer, CEO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0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450,000</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562,500</w:t>
            </w:r>
          </w:p>
        </w:tc>
        <w:tc>
          <w:tcPr>
            <w:tcW w:w="0" w:type="dxa"/>
            <w:vAlign w:val="bottom"/>
          </w:tcPr>
          <w:p>
            <w:pPr>
              <w:spacing w:after="0"/>
              <w:rPr>
                <w:sz w:val="1"/>
                <w:szCs w:val="1"/>
                <w:color w:val="auto"/>
              </w:rPr>
            </w:pPr>
          </w:p>
        </w:tc>
      </w:tr>
      <w:tr>
        <w:trPr>
          <w:trHeight w:val="135"/>
        </w:trPr>
        <w:tc>
          <w:tcPr>
            <w:tcW w:w="12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Change in</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450,000</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450,000</w:t>
            </w:r>
          </w:p>
        </w:tc>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3,600,466</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Nitesh Sharan,</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CFO</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87,500</w:t>
            </w:r>
          </w:p>
        </w:tc>
        <w:tc>
          <w:tcPr>
            <w:tcW w:w="900" w:type="dxa"/>
            <w:vAlign w:val="bottom"/>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350,000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960" w:type="dxa"/>
            <w:vAlign w:val="bottom"/>
            <w:gridSpan w:val="2"/>
          </w:tcPr>
          <w:p>
            <w:pPr>
              <w:jc w:val="right"/>
              <w:ind w:right="77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1,626,805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2,191,847</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Michael</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Zagorsek,</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87,500</w:t>
            </w:r>
          </w:p>
        </w:tc>
        <w:tc>
          <w:tcPr>
            <w:tcW w:w="900" w:type="dxa"/>
            <w:vAlign w:val="bottom"/>
            <w:vMerge w:val="restart"/>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297,500</w:t>
            </w:r>
          </w:p>
        </w:tc>
        <w:tc>
          <w:tcPr>
            <w:tcW w:w="0" w:type="dxa"/>
            <w:vAlign w:val="bottom"/>
          </w:tcPr>
          <w:p>
            <w:pPr>
              <w:spacing w:after="0"/>
              <w:rPr>
                <w:sz w:val="1"/>
                <w:szCs w:val="1"/>
                <w:color w:val="auto"/>
              </w:rPr>
            </w:pPr>
          </w:p>
        </w:tc>
      </w:tr>
      <w:tr>
        <w:trPr>
          <w:trHeight w:val="188"/>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350,000</w:t>
            </w:r>
          </w:p>
        </w:tc>
        <w:tc>
          <w:tcPr>
            <w:tcW w:w="90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960" w:type="dxa"/>
            <w:vAlign w:val="bottom"/>
            <w:tcBorders>
              <w:bottom w:val="single" w:sz="8" w:color="CCEEFF"/>
            </w:tcBorders>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1,732,805</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6,099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2,298,905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Timothy</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Stonehocker,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CTO</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83,750</w:t>
            </w:r>
          </w:p>
        </w:tc>
        <w:tc>
          <w:tcPr>
            <w:tcW w:w="900" w:type="dxa"/>
            <w:vAlign w:val="bottom"/>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335,000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1,148,775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1,651,275</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James Hom,</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CPO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83,750</w:t>
            </w:r>
          </w:p>
        </w:tc>
        <w:tc>
          <w:tcPr>
            <w:tcW w:w="900" w:type="dxa"/>
            <w:vAlign w:val="bottom"/>
            <w:vMerge w:val="restart"/>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251,250</w:t>
            </w:r>
          </w:p>
        </w:tc>
        <w:tc>
          <w:tcPr>
            <w:tcW w:w="0" w:type="dxa"/>
            <w:vAlign w:val="bottom"/>
          </w:tcPr>
          <w:p>
            <w:pPr>
              <w:spacing w:after="0"/>
              <w:rPr>
                <w:sz w:val="1"/>
                <w:szCs w:val="1"/>
                <w:color w:val="auto"/>
              </w:rPr>
            </w:pPr>
          </w:p>
        </w:tc>
      </w:tr>
      <w:tr>
        <w:trPr>
          <w:trHeight w:val="188"/>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335,000</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1,229,600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17145"/>
                    </a:xfrm>
                    <a:prstGeom prst="rect">
                      <a:avLst/>
                    </a:prstGeom>
                    <a:noFill/>
                  </pic:spPr>
                </pic:pic>
              </a:graphicData>
            </a:graphic>
          </wp:anchor>
        </w:drawing>
        <w:t>____________</w:t>
      </w:r>
    </w:p>
    <w:p>
      <w:pPr>
        <w:spacing w:after="0" w:line="113"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an amount equal to 3 months of the NEOs’ then current base salary</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market price of a share of our Class A common stock as of December 29, 2023 ($2.12), minus, in the case of stock options, the exercise price.</w:t>
      </w:r>
    </w:p>
    <w:p>
      <w:pPr>
        <w:jc w:val="both"/>
        <w:ind w:left="880" w:right="479" w:hanging="426"/>
        <w:spacing w:after="0" w:line="264"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accelerate the vesting of any stock options that have time-based vesting and the RSUs such that will be deemed vested (as of the date of employment terminates). The Company may accelerate the vesting of PSUs in connection with the negotiation of any Change in Control transaction.</w:t>
      </w:r>
    </w:p>
    <w:p>
      <w:pPr>
        <w:jc w:val="both"/>
        <w:ind w:left="880" w:right="459" w:hanging="426"/>
        <w:spacing w:after="0" w:line="270"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when becoming eligible for substantially equivalent health insurance coverage in connection with new employment.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w:t>
      </w:r>
      <w:r>
        <w:rPr>
          <w:rFonts w:ascii="Times New Roman" w:cs="Times New Roman" w:eastAsia="Times New Roman" w:hAnsi="Times New Roman"/>
          <w:sz w:val="18"/>
          <w:szCs w:val="18"/>
          <w:b w:val="1"/>
          <w:bCs w:val="1"/>
          <w:color w:val="auto"/>
        </w:rPr>
        <w:t>CEO Pay Ratio</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identified the median employee using annual total compensation, as determined pursuant to the Company’s tax and payroll records. We then determined the median employee’s compensation in accordance with Item 402(c)(2)(x) of Regulation S-K, as if the median employee’s pay were reportable in the Summary Compensation Table. Salary and wages were annualized for any permanent employees hired during the most recent fiscal year. A total of 259 employees globally who were employed by the Company on December 31, 2023, the last day of the Company’s fiscal year, were included in the determination of this calculation (including all employees, whether employed on a full-time, part-time, seasonal or temporary basis).</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illustrated in the table below, the Company’s 2023 CEO Pay Ratio was approximately 12:1.</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 2023 Compensation</w:t>
            </w:r>
          </w:p>
        </w:tc>
        <w:tc>
          <w:tcPr>
            <w:tcW w:w="20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1,863,978</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Median Employee 2023 Compensation</w:t>
            </w:r>
          </w:p>
        </w:tc>
        <w:tc>
          <w:tcPr>
            <w:tcW w:w="2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156,472</w:t>
            </w:r>
          </w:p>
        </w:tc>
      </w:tr>
      <w:tr>
        <w:trPr>
          <w:trHeight w:val="40"/>
        </w:trPr>
        <w:tc>
          <w:tcPr>
            <w:tcW w:w="45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4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Pay Ratio</w:t>
            </w:r>
          </w:p>
        </w:tc>
        <w:tc>
          <w:tcPr>
            <w:tcW w:w="20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0"/>
        </w:trPr>
        <w:tc>
          <w:tcPr>
            <w:tcW w:w="4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r>
    </w:tbl>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required by the Dodd-Frank Wall Street Reform and Consumer Protection Act and Item 402(v) of Regulation S-K, we are providing the following information regarding executive pay and performance. The table below shows pay both as reported in the Summary Compensation Table for the applicable fiscal year and as “compensation actually paid” (or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for our principal executive officer and as an average of all of our other NEOs (the “</w:t>
      </w:r>
      <w:r>
        <w:rPr>
          <w:rFonts w:ascii="Times New Roman" w:cs="Times New Roman" w:eastAsia="Times New Roman" w:hAnsi="Times New Roman"/>
          <w:sz w:val="18"/>
          <w:szCs w:val="18"/>
          <w:b w:val="1"/>
          <w:bCs w:val="1"/>
          <w:color w:val="auto"/>
        </w:rPr>
        <w:t>Non-PEO NEOs</w:t>
      </w:r>
      <w:r>
        <w:rPr>
          <w:rFonts w:ascii="Times New Roman" w:cs="Times New Roman" w:eastAsia="Times New Roman" w:hAnsi="Times New Roman"/>
          <w:sz w:val="18"/>
          <w:szCs w:val="18"/>
          <w:color w:val="auto"/>
        </w:rPr>
        <w:t>”) for the applicable fiscal year. Both the Summary Compensation Table pay and CAP are calculated in accordance with the requirements of Regulation S-K and may differ substantially from the manner in which the Compensation Committee makes decisions regarding executive pay. We describe the Compensation Committee’s decision-making process for executive compensation above in the CD&amp;A.</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4"/>
            <w:vMerge w:val="restart"/>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104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840" w:type="dxa"/>
            <w:vAlign w:val="bottom"/>
            <w:gridSpan w:val="10"/>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Compensation Actually Paid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9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to Non-</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Non-CEO</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for PEO</w:t>
            </w:r>
            <w:r>
              <w:rPr>
                <w:rFonts w:ascii="Times New Roman" w:cs="Times New Roman" w:eastAsia="Times New Roman" w:hAnsi="Times New Roman"/>
                <w:sz w:val="14"/>
                <w:szCs w:val="14"/>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14"/>
                <w:szCs w:val="14"/>
                <w:b w:val="1"/>
                <w:bCs w:val="1"/>
                <w:color w:val="auto"/>
                <w:vertAlign w:val="superscript"/>
              </w:rPr>
              <w:t>(2)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PEO NEOs</w:t>
            </w:r>
            <w:r>
              <w:rPr>
                <w:rFonts w:ascii="Times New Roman" w:cs="Times New Roman" w:eastAsia="Times New Roman" w:hAnsi="Times New Roman"/>
                <w:sz w:val="14"/>
                <w:szCs w:val="14"/>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NEOs</w:t>
            </w:r>
            <w:r>
              <w:rPr>
                <w:rFonts w:ascii="Times New Roman" w:cs="Times New Roman" w:eastAsia="Times New Roman" w:hAnsi="Times New Roman"/>
                <w:sz w:val="14"/>
                <w:szCs w:val="14"/>
                <w:b w:val="1"/>
                <w:bCs w:val="1"/>
                <w:color w:val="auto"/>
                <w:w w:val="98"/>
                <w:vertAlign w:val="superscript"/>
              </w:rPr>
              <w:t>(2)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4"/>
                <w:szCs w:val="14"/>
                <w:b w:val="1"/>
                <w:bCs w:val="1"/>
                <w:color w:val="auto"/>
                <w:vertAlign w:val="superscript"/>
              </w:rPr>
              <w:t>(3)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Return</w:t>
            </w:r>
            <w:r>
              <w:rPr>
                <w:rFonts w:ascii="Times New Roman" w:cs="Times New Roman" w:eastAsia="Times New Roman" w:hAnsi="Times New Roman"/>
                <w:sz w:val="14"/>
                <w:szCs w:val="14"/>
                <w:b w:val="1"/>
                <w:bCs w:val="1"/>
                <w:color w:val="auto"/>
                <w:w w:val="96"/>
                <w:vertAlign w:val="superscript"/>
              </w:rPr>
              <w:t>(3)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Income</w:t>
            </w:r>
            <w:r>
              <w:rPr>
                <w:rFonts w:ascii="Times New Roman" w:cs="Times New Roman" w:eastAsia="Times New Roman" w:hAnsi="Times New Roman"/>
                <w:sz w:val="14"/>
                <w:szCs w:val="14"/>
                <w:b w:val="1"/>
                <w:bCs w:val="1"/>
                <w:color w:val="auto"/>
                <w:w w:val="97"/>
                <w:vertAlign w:val="superscript"/>
              </w:rPr>
              <w:t>(4)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(in thousands)</w:t>
            </w:r>
            <w:r>
              <w:rPr>
                <w:rFonts w:ascii="Times New Roman" w:cs="Times New Roman" w:eastAsia="Times New Roman" w:hAnsi="Times New Roman"/>
                <w:sz w:val="14"/>
                <w:szCs w:val="14"/>
                <w:b w:val="1"/>
                <w:bCs w:val="1"/>
                <w:color w:val="auto"/>
                <w:w w:val="99"/>
                <w:vertAlign w:val="superscript"/>
              </w:rPr>
              <w:t>(5)</w:t>
            </w:r>
          </w:p>
        </w:tc>
        <w:tc>
          <w:tcPr>
            <w:tcW w:w="0" w:type="dxa"/>
            <w:vAlign w:val="bottom"/>
          </w:tcPr>
          <w:p>
            <w:pPr>
              <w:spacing w:after="0"/>
              <w:rPr>
                <w:sz w:val="1"/>
                <w:szCs w:val="1"/>
                <w:color w:val="auto"/>
              </w:rPr>
            </w:pPr>
          </w:p>
        </w:tc>
      </w:tr>
      <w:tr>
        <w:trPr>
          <w:trHeight w:val="250"/>
        </w:trPr>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1,863,978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2,220,167</w:t>
            </w:r>
          </w:p>
        </w:tc>
        <w:tc>
          <w:tcPr>
            <w:tcW w:w="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998,949</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1,218,070</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45,873</w:t>
            </w:r>
          </w:p>
        </w:tc>
        <w:tc>
          <w:tcPr>
            <w:tcW w:w="0" w:type="dxa"/>
            <w:vAlign w:val="bottom"/>
          </w:tcPr>
          <w:p>
            <w:pPr>
              <w:spacing w:after="0"/>
              <w:rPr>
                <w:sz w:val="1"/>
                <w:szCs w:val="1"/>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10,435,542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3,652,792</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5,260,854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1,239,969</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(116,713)</w:t>
            </w:r>
          </w:p>
        </w:tc>
        <w:tc>
          <w:tcPr>
            <w:tcW w:w="8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31,129</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our PEO was Dr. Mohajer, and our Non-PEO NEOs were Messrs. Sharan, Zagorsek, Hom, and Stonehocker. For 2022, our PEO was Dr. Mohajer, and our Non-PEO NEOs were Messrs. Sharan and Irani.</w:t>
      </w:r>
    </w:p>
    <w:p>
      <w:pPr>
        <w:sectPr>
          <w:pgSz w:w="11900" w:h="16838" w:orient="portrait"/>
          <w:cols w:equalWidth="0" w:num="1">
            <w:col w:w="9019"/>
          </w:cols>
          <w:pgMar w:left="1440" w:top="270"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1"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describes the adjustments to the Summary Compensation Table total pay for our PEO, as well as the average for our Non-PEO NEOs, to determine CAP, which has been computed in accordance with Item 402(v). Amounts do not reflect actual compensation earned or paid to our NEOs during the applicable year.</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cumulative total shareholder return (TSR) of our common stock and peer group at the end of each fiscal year. The TSR value listed in each year reflects what the cumulative value of $100 would be if invested on the date the Company began trading on Nasdaq following its business combination.</w:t>
      </w:r>
    </w:p>
    <w:p>
      <w:pPr>
        <w:ind w:left="880" w:right="479" w:hanging="426"/>
        <w:spacing w:after="0" w:line="264"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net income reflected in the Company’s audited financial statements for the applicable year.</w:t>
      </w:r>
    </w:p>
    <w:p>
      <w:pPr>
        <w:jc w:val="both"/>
        <w:ind w:left="880" w:right="459" w:hanging="426"/>
        <w:spacing w:after="0" w:line="272"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use many financial and non-financial metrics to develop our executive compensation programs, revenue is the financial performance measure that, in our assessment, represents the most important financial performance measure used to link compensation actually paid to NEOs to company performance in our most recently completed fiscal year.</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PEO</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r>
      <w:tr>
        <w:trPr>
          <w:trHeight w:val="2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in Table: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38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Compensation as reported in the Summary</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59"/>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Table (“SCT”)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1,863,978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10,548,042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998,949</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5,260,854</w:t>
            </w: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Grant Date Fair Value of Equity Awards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reported in SCT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1,326,000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10,054,500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607,750</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4,699,250</w:t>
            </w:r>
          </w:p>
        </w:tc>
      </w:tr>
      <w:tr>
        <w:trPr>
          <w:trHeight w:val="41"/>
        </w:trPr>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7"/>
              </w:rPr>
              <w:t>Add: Year-End Fair Value of Equity Awards Granted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1,178,666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2,646,150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535,950</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1,111,781</w:t>
            </w: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of Outstanding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 Equity Awards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301,400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112,483</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(479,609)</w:t>
            </w:r>
          </w:p>
        </w:tc>
      </w:tr>
      <w:tr>
        <w:trPr>
          <w:trHeight w:val="41"/>
        </w:trPr>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as of Vesting Date of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Granted and Vested in the Year</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138,667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119,405</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206,063</w:t>
            </w: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Add: Year over Year Change in Fair Value of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in Prior Years that Vested in 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59,033</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(159,870)</w:t>
            </w:r>
          </w:p>
        </w:tc>
      </w:tr>
      <w:tr>
        <w:trPr>
          <w:trHeight w:val="40"/>
        </w:trPr>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2,220,167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3,652,792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1,218,070</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1,239,969</w:t>
            </w:r>
          </w:p>
        </w:tc>
      </w:tr>
      <w:tr>
        <w:trPr>
          <w:trHeight w:val="391"/>
        </w:trPr>
        <w:tc>
          <w:tcPr>
            <w:tcW w:w="3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Chart 1: Total Stockholder Return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161925</wp:posOffset>
            </wp:positionV>
            <wp:extent cx="3497580" cy="4183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9758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Chart 2: Net Income (Loss)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118745</wp:posOffset>
            </wp:positionV>
            <wp:extent cx="4011930" cy="3180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1193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 3: Revenue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111760</wp:posOffset>
            </wp:positionV>
            <wp:extent cx="4320540" cy="2846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205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Tabular List of Financial Performance Measures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the following performance measures represent the most important financial performance measures used by us to link compensation actually paid to our NEOs for our most recently completed fiscal year:</w:t>
      </w:r>
    </w:p>
    <w:p>
      <w:pPr>
        <w:spacing w:after="0" w:line="108"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1" w:lineRule="exact"/>
        <w:rPr>
          <w:sz w:val="20"/>
          <w:szCs w:val="20"/>
          <w:color w:val="auto"/>
        </w:rPr>
      </w:pPr>
    </w:p>
    <w:p>
      <w:pPr>
        <w:ind w:left="800" w:hanging="34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 (C) Chair of the Compensation Committee: $14,500;</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2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for the year ended December 31, 2023.</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2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18"/>
                <w:szCs w:val="18"/>
                <w:b w:val="1"/>
                <w:bCs w:val="1"/>
                <w:color w:val="auto"/>
                <w:w w:val="94"/>
                <w:vertAlign w:val="superscript"/>
              </w:rPr>
              <w:t>(1)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Ball</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279,600</w:t>
            </w:r>
          </w:p>
        </w:tc>
      </w:tr>
      <w:tr>
        <w:trPr>
          <w:trHeight w:val="28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280,500</w:t>
            </w:r>
          </w:p>
        </w:tc>
      </w:tr>
      <w:tr>
        <w:trPr>
          <w:trHeight w:val="28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granted June 29, 2023 were 48,111 RSUs with a value of $3.43 determined by trailing 20-day average trading price prior to grant date. The values reported here are the aggregate grant date fair values of such awards computed in accordance with FASB ASC Topic 718.</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Ball has 39,990 stock options and 41,083 Restricted Stock Awards unvested outstanding.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Larry Marcus has 58,111 Restricted Stock Awards unvested outstanding.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Diana Sroka has 39,990 Stock Options and 41,083 Restricted Stock Awards unvested outstanding.</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November 2, 2023, our board of directors approved the adoption of the Executive Compensation Clawback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order to comply with the final clawback rules adopted by the SEC under Rule 10D-1 under the Exchange Act and the listing standards, as set forth in the Nasdaq Listing Rule 5608 (the “</w:t>
      </w:r>
      <w:r>
        <w:rPr>
          <w:rFonts w:ascii="Times New Roman" w:cs="Times New Roman" w:eastAsia="Times New Roman" w:hAnsi="Times New Roman"/>
          <w:sz w:val="18"/>
          <w:szCs w:val="18"/>
          <w:b w:val="1"/>
          <w:bCs w:val="1"/>
          <w:color w:val="auto"/>
        </w:rPr>
        <w:t>Final Clawback Rules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Clawback Policy provides for the mandatory recovery of erroneously awarded incentive-based compensation from our current and former executive officers as defined in Rule 10D-1 (“</w:t>
      </w:r>
      <w:r>
        <w:rPr>
          <w:rFonts w:ascii="Times New Roman" w:cs="Times New Roman" w:eastAsia="Times New Roman" w:hAnsi="Times New Roman"/>
          <w:sz w:val="18"/>
          <w:szCs w:val="18"/>
          <w:b w:val="1"/>
          <w:bCs w:val="1"/>
          <w:color w:val="auto"/>
        </w:rPr>
        <w:t>Covered Officers</w:t>
      </w:r>
      <w:r>
        <w:rPr>
          <w:rFonts w:ascii="Times New Roman" w:cs="Times New Roman" w:eastAsia="Times New Roman" w:hAnsi="Times New Roman"/>
          <w:sz w:val="18"/>
          <w:szCs w:val="18"/>
          <w:color w:val="auto"/>
        </w:rPr>
        <w:t>”) in the event that we are required to prepare an accounting restatement, in accordance with the Final Clawback Rules. The recovery of such compensation applies regardless of whether a Covered Officer engaged in misconduct or otherwise caused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our compensation programs continuously throughout the year to assess and mitigate against material risks. The Compensation Committee believes that the design of our annual and long-term incentives focuses performance on long-term value creation and discourages short-term risk taking at the expense of long-term results. A substantial portion of employees’ compensation is delivered in the form of equity awards, further aligning their interests with those of stockholders.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following risk oversight and compensation design features safeguard against excessive risk-taking:</w:t>
      </w:r>
    </w:p>
    <w:p>
      <w:pPr>
        <w:spacing w:after="0" w:line="81" w:lineRule="exact"/>
        <w:rPr>
          <w:sz w:val="20"/>
          <w:szCs w:val="20"/>
          <w:color w:val="auto"/>
        </w:rPr>
      </w:pPr>
    </w:p>
    <w:p>
      <w:pPr>
        <w:jc w:val="both"/>
        <w:ind w:left="1320" w:right="459" w:hanging="434"/>
        <w:spacing w:after="0" w:line="261"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a whole has responsibility for risk oversight and regularly reviews reports on the deliberations of its committees. In addition, our Board reviews the strategic, financial, and execution risks and exposures associated with the financial, operational, and capital decisions that serve as inputs to our compensation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discussions with management, the Compensation Committee gains insight into a reasonable range of future company performance expectations. This information is incorporated into decisions regarding the compensation of our named executive officers.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compensation provided to our named executive officers is delivered through equity awards, with payout based on long-term company performance. Our RSU awards vest over a long-term period, and our PSU awards are earned based on company performance. As the compensation of our named executive officers is tied to long-term performance, their interests are closely aligned with our stockholders’ interests and they are motivated to carefully assess risks to the company to protect their compensation.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Given that equity compensation comprises a high percentage of our named executive officers’ overall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pay:</w:t>
      </w:r>
    </w:p>
    <w:p>
      <w:pPr>
        <w:spacing w:after="0" w:line="139" w:lineRule="exact"/>
        <w:rPr>
          <w:sz w:val="20"/>
          <w:szCs w:val="20"/>
          <w:color w:val="auto"/>
        </w:rPr>
      </w:pPr>
    </w:p>
    <w:p>
      <w:pPr>
        <w:jc w:val="both"/>
        <w:ind w:left="1320" w:right="45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awards are subject to vesting conditions and performance goals that promote focus on long-term interests rather than only short-term results and create compelling incentives for executive retention.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all speculative, short-sale, short-term, and hedging transactions involving our securities. As a result, our named executive officers cannot insulate themselves from the effects of poor stock performance.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internal controls over financial reporting, the measurement and calculation of performance relative to goals, and other financial, operational, and compliance policies and practices designed to protect our compensation programs from manipulation by any employee.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 and Management and Related Stockholder Matters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Class A Common Stock and Class B Common Stock as of April 15, 2024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Class A Common Stock and Class B Common Stock;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percentage of beneficial ownership is based on 320,450,411 shares of Common Stock issued and outstanding as of April 15, 2024, which calculation includes (i) 287,715,003 shares of the Company’s Class A Common Stock and (ii) 32,735,408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the Record Date, a total of 615,069,083 votes may be cast at any meeting of stockholders.</w:t>
      </w:r>
    </w:p>
    <w:p>
      <w:pPr>
        <w:spacing w:after="0" w:line="8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SEC rules, shares of our Class A Common Stock which may be acquired upon exercise of stock options or warrants which are currently exercisable or which become exercisable within 60 days after April 15, 2024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7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Beneficial Ownership Table</w:t>
            </w:r>
          </w:p>
        </w:tc>
        <w:tc>
          <w:tcPr>
            <w:tcW w:w="1080" w:type="dxa"/>
            <w:vAlign w:val="bottom"/>
          </w:tcPr>
          <w:p>
            <w:pPr>
              <w:spacing w:after="0"/>
              <w:rPr>
                <w:sz w:val="18"/>
                <w:szCs w:val="18"/>
                <w:color w:val="auto"/>
              </w:rPr>
            </w:pPr>
          </w:p>
        </w:tc>
      </w:tr>
      <w:tr>
        <w:trPr>
          <w:trHeight w:val="46"/>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47"/>
        </w:trPr>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1,017,933</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14,139,064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8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168,191</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2,012,588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312,230</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Sroka</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145,556</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Eric Ball</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691,079</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Seyed Majid Emami</w:t>
            </w:r>
            <w:r>
              <w:rPr>
                <w:rFonts w:ascii="Times New Roman" w:cs="Times New Roman" w:eastAsia="Times New Roman" w:hAnsi="Times New Roman"/>
                <w:sz w:val="20"/>
                <w:szCs w:val="20"/>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806,740</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16,583,756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0"/>
                <w:szCs w:val="20"/>
                <w:color w:val="auto"/>
                <w:vertAlign w:val="superscript"/>
              </w:rPr>
              <w:t>(7)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1,475,116</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r>
              <w:rPr>
                <w:rFonts w:ascii="Times New Roman" w:cs="Times New Roman" w:eastAsia="Times New Roman" w:hAnsi="Times New Roman"/>
                <w:sz w:val="20"/>
                <w:szCs w:val="20"/>
                <w:color w:val="auto"/>
                <w:vertAlign w:val="superscript"/>
              </w:rPr>
              <w:t>(8)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616,546</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0"/>
                <w:szCs w:val="20"/>
                <w:color w:val="auto"/>
                <w:vertAlign w:val="superscript"/>
              </w:rPr>
              <w:t>(9)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1,394,811</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(9 individuals)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6,628,202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32,735,408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88,334 shares of Class A Common Stock issuable upon vesting of outstanding RSUs that vest within 60 days of April 15, 2024.</w:t>
      </w:r>
    </w:p>
    <w:p>
      <w:pPr>
        <w:ind w:left="880" w:right="459" w:hanging="426"/>
        <w:spacing w:after="0" w:line="264"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30,834 shares of Class A Common Stock issuable upon vesting of outstanding RSUs that vest within 60 days of April 15, 2024.</w:t>
      </w:r>
    </w:p>
    <w:p>
      <w:pPr>
        <w:jc w:val="both"/>
        <w:ind w:left="880" w:right="459" w:hanging="426"/>
        <w:spacing w:after="0" w:line="264"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4,007 shares of Class A Common Stock issuable upon vesting of outstanding RSUs that vest within 60 days of April 15, 2024 and 258,117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jc w:val="both"/>
        <w:ind w:left="880" w:right="459" w:hanging="426"/>
        <w:spacing w:after="0" w:line="276"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58,809 shares of Class A Common Stock that are issuable upon exercise of stock options which are exercisable within 60 days of April 15, 2024 and 2,003 shares of Class A Common Stock issuable upon vesting of outstanding RSUs that vest within 60 days of April 15, 2024.</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3"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58,809 shares of Class A Common Stock that are issuable upon exercise of stock options which are exercisable within 60 days of April 15, 2024, 2,003 shares of Class A Common Stock issuable upon vesting of outstanding RSUs that vest within 60 days of April 15, 2024, 100,020 shares of Class A Common Stock issuable upon conversion of 3,334 shares of Series A Preferred Stock which are convertible within 60 days of April 15, 2024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880" w:right="459" w:hanging="426"/>
        <w:spacing w:after="0" w:line="26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30,834 shares of Class A Common Stock issuable upon vesting of outstanding RSUs that vest within 60 days of April 15, 2024.</w:t>
      </w:r>
    </w:p>
    <w:p>
      <w:pPr>
        <w:jc w:val="both"/>
        <w:ind w:left="880" w:right="459" w:hanging="426"/>
        <w:spacing w:after="0" w:line="26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805,657 shares of Class A Common Stock that are issuable upon exercise of stock options that are currently exercisable or exercisable within 60 days of April 15, 2024, and 29,854 shares of Class A Common Stock issuable upon vesting of outstanding RSUs that vest within 60 days of April 15, 2024</w:t>
      </w:r>
    </w:p>
    <w:p>
      <w:pPr>
        <w:jc w:val="both"/>
        <w:ind w:left="880" w:right="459" w:hanging="426"/>
        <w:spacing w:after="0" w:line="26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205,787 shares of Class A Common Stock that are issuable upon exercise of stock options which are currently exercisable or exercisable within 60 days of April 15, 2024, 38,194 shares of Class A Common Stock issuable upon vesting of outstanding RSUs that vest within 60 days of April 15, 2024 and 100,020 shares of Class A Common Stock issuable upon conversion of 3,334 shares of Series A Preferred Stock which are convertible within 60 days of April 15, 2024.</w:t>
      </w:r>
    </w:p>
    <w:p>
      <w:pPr>
        <w:jc w:val="both"/>
        <w:ind w:left="880" w:right="459" w:hanging="426"/>
        <w:spacing w:after="0" w:line="276"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1,101,987 shares of Class A Common Stock that are issuable upon exercise of stock options which are currently exercisable or exercisable within 60 days of May 15, 2023 and 44,444 shares of Class A Common Stock issuable upon vesting of outstanding RSUs that vest within 60 days of April 15, 2024.</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relating to all our equity compensation plans: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Securities to</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 Issued Upon</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8"/>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w:t>
      </w:r>
    </w:p>
    <w:p>
      <w:pPr>
        <w:spacing w:after="0" w:line="94"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January 1, 2023, in connection with the equity financing rounds in which SoundHound or Legacy SoundHound has engaged since that date, the following agreements have been entered into (all of which are with investors in such financings, including holders of more than 5% of SoundHound’s capital stock or Legacy SoundHound’s capital stock at the time of such agreements.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or around January 20, 2023, SoundHound entered into Preferred Stock Purchase Agreements with certain investors pursuant to which the Company issued and sold to the investors an aggregate of 835,011 shares of its newly designated Series A Preferred Stock for an aggregate issue price of 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SoundHound has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06" w:lineRule="exact"/>
        <w:rPr>
          <w:sz w:val="20"/>
          <w:szCs w:val="20"/>
          <w:color w:val="auto"/>
        </w:rPr>
      </w:pPr>
    </w:p>
    <w:p>
      <w:pPr>
        <w:ind w:left="1320" w:right="4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SoundHound’s officers or one of the SoundHound’s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SoundHound to be the beneficial owner of more than five percent (5%) of its voting stock;</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127" w:lineRule="exact"/>
        <w:rPr>
          <w:sz w:val="20"/>
          <w:szCs w:val="20"/>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SoundHound;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in this section prior to the date of the Business Combination were entered into prior to the adoption of this policy.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INDEPENDENT AUDITORS FOR FISCAL 2024</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year ending December 31, 2024. If our stockholders do not ratify the selection, it will be considered as notice to the Board and the Audit Committee to consider its appointment for future years. Prior to the appointment of PricewaterhouseCoopers LLP, Armanino LLP served as the Company’s independent registered public accounting firm from 2020 through 2023.</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representatives of PricewaterhouseCoopers LLP is not expected to attend the Annual Meeting; however, if a representative is present, they will have the opportunity to make a statement if they desire to do so and are not expected to be available to respond to appropriate questions.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Audit-Related and All Other Fees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for the audit of our year-end financial statements, reviews of our quarterly financial statements and services that are normally provided by our independent registered public accounting firm in connection with statutory and regulatory filings. The aggregate fees billed by PricewaterhouseCoopers LLP for audit fees, inclusive of required filings with the SEC for the year ended December 31, 2023 totaled $1,651,835. The aggregate fees billed by Armanino LLP for audit fees, inclusive of required filings with the SEC for the year ended December 31, 2022 totaled $1,092,000.</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 ended December 31, 2023. There were no audit-related fees billed by Armanino LLP for the year ended December 31, 2022.</w:t>
      </w:r>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 There were no tax fees billed by PricewaterhouseCoopers LLP for the year ended December 31, 2023. The aggregate fees billed by Armanino LLP for tax fees for the year ended December 31, 2022 totaled $114,000.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 aggregate of $2,000 was billed by PricewaterhouseCoopers LLP as other fees for the year ended December 31, 2023. There were no other fees billed by Armanino LLP for the year ended December 31, 2022.</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our financial statements for the fiscal year ended December 31, 2023 with both management and PricewaterhouseCoopers LLP, our independent registered public accounting firm. In its discussion, management has represented to the Audit Committee that our financial statements for the fiscal year ended December 31, 2023 were prepared in accordance with generally accepted accounting principles.</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in Rule 3200T.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PricewaterhouseCoopers LLP, Certified Public Accountants, such firm’s independence and the compatibility of the non-audit services provided by the firm with its independence.</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2023.</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Submitted by the Audit Committee of the Board of Directors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Eric Ball (Chair of the Audit Committee)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Larry Marcus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Diana Sroka</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Ratification of the appointment by the Audit Committee of the Auditor as the Company’s independent registered public accounting firm for the fiscal year ending December 31, 2024 requires. The affirmative vote of the holders of a majority of the Common Stock represented and entitled to vote at the Annual Meeting .</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4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BY THE BOARD OF PRICEWATERHOUSECOOPERS LLP, CERTIFIED PUBLIC ACCOUNTANTS AS THE COMPANY’S INDEPENDENT REGISTERED PUBLIC ACCOUNTING FIRM FOR THE FISCAL YEAR ENDING DECEMBER 31,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APPROVAL ON AN ADVISORY BASIS OF THE COMPENSATION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Section 951 of the Dodd-Frank Wall Street Reform and Consumer Protection Act of 2010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and Section 14A of the Exchange Act, the following proposal, commonly known as a “Say on Pay” proposal, enables our stockholders to vote to approve, on a non-binding advisory basis, the compensation of our named executive officers as disclosed in this proxy statement in accordance with applicable SEC rules.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goal for our executive compensation program is to attract, motivate and retain a talented team of executives who will provide leadership for our success, and thereby increase stockholder value. We believe that our executive compensation program satisfies this goal and is strongly aligned with the long-term interests of our stockholders. We urge stockholders to read the section titled “Executive Officer and Director Compensation” elsewhere in this proxy statement for additional details about our executive compensation programs, including information about the compensation of our named executive officers in 2023.</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“say-on-pay” proposal gives our stockholders the opportunity to express their views on our named executive officers’ compensation. This vote is not intended to address any specific item of compensation, but rather the overall compensation of our named executive officers described in this proxy statement. Accordingly, we will ask our stockholders to vote FOR the following resolution at the Annual Meeting:</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SoundHound AI, Inc. approve, on an advisory basis, the compensation of the named executive officers, as disclosed in the SoundHound AI, Inc. proxy statement for the 2024 Annual Meeting of Stockholders pursuant to the compensation disclosure rules of the SEC.”</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say-on-pay vote is advisory, and therefore, is not binding on us, our Compensation Committee or our Board. Our Board and our Compensation Committee value the opinions of our stockholders, and to the extent that this resolution is not approved by a majority of the votes properly cast, we may review and consider the results of this advisory vote in future compensation deliberations.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4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 NON-BINDING, ADVISORY BASIS, THE COMPENSATION OF OUR NAMED EXECUTIVE OFFICERS.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CONDUCTING FUTURE STOCKHOLDER ADVISORY VOTES ON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THE COMPENSATION OF NAMED EXECUTIVE OFFICERS</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the Dodd-Frank Act, public companies are generally required to include in their proxy solicitations, at least once every six years, an advisory vote on whether an advisory vote on named executive officer compensation (such as the say-on-pay proposal that is included in this proxy statement) should occur every one, two or three years. It is management’s belief, and the recommendation of our Board, that this non-binding advisory vote should occur every three years.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we have effective executive compensation practices. Our Board believes that providing our stockholders with an advisory vote on named executive officer compensation every three years will encourage a long-term approach to evaluating our executive compensation policies and practices. In contrast, focusing on executive compensation over an annual or biennial period would focus on short-term results rather than long-term value creation, which is inconsistent with our compensation philosophy, and could be detrimental to us, our employees and our financial results.</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Moreover, our Board does not believe that a short review cycle will allow for a meaningful evaluation of our performance against our compensation practices, as any adjustment in pay practices would take time to implement and to be reflected in our financial performance and in the price of our Common Stock. As a result, an advisory vote on executive compensation more frequently than every three years would not, in our judgment, allow stockholders to compare executive compensation to our performance.</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Lastly, we believe that conducting an advisory vote on executive compensation every three years would allow us adequate time to compile meaningful input from stockholders on our pay practices and respond appropriately. This would be more difficult to do on an annual or biennial basis, and we believe that both we and our stockholders would benefit from having more time for a thoughtful and constructive analysis and review of our compensation policies.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above reasons, our Board recommends that stockholders approve holding an advisory vote on named executive officer compensation every three years.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may cast your vote on your preferred voting frequency by choosing the option of one year, two years or three years, or you may abstain from voting when you vote in response to the resolution set forth below.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“RESOLVED, that the option of once every year, two years, or three years, that receives the highest number of votes cast for this resolution will be determined to be the stockholders’ preferred frequency with which SoundHound AI, Inc. is to hold a stockholder advisory vote regarding the executive compensation of its named executive officers, as disclosed pursuant to the SEC’s compensation disclosure rules.”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stockholders will be the frequency for the advisory vote on the compensation of our named executive officers that has been selected by stockholders. However, because the vote on this proposal is only advisory in nature and is not binding on us or our Board, our Board will review and consider the results of the vote, but may decide that it is in our best interests and the best interests of our stockholders to hold an advisory vote on the compensation of our named executive officers more or less frequently than the option approved by our stockholders.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5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“3 YEARS” FOR THE FREQUENCY OF CONDUCTING FUTURE STOCKHOLDER ADVISORY VOTES ON NAMED EXECUTIVE OFFICER COMPENSATION.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Proxy Solicitation</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Proxies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stockholder may revoke his, her or its proxy at any time prior to its use by giving written notice to the Secretary of the Company,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Securities Outstanding; Votes Required</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close of business on the Record Date there were an aggregate of 320,450,411 shares of Common Stock outstanding, consisting of 287,715,003 shares of Class A Common Stock and 32,735,408 shares of Class B Common Stock. Stockholders are entitled to one vote for each share of Class A Common Stock owned and 10 votes for each share of Class B Common Stock owned. Accordingly, a total of 615,069,083 votes may be cast at the Annual Meeting. In the election of directors, the five persons receiving the highest number of affirmative votes cast at the Annual Meeting will be elected. The affirmative vote of the holders of a majority of the Common Stock represented and entitled to vote at the Annual Meeting is required for approval of each of proposals 2 and 3. The option of one year, two years or three years that receives the highest number of votes cast by stockholders will be the frequency for the advisory vote on the compensation of our named executive officers that has been selected by stockholders. Shares of the Common Stock represented by executed proxies received by the Company will be counted for purposes of establishing a quorum at the Annual Meeting, regardless of how or whether such shares are voted on any specific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Business</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spacing w:after="0" w:line="174"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Deadline for Submission of Stockholder Proposals and Director Nominations for 2025 Annual Meeting of Stockholders</w:t>
      </w:r>
    </w:p>
    <w:p>
      <w:pPr>
        <w:spacing w:after="0" w:line="93"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Stockholders intending to present a proposal or propose a director nominee at our 2025 Annual Meeting must comply with the requirements set forth in the Bylaws and comply with the requirement of Rule 14a-8 of the Exchange Act. The Bylaws require, among other things, that a stockholder must have given timely notice any proposal in writing to the Secretary of the Company. To be timely, a stockholder’s notice must be delivered to or mailed and received at the principal executive offices of the Company not less than 60 days nor more than 90 days prior to 2025 Annual Meeting of Stockholders; provided, however, that in the event that less than 70 days’ notice or prior public disclosure of the date of the 2025 Annual Meeting of Stockholders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2025 Annual Meeting of Stockholders is made in a press release via a national news dissemination service or in a document filed with SEC pursuant to Section 13, 14, or 15(d) of the Exchange Act. Accordingly, for the 2025 Annual Meeting, assuming the meeting is held on or about June 12, 2025, notice of a nomination or proposal must be delivered to the Secretary of the Company no later than April 13, 2025 and no earlier than March 14, 2025.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2025 Annual Meeting of Stockholders.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2025 Annual Meeting, the Company’s Secretary must receive notice under SEC Rule 14a-19 no later than April 13, 2025.</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Communications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14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Accompanying this Proxy Statement is a copy of the Company’s Annual Report on Form 10-K for the year ended December 31, 2023.</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Stockholders who have questions in regard to any aspect of the matters discussed in this Proxy Statement should contact Warren Heit, General Counsel of the Company, at 5400 Betsy Ross Drive, Santa Clara, CA, 95054.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Householding</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on Form 10-K by contacting Warren Heit, General Counsel of the Company, at 5400 Betsy Ross Drive, Santa Clara, CA, 95054.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UNDERSIGNED HEREBY APPOINTS KEYVAN MOHAJER, NITESH SHARAN AND WARREN HEIT, AND EACH OF THEM, AS PROXIES OF THE UNDERSIGNED, WITH FULL POWER OF SUBSTITUTION, TO VOTE ALL THE SHARES OF COMMON STOCK OF SOUNDHOUND AI, INC. HELD OF RECORD BY THE UNDERSIGNED ON APRIL 15, 2024, AT THE ANNUAL MEETING OF STOCKHOLDERS TO BE HELD ON JUNE 12, 2024, OR ANY ADJOURNMENT THEREOF.</w:t>
      </w:r>
    </w:p>
    <w:p>
      <w:pPr>
        <w:spacing w:after="0" w:line="75" w:lineRule="exact"/>
        <w:rPr>
          <w:sz w:val="20"/>
          <w:szCs w:val="20"/>
          <w:color w:val="auto"/>
        </w:rPr>
      </w:pPr>
    </w:p>
    <w:p>
      <w:pPr>
        <w:jc w:val="both"/>
        <w:ind w:left="460" w:right="479" w:hanging="6"/>
        <w:spacing w:after="0" w:line="266"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Dr. Keyvan Mohajer, James Hom, Larry Marcus, Diana Sroka, Dr. Eric Ball, Dr. Majid Emami, Timothy Stonehocker, Nitesh Sharan and Michael Zagorsek to hold office until the 2024 Annual Meeting of Stockholders or their successors are elected and qualified.</w:t>
      </w:r>
    </w:p>
    <w:p>
      <w:pPr>
        <w:spacing w:after="0" w:line="135" w:lineRule="exact"/>
        <w:rPr>
          <w:rFonts w:ascii="Times New Roman" w:cs="Times New Roman" w:eastAsia="Times New Roman" w:hAnsi="Times New Roman"/>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THE NOMINEES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WITHHOLD AUTHORITY FOR THE NOMINEES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EXCEPT (see instructions)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Keyvan Mohajer</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James Hom</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Larry Marcus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Diana Sroka</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Eric Ball</w:t>
      </w:r>
    </w:p>
    <w:p>
      <w:pPr>
        <w:spacing w:after="0" w:line="262"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Times New Roman" w:cs="Times New Roman" w:eastAsia="Times New Roman" w:hAnsi="Times New Roman"/>
          <w:sz w:val="18"/>
          <w:szCs w:val="18"/>
          <w:color w:val="auto"/>
        </w:rPr>
        <w:t>to withhold authority for any individual nominee, mark “FOR ALL EXCEPT” and fill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circle next to the nominee you wish to withhold for.</w:t>
      </w:r>
    </w:p>
    <w:p>
      <w:pPr>
        <w:spacing w:after="0" w:line="51" w:lineRule="exact"/>
        <w:rPr>
          <w:sz w:val="20"/>
          <w:szCs w:val="20"/>
          <w:color w:val="auto"/>
        </w:rPr>
      </w:pPr>
    </w:p>
    <w:p>
      <w:pPr>
        <w:ind w:left="460" w:right="459" w:hanging="6"/>
        <w:spacing w:after="0" w:line="282" w:lineRule="auto"/>
        <w:tabs>
          <w:tab w:leader="none" w:pos="6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107" w:lineRule="exact"/>
        <w:rPr>
          <w:sz w:val="20"/>
          <w:szCs w:val="20"/>
          <w:color w:val="auto"/>
        </w:rPr>
      </w:pPr>
    </w:p>
    <w:p>
      <w:pPr>
        <w:ind w:left="580"/>
        <w:spacing w:after="0" w:line="207" w:lineRule="exact"/>
        <w:tabs>
          <w:tab w:leader="none" w:pos="2560" w:val="left"/>
          <w:tab w:leader="none" w:pos="4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To approve, on a non-binding, advisory basis, the compensation of our named executive officers:</w:t>
      </w:r>
    </w:p>
    <w:p>
      <w:pPr>
        <w:spacing w:after="0" w:line="184" w:lineRule="exact"/>
        <w:rPr>
          <w:sz w:val="20"/>
          <w:szCs w:val="20"/>
          <w:color w:val="auto"/>
        </w:rPr>
      </w:pPr>
    </w:p>
    <w:p>
      <w:pPr>
        <w:ind w:left="580"/>
        <w:spacing w:after="0" w:line="207" w:lineRule="exact"/>
        <w:tabs>
          <w:tab w:leader="none" w:pos="2520" w:val="left"/>
          <w:tab w:leader="none" w:pos="47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right="459" w:hanging="6"/>
        <w:spacing w:after="0" w:line="282"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w:t>
      </w:r>
    </w:p>
    <w:p>
      <w:pPr>
        <w:spacing w:after="0" w:line="107" w:lineRule="exact"/>
        <w:rPr>
          <w:sz w:val="20"/>
          <w:szCs w:val="20"/>
          <w:color w:val="auto"/>
        </w:rPr>
      </w:pPr>
    </w:p>
    <w:p>
      <w:pPr>
        <w:ind w:left="580"/>
        <w:spacing w:after="0" w:line="207" w:lineRule="exact"/>
        <w:tabs>
          <w:tab w:leader="none" w:pos="2220" w:val="left"/>
          <w:tab w:leader="none" w:pos="4040" w:val="left"/>
          <w:tab w:leader="none" w:pos="5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YEAR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2 YEARS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3 YEARS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ABSTAIN</w:t>
      </w:r>
    </w:p>
    <w:p>
      <w:pPr>
        <w:spacing w:after="0" w:line="27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shares represented by this proxy, when properly executed, will be voted as specified by the undersigned stockholder(s). If this card contains no specific voting instructions, the shares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each of the directors and proposals described on this card, and for </w:t>
      </w:r>
      <w:r>
        <w:rPr>
          <w:rFonts w:ascii="Times New Roman" w:cs="Times New Roman" w:eastAsia="Times New Roman" w:hAnsi="Times New Roman"/>
          <w:sz w:val="18"/>
          <w:szCs w:val="18"/>
          <w:b w:val="1"/>
          <w:bCs w:val="1"/>
          <w:u w:val="single" w:color="auto"/>
          <w:color w:val="auto"/>
        </w:rPr>
        <w:t>3 YEARS</w:t>
      </w:r>
      <w:r>
        <w:rPr>
          <w:rFonts w:ascii="Times New Roman" w:cs="Times New Roman" w:eastAsia="Times New Roman" w:hAnsi="Times New Roman"/>
          <w:sz w:val="18"/>
          <w:szCs w:val="18"/>
          <w:b w:val="1"/>
          <w:bCs w:val="1"/>
          <w:color w:val="auto"/>
        </w:rPr>
        <w:t xml:space="preserve"> as the frequency of conducting future stockholder advisory votes on named executive officer compensation.</w:t>
      </w:r>
    </w:p>
    <w:p>
      <w:pPr>
        <w:spacing w:after="0" w:line="6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4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Please mark, sign, date and return this proxy promptly using the accompanying postage pre-paid envelope. THIS PROXY IS SOLICITED ON BEHALF OF THE BOARD OF DIRECTORS OF SOUNDHOUND AI, INC.</w:t>
      </w:r>
    </w:p>
    <w:p>
      <w:pPr>
        <w:spacing w:after="0" w:line="200" w:lineRule="exact"/>
        <w:rPr>
          <w:sz w:val="20"/>
          <w:szCs w:val="20"/>
          <w:color w:val="auto"/>
        </w:rPr>
      </w:pPr>
    </w:p>
    <w:p>
      <w:pPr>
        <w:spacing w:after="0" w:line="231"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Signature of Stockholder(s)</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1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shares are held by joint tenants, both should sign. When signing as attorney, executor, administrator, trustee or guardian, please give full title as such. If a corporation, please sign the corporate name by the president or other authorized officer. If a partnership, please sign in the partnership name by an authorized person.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VOTE BY INTERNET — </w:t>
      </w:r>
      <w:r>
        <w:rPr>
          <w:rFonts w:ascii="Times New Roman" w:cs="Times New Roman" w:eastAsia="Times New Roman" w:hAnsi="Times New Roman"/>
          <w:sz w:val="18"/>
          <w:szCs w:val="18"/>
          <w:color w:val="auto"/>
        </w:rPr>
        <w:t>You may cast your vote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http://www.proxyvote.com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Use the Internet to transmit your voting instructions and for electronic delivery of information up until 11:59 P.M. Pacific Time the day before the meeting date. Have your proxy card in hand when you access the website and follow the instructions to obtain your records and to create an electronic voting instruction form.</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VOTE BY TELEPHONE — </w:t>
      </w:r>
      <w:r>
        <w:rPr>
          <w:rFonts w:ascii="Times New Roman" w:cs="Times New Roman" w:eastAsia="Times New Roman" w:hAnsi="Times New Roman"/>
          <w:sz w:val="18"/>
          <w:szCs w:val="18"/>
          <w:color w:val="auto"/>
        </w:rPr>
        <w:t>You may cast your vote by telephone as follows.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Use a touch-tone telephone to transmit your voting instructions to the number provided on your proxy card up until 11:59 P.M. on June 11, 2024. Have your proxy card or Internet Availability Notice in hand as you will be prompted to enter your control number to create and submit a telephonic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6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7"/>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2"/>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2"/>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upperLetter"/>
      <w:start w:val="2"/>
    </w:lvl>
  </w:abstractNum>
  <w:abstractNum w:abstractNumId="31">
    <w:nsid w:val="5E884ADC"/>
    <w:multiLevelType w:val="hybridMultilevel"/>
    <w:lvl w:ilvl="0">
      <w:lvlJc w:val="left"/>
      <w:lvlText w:val="(%1)"/>
      <w:numFmt w:val="upperLetter"/>
      <w:start w:val="4"/>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
      <w:numFmt w:val="bullet"/>
      <w:start w:val="1"/>
    </w:lvl>
  </w:abstractNum>
  <w:abstractNum w:abstractNumId="44">
    <w:nsid w:val="7A6D8D3C"/>
    <w:multiLevelType w:val="hybridMultilevel"/>
    <w:lvl w:ilvl="0">
      <w:lvlJc w:val="left"/>
      <w:lvlText w:val="%1."/>
      <w:numFmt w:val="decimal"/>
      <w:start w:val="2"/>
    </w:lvl>
  </w:abstractNum>
  <w:abstractNum w:abstractNumId="45">
    <w:nsid w:val="4B588F5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2024-04-30T07:52:59Z</dcterms:created>
  <dcterms:modified xsi:type="dcterms:W3CDTF">2024-04-30T07:52:59Z</dcterms:modified>
</cp:coreProperties>
</file>