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U.S. Securities and Exchange Commission on March 10, 2021</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800" w:type="dxa"/>
            <w:vAlign w:val="bottom"/>
          </w:tcPr>
          <w:p>
            <w:pPr>
              <w:spacing w:after="0"/>
              <w:rPr>
                <w:sz w:val="24"/>
                <w:szCs w:val="24"/>
                <w:color w:val="auto"/>
              </w:rPr>
            </w:pP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94"/>
              </w:rPr>
              <w:t>David Alan Miller, Esq.</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Mitchell S. Nussbaum</w:t>
            </w: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Jeffrey M. Gallant, Esq.</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Giovanni Caruso</w:t>
            </w: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97"/>
              </w:rPr>
              <w:t>Graubard Miller</w:t>
            </w:r>
          </w:p>
        </w:tc>
      </w:tr>
      <w:tr>
        <w:trPr>
          <w:trHeight w:val="216"/>
        </w:trPr>
        <w:tc>
          <w:tcPr>
            <w:tcW w:w="2800" w:type="dxa"/>
            <w:vAlign w:val="bottom"/>
          </w:tcPr>
          <w:p>
            <w:pPr>
              <w:jc w:val="center"/>
              <w:ind w:right="570"/>
              <w:spacing w:after="0"/>
              <w:rPr>
                <w:sz w:val="20"/>
                <w:szCs w:val="20"/>
                <w:color w:val="auto"/>
              </w:rPr>
            </w:pPr>
            <w:r>
              <w:rPr>
                <w:rFonts w:ascii="Arial" w:cs="Arial" w:eastAsia="Arial" w:hAnsi="Arial"/>
                <w:sz w:val="18"/>
                <w:szCs w:val="18"/>
                <w:b w:val="1"/>
                <w:bCs w:val="1"/>
                <w:color w:val="auto"/>
                <w:w w:val="95"/>
              </w:rPr>
              <w:t>Loeb &amp; Loeb LLP</w:t>
            </w: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The Chrysler Building</w:t>
            </w:r>
          </w:p>
        </w:tc>
      </w:tr>
      <w:tr>
        <w:trPr>
          <w:trHeight w:val="216"/>
        </w:trPr>
        <w:tc>
          <w:tcPr>
            <w:tcW w:w="2800" w:type="dxa"/>
            <w:vAlign w:val="bottom"/>
          </w:tcPr>
          <w:p>
            <w:pPr>
              <w:jc w:val="center"/>
              <w:ind w:right="570"/>
              <w:spacing w:after="0"/>
              <w:rPr>
                <w:sz w:val="20"/>
                <w:szCs w:val="20"/>
                <w:color w:val="auto"/>
              </w:rPr>
            </w:pPr>
            <w:r>
              <w:rPr>
                <w:rFonts w:ascii="Arial" w:cs="Arial" w:eastAsia="Arial" w:hAnsi="Arial"/>
                <w:sz w:val="18"/>
                <w:szCs w:val="18"/>
                <w:b w:val="1"/>
                <w:bCs w:val="1"/>
                <w:color w:val="auto"/>
                <w:w w:val="89"/>
              </w:rPr>
              <w:t>345 Park Avenues</w:t>
            </w: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88"/>
              </w:rPr>
              <w:t>405 Lexington Avenue</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New York, New York 10145</w:t>
            </w:r>
          </w:p>
        </w:tc>
        <w:tc>
          <w:tcPr>
            <w:tcW w:w="5000" w:type="dxa"/>
            <w:vAlign w:val="bottom"/>
          </w:tcPr>
          <w:p>
            <w:pPr>
              <w:jc w:val="center"/>
              <w:ind w:left="2770"/>
              <w:spacing w:after="0"/>
              <w:rPr>
                <w:sz w:val="20"/>
                <w:szCs w:val="20"/>
                <w:color w:val="auto"/>
              </w:rPr>
            </w:pPr>
            <w:r>
              <w:rPr>
                <w:rFonts w:ascii="Arial" w:cs="Arial" w:eastAsia="Arial" w:hAnsi="Arial"/>
                <w:sz w:val="18"/>
                <w:szCs w:val="18"/>
                <w:b w:val="1"/>
                <w:bCs w:val="1"/>
                <w:color w:val="auto"/>
                <w:w w:val="91"/>
              </w:rPr>
              <w:t>New York, New York 10174</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407-4000</w:t>
            </w:r>
          </w:p>
        </w:tc>
        <w:tc>
          <w:tcPr>
            <w:tcW w:w="500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(212) 818-8800</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407-4990 — Facsimile</w:t>
            </w:r>
          </w:p>
        </w:tc>
        <w:tc>
          <w:tcPr>
            <w:tcW w:w="500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(212) 818-8881 — Facsimile</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41"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333-253108</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10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460" w:type="dxa"/>
            <w:vAlign w:val="bottom"/>
            <w:gridSpan w:val="4"/>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Proposed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Aggregate</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Being</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Registration</w:t>
            </w:r>
          </w:p>
        </w:tc>
      </w:tr>
      <w:tr>
        <w:trPr>
          <w:trHeight w:val="277"/>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1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50"/>
              <w:spacing w:after="0" w:line="270" w:lineRule="exact"/>
              <w:rPr>
                <w:sz w:val="20"/>
                <w:szCs w:val="20"/>
                <w:color w:val="auto"/>
              </w:rPr>
            </w:pPr>
            <w:r>
              <w:rPr>
                <w:rFonts w:ascii="Arial" w:cs="Arial" w:eastAsia="Arial" w:hAnsi="Arial"/>
                <w:sz w:val="18"/>
                <w:szCs w:val="18"/>
                <w:b w:val="1"/>
                <w:bCs w:val="1"/>
                <w:color w:val="auto"/>
                <w:w w:val="82"/>
              </w:rPr>
              <w:t>Price</w:t>
            </w:r>
            <w:r>
              <w:rPr>
                <w:rFonts w:ascii="Arial" w:cs="Arial" w:eastAsia="Arial" w:hAnsi="Arial"/>
                <w:sz w:val="29"/>
                <w:szCs w:val="29"/>
                <w:b w:val="1"/>
                <w:bCs w:val="1"/>
                <w:color w:val="auto"/>
                <w:w w:val="82"/>
                <w:vertAlign w:val="superscript"/>
              </w:rPr>
              <w:t>(1)</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line="270" w:lineRule="exact"/>
              <w:rPr>
                <w:sz w:val="20"/>
                <w:szCs w:val="20"/>
                <w:color w:val="auto"/>
              </w:rPr>
            </w:pPr>
            <w:r>
              <w:rPr>
                <w:rFonts w:ascii="Arial" w:cs="Arial" w:eastAsia="Arial" w:hAnsi="Arial"/>
                <w:sz w:val="18"/>
                <w:szCs w:val="18"/>
                <w:b w:val="1"/>
                <w:bCs w:val="1"/>
                <w:color w:val="auto"/>
                <w:w w:val="95"/>
              </w:rPr>
              <w:t>Fee</w:t>
            </w:r>
            <w:r>
              <w:rPr>
                <w:rFonts w:ascii="Arial" w:cs="Arial" w:eastAsia="Arial" w:hAnsi="Arial"/>
                <w:sz w:val="29"/>
                <w:szCs w:val="29"/>
                <w:b w:val="1"/>
                <w:bCs w:val="1"/>
                <w:color w:val="auto"/>
                <w:w w:val="95"/>
                <w:vertAlign w:val="superscript"/>
              </w:rPr>
              <w:t>(6)</w:t>
            </w:r>
          </w:p>
        </w:tc>
        <w:tc>
          <w:tcPr>
            <w:tcW w:w="100" w:type="dxa"/>
            <w:vAlign w:val="bottom"/>
            <w:tcBorders>
              <w:bottom w:val="single" w:sz="8" w:color="CCEEFF"/>
            </w:tcBorders>
          </w:tcPr>
          <w:p>
            <w:pPr>
              <w:spacing w:after="0"/>
              <w:rPr>
                <w:sz w:val="24"/>
                <w:szCs w:val="24"/>
                <w:color w:val="auto"/>
              </w:rPr>
            </w:pPr>
          </w:p>
        </w:tc>
      </w:tr>
      <w:tr>
        <w:trPr>
          <w:trHeight w:val="257"/>
        </w:trPr>
        <w:tc>
          <w:tcPr>
            <w:tcW w:w="5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3"/>
              </w:rPr>
              <w:t>Units, each consisting of one Subunit and one-quarter of one Warrant</w:t>
            </w:r>
            <w:r>
              <w:rPr>
                <w:rFonts w:ascii="Arial" w:cs="Arial" w:eastAsia="Arial" w:hAnsi="Arial"/>
                <w:sz w:val="29"/>
                <w:szCs w:val="29"/>
                <w:color w:val="auto"/>
                <w:w w:val="93"/>
                <w:vertAlign w:val="superscript"/>
              </w:rPr>
              <w:t>(2)</w:t>
            </w:r>
          </w:p>
        </w:tc>
        <w:tc>
          <w:tcPr>
            <w:tcW w:w="2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2,300,000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2,509.30</w:t>
            </w:r>
          </w:p>
        </w:tc>
        <w:tc>
          <w:tcPr>
            <w:tcW w:w="100" w:type="dxa"/>
            <w:vAlign w:val="bottom"/>
            <w:shd w:val="clear" w:color="auto" w:fill="CCEEFF"/>
          </w:tcPr>
          <w:p>
            <w:pPr>
              <w:spacing w:after="0"/>
              <w:rPr>
                <w:sz w:val="22"/>
                <w:szCs w:val="22"/>
                <w:color w:val="auto"/>
              </w:rPr>
            </w:pPr>
          </w:p>
        </w:tc>
      </w:tr>
      <w:tr>
        <w:trPr>
          <w:trHeight w:val="257"/>
        </w:trPr>
        <w:tc>
          <w:tcPr>
            <w:tcW w:w="5400" w:type="dxa"/>
            <w:vAlign w:val="bottom"/>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(3)(4)(5)</w:t>
            </w: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575,000 Warrants</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underlying warrants included in the units</w:t>
            </w:r>
          </w:p>
        </w:tc>
        <w:tc>
          <w:tcPr>
            <w:tcW w:w="2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575,000 Shares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6,612,500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721.43</w:t>
            </w:r>
          </w:p>
        </w:tc>
        <w:tc>
          <w:tcPr>
            <w:tcW w:w="100" w:type="dxa"/>
            <w:vAlign w:val="bottom"/>
            <w:shd w:val="clear" w:color="auto" w:fill="CCEEFF"/>
          </w:tcPr>
          <w:p>
            <w:pPr>
              <w:spacing w:after="0"/>
              <w:rPr>
                <w:sz w:val="18"/>
                <w:szCs w:val="18"/>
                <w:color w:val="auto"/>
              </w:rPr>
            </w:pPr>
          </w:p>
        </w:tc>
      </w:tr>
      <w:tr>
        <w:trPr>
          <w:trHeight w:val="205"/>
        </w:trPr>
        <w:tc>
          <w:tcPr>
            <w:tcW w:w="5400" w:type="dxa"/>
            <w:vAlign w:val="bottom"/>
          </w:tcPr>
          <w:p>
            <w:pPr>
              <w:spacing w:after="0" w:line="206" w:lineRule="exact"/>
              <w:rPr>
                <w:sz w:val="20"/>
                <w:szCs w:val="20"/>
                <w:color w:val="auto"/>
              </w:rPr>
            </w:pPr>
            <w:r>
              <w:rPr>
                <w:rFonts w:ascii="Arial" w:cs="Arial" w:eastAsia="Arial" w:hAnsi="Arial"/>
                <w:sz w:val="18"/>
                <w:szCs w:val="18"/>
                <w:color w:val="auto"/>
                <w:w w:val="96"/>
              </w:rPr>
              <w:t>Subunits included as part of the Units, each consisting of one share of</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5400" w:type="dxa"/>
            <w:vAlign w:val="bottom"/>
          </w:tcPr>
          <w:p>
            <w:pPr>
              <w:ind w:left="180"/>
              <w:spacing w:after="0" w:line="267" w:lineRule="exact"/>
              <w:rPr>
                <w:sz w:val="20"/>
                <w:szCs w:val="20"/>
                <w:color w:val="auto"/>
              </w:rPr>
            </w:pPr>
            <w:r>
              <w:rPr>
                <w:rFonts w:ascii="Arial" w:cs="Arial" w:eastAsia="Arial" w:hAnsi="Arial"/>
                <w:sz w:val="18"/>
                <w:szCs w:val="18"/>
                <w:color w:val="auto"/>
                <w:w w:val="95"/>
              </w:rPr>
              <w:t>common stock, $.0001 par value, and one-quarter of one Warrant</w:t>
            </w:r>
            <w:r>
              <w:rPr>
                <w:rFonts w:ascii="Arial" w:cs="Arial" w:eastAsia="Arial" w:hAnsi="Arial"/>
                <w:sz w:val="29"/>
                <w:szCs w:val="29"/>
                <w:color w:val="auto"/>
                <w:w w:val="95"/>
                <w:vertAlign w:val="superscript"/>
              </w:rPr>
              <w:t>(5)</w:t>
            </w: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2,300,000 Subunits</w:t>
            </w: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Shares of common stock included as part of the Subunits</w:t>
            </w:r>
            <w:r>
              <w:rPr>
                <w:rFonts w:ascii="Arial" w:cs="Arial" w:eastAsia="Arial" w:hAnsi="Arial"/>
                <w:sz w:val="29"/>
                <w:szCs w:val="29"/>
                <w:color w:val="auto"/>
                <w:vertAlign w:val="superscript"/>
              </w:rPr>
              <w:t>(3)</w:t>
            </w:r>
          </w:p>
        </w:tc>
        <w:tc>
          <w:tcPr>
            <w:tcW w:w="2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2,300,000 Shares</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400" w:type="dxa"/>
            <w:vAlign w:val="bottom"/>
          </w:tcPr>
          <w:p>
            <w:pPr>
              <w:spacing w:after="0" w:line="256" w:lineRule="exact"/>
              <w:rPr>
                <w:sz w:val="20"/>
                <w:szCs w:val="20"/>
                <w:color w:val="auto"/>
              </w:rPr>
            </w:pPr>
            <w:r>
              <w:rPr>
                <w:rFonts w:ascii="Arial" w:cs="Arial" w:eastAsia="Arial" w:hAnsi="Arial"/>
                <w:sz w:val="18"/>
                <w:szCs w:val="18"/>
                <w:color w:val="auto"/>
              </w:rPr>
              <w:t>Redeemable Warrants included as part of the Subunits</w:t>
            </w:r>
            <w:r>
              <w:rPr>
                <w:rFonts w:ascii="Arial" w:cs="Arial" w:eastAsia="Arial" w:hAnsi="Arial"/>
                <w:sz w:val="29"/>
                <w:szCs w:val="29"/>
                <w:color w:val="auto"/>
                <w:vertAlign w:val="superscript"/>
              </w:rPr>
              <w:t>(3)(5)</w:t>
            </w:r>
          </w:p>
        </w:tc>
        <w:tc>
          <w:tcPr>
            <w:tcW w:w="2060" w:type="dxa"/>
            <w:vAlign w:val="bottom"/>
            <w:gridSpan w:val="3"/>
          </w:tcPr>
          <w:p>
            <w:pPr>
              <w:ind w:left="120"/>
              <w:spacing w:after="0"/>
              <w:rPr>
                <w:sz w:val="20"/>
                <w:szCs w:val="20"/>
                <w:color w:val="auto"/>
              </w:rPr>
            </w:pPr>
            <w:r>
              <w:rPr>
                <w:rFonts w:ascii="Arial" w:cs="Arial" w:eastAsia="Arial" w:hAnsi="Arial"/>
                <w:sz w:val="18"/>
                <w:szCs w:val="18"/>
                <w:color w:val="auto"/>
              </w:rPr>
              <w:t>575,000 Warrants</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Shares of common stock underlying warrants included in the subunits</w:t>
            </w:r>
          </w:p>
        </w:tc>
        <w:tc>
          <w:tcPr>
            <w:tcW w:w="20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575,000 Shares</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43" w:lineRule="exact"/>
              <w:rPr>
                <w:sz w:val="20"/>
                <w:szCs w:val="20"/>
                <w:color w:val="auto"/>
              </w:rPr>
            </w:pPr>
            <w:r>
              <w:rPr>
                <w:rFonts w:ascii="Arial" w:cs="Arial" w:eastAsia="Arial" w:hAnsi="Arial"/>
                <w:sz w:val="17"/>
                <w:szCs w:val="17"/>
                <w:color w:val="auto"/>
              </w:rPr>
              <w:t>36,225,000</w:t>
            </w:r>
            <w:r>
              <w:rPr>
                <w:rFonts w:ascii="Arial" w:cs="Arial" w:eastAsia="Arial" w:hAnsi="Arial"/>
                <w:sz w:val="28"/>
                <w:szCs w:val="28"/>
                <w:color w:val="auto"/>
                <w:vertAlign w:val="superscript"/>
              </w:rPr>
              <w:t>(6)</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3,952.15</w:t>
            </w:r>
          </w:p>
        </w:tc>
        <w:tc>
          <w:tcPr>
            <w:tcW w:w="100" w:type="dxa"/>
            <w:vAlign w:val="bottom"/>
          </w:tcPr>
          <w:p>
            <w:pPr>
              <w:spacing w:after="0"/>
              <w:rPr>
                <w:sz w:val="21"/>
                <w:szCs w:val="21"/>
                <w:color w:val="auto"/>
              </w:rPr>
            </w:pPr>
          </w:p>
        </w:tc>
      </w:tr>
      <w:tr>
        <w:trPr>
          <w:trHeight w:val="21"/>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3"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securities being registered. Does not include the securities that the Registrant previously registered on the Registration Statement on Form S-1 (File No. 333-253108).</w:t>
      </w:r>
    </w:p>
    <w:p>
      <w:pPr>
        <w:ind w:left="340" w:right="2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stock splits, stock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Excludes the 575,000 redeemable warrants included as part of the subunits underlying the units.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340" w:right="40" w:hanging="332"/>
        <w:spacing w:after="0" w:line="295"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securities having a proposed maximum aggregate offering price of $181,125,000 on its Registration Statement on Form S-1, as amended (File No. 333-253108), which was declared effective by the Securities and Exchange Commission on March 10, 2021. In accordance with Rule 462(b) under the Securities Act, an additional number of securities having a proposed maximum offering price of $36,225,000 is hereby registered, which includes securities issuable upon the exercise of the underwriters’ over-allotment option.</w:t>
      </w:r>
    </w:p>
    <w:p>
      <w:pPr>
        <w:spacing w:after="0" w:line="15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Registration Statement shall become effective upon filing with the Securities and Exchange Commission in accordance with Rule 462 (b)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This Registration Statement on Form S-1 is being filed with respect to the registration of 2,300,000 additional units of Archimedes Tech SPAC Partners Co., a Delaware corporation (the “Registrant”), each consisting of (i) one subunit consisting of one share of common stock, $.0001 par value per share, and one quarter of one warrant and (ii) and one quarter of one warrant, pursuant to Rule 462(b) under the Securities Act of 1933, as amended, and General Instruction V to Form S-1. Each whole warrant entitles the holder thereof to purchase one share of common stock at a price of $11.50 per share, subject to certain adjustments, and only whole warrants are exercisable. This Registration Statement relates to the Registrant’s Registration Statement on Form S-1, as amended (File No. 333-253108) (the “Prior Registration Statement”), initially filed by the Registrant on February 12, 2021 and declared effective by the Securities and Exchange Commission on March 10, 2021. The required opinions of counsel and related consents and accountant’s consent are attached hereto and filed herewith. Pursuant to Rule 462(b), the contents of the Prior Registration Statement, including the exhibits thereto,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firstLine="449"/>
        <w:spacing w:after="0" w:line="263"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All exhibits filed with or incorporated by reference in the Registration Statement on Form S-1 (SEC File No. 333-253108)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and shall be deemed a part of, this Registration Statement, and the following additional exhibits are filed herewith, as part of this Registration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Borders>
              <w:top w:val="single" w:sz="8" w:color="auto"/>
            </w:tcBorders>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Loeb &amp; Loeb LLP</w:t>
              </w:r>
            </w:hyperlink>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Marcum LLP</w:t>
              </w:r>
            </w:hyperlink>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Loeb &amp; Loeb LLP (included in Exhibit 5.1)</w:t>
              </w:r>
            </w:hyperlink>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Claymont, Delaware, on the 10th day of March, 2021.</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N. Cannon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March 10,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R. Ball</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Eric R. Ball</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Stephen N. Cannon</w:t>
            </w:r>
          </w:p>
        </w:tc>
        <w:tc>
          <w:tcPr>
            <w:tcW w:w="120" w:type="dxa"/>
            <w:vAlign w:val="bottom"/>
          </w:tcPr>
          <w:p>
            <w:pPr>
              <w:spacing w:after="0"/>
              <w:rPr>
                <w:sz w:val="20"/>
                <w:szCs w:val="20"/>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(Principal Executive Officer)</w:t>
            </w: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Sheehan</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Daniel Sheehan</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Long Long</w:t>
            </w:r>
          </w:p>
        </w:tc>
        <w:tc>
          <w:tcPr>
            <w:tcW w:w="120" w:type="dxa"/>
            <w:vAlign w:val="bottom"/>
          </w:tcPr>
          <w:p>
            <w:pPr>
              <w:spacing w:after="0"/>
              <w:rPr>
                <w:sz w:val="20"/>
                <w:szCs w:val="20"/>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(Principal Financial and Accounting Officer)</w:t>
            </w: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Bryant B. Edwards</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Bryant B. Edwards</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 Julia</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Luc Julia</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Rajan P. Pai</w:t>
            </w:r>
          </w:p>
        </w:tc>
        <w:tc>
          <w:tcPr>
            <w:tcW w:w="1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Rajan P. Pai</w:t>
            </w: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9825" cy="1139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139825"/>
                    </a:xfrm>
                    <a:prstGeom prst="rect">
                      <a:avLst/>
                    </a:prstGeom>
                    <a:noFill/>
                  </pic:spPr>
                </pic:pic>
              </a:graphicData>
            </a:graphic>
          </wp:anchor>
        </w:drawing>
      </w:r>
    </w:p>
    <w:tbl>
      <w:tblPr>
        <w:tblLayout w:type="fixed"/>
        <w:tblInd w:w="596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2680" w:type="dxa"/>
            <w:vAlign w:val="bottom"/>
          </w:tcPr>
          <w:p>
            <w:pPr>
              <w:spacing w:after="0"/>
              <w:rPr>
                <w:sz w:val="20"/>
                <w:szCs w:val="20"/>
                <w:color w:val="auto"/>
              </w:rPr>
            </w:pPr>
            <w:r>
              <w:rPr>
                <w:rFonts w:ascii="Arial" w:cs="Arial" w:eastAsia="Arial" w:hAnsi="Arial"/>
                <w:sz w:val="18"/>
                <w:szCs w:val="18"/>
                <w:color w:val="auto"/>
              </w:rPr>
              <w:t>345 Park Avenue</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Main</w:t>
            </w:r>
          </w:p>
        </w:tc>
        <w:tc>
          <w:tcPr>
            <w:tcW w:w="1240" w:type="dxa"/>
            <w:vAlign w:val="bottom"/>
          </w:tcPr>
          <w:p>
            <w:pPr>
              <w:jc w:val="right"/>
              <w:spacing w:after="0"/>
              <w:rPr>
                <w:sz w:val="20"/>
                <w:szCs w:val="20"/>
                <w:color w:val="auto"/>
              </w:rPr>
            </w:pPr>
            <w:r>
              <w:rPr>
                <w:rFonts w:ascii="Arial" w:cs="Arial" w:eastAsia="Arial" w:hAnsi="Arial"/>
                <w:sz w:val="18"/>
                <w:szCs w:val="18"/>
                <w:color w:val="auto"/>
              </w:rPr>
              <w:t>212.407.4000</w:t>
            </w:r>
          </w:p>
        </w:tc>
      </w:tr>
      <w:tr>
        <w:trPr>
          <w:trHeight w:val="234"/>
        </w:trPr>
        <w:tc>
          <w:tcPr>
            <w:tcW w:w="2680" w:type="dxa"/>
            <w:vAlign w:val="bottom"/>
          </w:tcPr>
          <w:p>
            <w:pPr>
              <w:spacing w:after="0"/>
              <w:rPr>
                <w:sz w:val="20"/>
                <w:szCs w:val="20"/>
                <w:color w:val="auto"/>
              </w:rPr>
            </w:pPr>
            <w:r>
              <w:rPr>
                <w:rFonts w:ascii="Arial" w:cs="Arial" w:eastAsia="Arial" w:hAnsi="Arial"/>
                <w:sz w:val="18"/>
                <w:szCs w:val="18"/>
                <w:color w:val="auto"/>
              </w:rPr>
              <w:t>New York, NY 10154-1895</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212.407.4990</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5.1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to Archimedes Tech SPAC Partners Co.,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Company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of a registration statement on Form S-1 (the “</w:t>
      </w:r>
      <w:r>
        <w:rPr>
          <w:rFonts w:ascii="Arial" w:cs="Arial" w:eastAsia="Arial" w:hAnsi="Arial"/>
          <w:sz w:val="17"/>
          <w:szCs w:val="17"/>
          <w:b w:val="1"/>
          <w:bCs w:val="1"/>
          <w:color w:val="auto"/>
        </w:rPr>
        <w:t>462(b)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w:t>
      </w:r>
      <w:r>
        <w:rPr>
          <w:rFonts w:ascii="Arial" w:cs="Arial" w:eastAsia="Arial" w:hAnsi="Arial"/>
          <w:sz w:val="16"/>
          <w:szCs w:val="16"/>
          <w:color w:val="auto"/>
        </w:rPr>
        <w:t>”) for the purpose of registering with the Commission pursuant to Rule 462(b)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the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of (a) up to 2,300,000 additional units of the Company (collectively the “</w:t>
      </w:r>
      <w:r>
        <w:rPr>
          <w:rFonts w:ascii="Arial" w:cs="Arial" w:eastAsia="Arial" w:hAnsi="Arial"/>
          <w:sz w:val="17"/>
          <w:szCs w:val="17"/>
          <w:b w:val="1"/>
          <w:bCs w:val="1"/>
          <w:color w:val="auto"/>
        </w:rPr>
        <w:t>Units</w:t>
      </w:r>
      <w:r>
        <w:rPr>
          <w:rFonts w:ascii="Arial" w:cs="Arial" w:eastAsia="Arial" w:hAnsi="Arial"/>
          <w:sz w:val="17"/>
          <w:szCs w:val="17"/>
          <w:color w:val="auto"/>
        </w:rPr>
        <w:t>”), with each Unit consisting of (a) one subunit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Subunits</w:t>
      </w:r>
      <w:r>
        <w:rPr>
          <w:rFonts w:ascii="Arial" w:cs="Arial" w:eastAsia="Arial" w:hAnsi="Arial"/>
          <w:sz w:val="16"/>
          <w:szCs w:val="16"/>
          <w:color w:val="auto"/>
        </w:rPr>
        <w:t>”), each subunit consisting of one share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one-quarter of a redeemable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(the “</w:t>
      </w:r>
      <w:r>
        <w:rPr>
          <w:rFonts w:ascii="Arial" w:cs="Arial" w:eastAsia="Arial" w:hAnsi="Arial"/>
          <w:sz w:val="16"/>
          <w:szCs w:val="16"/>
          <w:b w:val="1"/>
          <w:bCs w:val="1"/>
          <w:color w:val="auto"/>
        </w:rPr>
        <w:t>Warrants</w:t>
      </w:r>
      <w:r>
        <w:rPr>
          <w:rFonts w:ascii="Arial" w:cs="Arial" w:eastAsia="Arial" w:hAnsi="Arial"/>
          <w:sz w:val="16"/>
          <w:szCs w:val="16"/>
          <w:color w:val="auto"/>
        </w:rPr>
        <w:t>”) of the Company, each whole warrant entitling the holder thereof to purchase one share of Common Stock, and (b) one-quarter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Warrant, each whole warrant entitling the holder thereof to purchase one share of Common Stock. The 462(b) Registration Statement relates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Registration Statement on Form S-1, as amended (File No. 333-253108) (the “Registration Statement”), initially filed by the Company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 on February 12, 2021 and declared effective by the Commission on March 10, 2021.</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and employees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we are of the opinion that:</w:t>
      </w:r>
    </w:p>
    <w:p>
      <w:pPr>
        <w:spacing w:after="0" w:line="221" w:lineRule="exact"/>
        <w:rPr>
          <w:sz w:val="20"/>
          <w:szCs w:val="20"/>
          <w:color w:val="auto"/>
        </w:rPr>
      </w:pPr>
    </w:p>
    <w:p>
      <w:pPr>
        <w:ind w:firstLine="656"/>
        <w:spacing w:after="0" w:line="272" w:lineRule="auto"/>
        <w:tabs>
          <w:tab w:leader="none" w:pos="82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When the 462 (b) Registration Statement becomes effective under the Act and when the offering is completed as contemplated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and the 462(b) Registration Statement, such Units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and (d) we express no opinion as to whether a state court outside of the State of New York or a federal court of the United States would give effect to the choice of New York law provided for in the Warrant Agreement.</w:t>
      </w:r>
    </w:p>
    <w:p>
      <w:pPr>
        <w:spacing w:after="0" w:line="171" w:lineRule="exact"/>
        <w:rPr>
          <w:rFonts w:ascii="Arial" w:cs="Arial" w:eastAsia="Arial" w:hAnsi="Arial"/>
          <w:sz w:val="17"/>
          <w:szCs w:val="17"/>
          <w:b w:val="1"/>
          <w:bCs w:val="1"/>
          <w:color w:val="auto"/>
        </w:rPr>
      </w:pPr>
    </w:p>
    <w:p>
      <w:pPr>
        <w:ind w:firstLine="656"/>
        <w:spacing w:after="0" w:line="272" w:lineRule="auto"/>
        <w:tabs>
          <w:tab w:leader="none" w:pos="828" w:val="left"/>
        </w:tabs>
        <w:numPr>
          <w:ilvl w:val="0"/>
          <w:numId w:val="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Subunits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When the 462 (b) Registration Statement becomes effective under the Act and when the offering is completed as contemplated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and the 462(b) Registration Statement, such Subunits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and (d) we express no opinion as to whether a state court outside of the State of New York or a federal court of the United States would give effect to the choice of New York law provided for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139825" cy="1139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139825"/>
                    </a:xfrm>
                    <a:prstGeom prst="rect">
                      <a:avLst/>
                    </a:prstGeom>
                    <a:noFill/>
                  </pic:spPr>
                </pic:pic>
              </a:graphicData>
            </a:graphic>
          </wp:anchor>
        </w:drawing>
      </w:r>
    </w:p>
    <w:p>
      <w:pPr>
        <w:spacing w:after="0" w:line="304"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2680" w:type="dxa"/>
            <w:vAlign w:val="bottom"/>
          </w:tcPr>
          <w:p>
            <w:pPr>
              <w:spacing w:after="0"/>
              <w:rPr>
                <w:sz w:val="20"/>
                <w:szCs w:val="20"/>
                <w:color w:val="auto"/>
              </w:rPr>
            </w:pPr>
            <w:r>
              <w:rPr>
                <w:rFonts w:ascii="Arial" w:cs="Arial" w:eastAsia="Arial" w:hAnsi="Arial"/>
                <w:sz w:val="18"/>
                <w:szCs w:val="18"/>
                <w:color w:val="auto"/>
              </w:rPr>
              <w:t>345 Park Avenue</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Main</w:t>
            </w:r>
          </w:p>
        </w:tc>
        <w:tc>
          <w:tcPr>
            <w:tcW w:w="1240" w:type="dxa"/>
            <w:vAlign w:val="bottom"/>
          </w:tcPr>
          <w:p>
            <w:pPr>
              <w:jc w:val="right"/>
              <w:spacing w:after="0"/>
              <w:rPr>
                <w:sz w:val="20"/>
                <w:szCs w:val="20"/>
                <w:color w:val="auto"/>
              </w:rPr>
            </w:pPr>
            <w:r>
              <w:rPr>
                <w:rFonts w:ascii="Arial" w:cs="Arial" w:eastAsia="Arial" w:hAnsi="Arial"/>
                <w:sz w:val="18"/>
                <w:szCs w:val="18"/>
                <w:color w:val="auto"/>
              </w:rPr>
              <w:t>212.407.4000</w:t>
            </w:r>
          </w:p>
        </w:tc>
      </w:tr>
      <w:tr>
        <w:trPr>
          <w:trHeight w:val="234"/>
        </w:trPr>
        <w:tc>
          <w:tcPr>
            <w:tcW w:w="2680" w:type="dxa"/>
            <w:vAlign w:val="bottom"/>
          </w:tcPr>
          <w:p>
            <w:pPr>
              <w:spacing w:after="0"/>
              <w:rPr>
                <w:sz w:val="20"/>
                <w:szCs w:val="20"/>
                <w:color w:val="auto"/>
              </w:rPr>
            </w:pPr>
            <w:r>
              <w:rPr>
                <w:rFonts w:ascii="Arial" w:cs="Arial" w:eastAsia="Arial" w:hAnsi="Arial"/>
                <w:sz w:val="18"/>
                <w:szCs w:val="18"/>
                <w:color w:val="auto"/>
              </w:rPr>
              <w:t>New York, NY 10154-1895</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Fax</w:t>
            </w:r>
          </w:p>
        </w:tc>
        <w:tc>
          <w:tcPr>
            <w:tcW w:w="1240" w:type="dxa"/>
            <w:vAlign w:val="bottom"/>
          </w:tcPr>
          <w:p>
            <w:pPr>
              <w:jc w:val="right"/>
              <w:spacing w:after="0"/>
              <w:rPr>
                <w:sz w:val="20"/>
                <w:szCs w:val="20"/>
                <w:color w:val="auto"/>
              </w:rPr>
            </w:pPr>
            <w:r>
              <w:rPr>
                <w:rFonts w:ascii="Arial" w:cs="Arial" w:eastAsia="Arial" w:hAnsi="Arial"/>
                <w:sz w:val="18"/>
                <w:szCs w:val="18"/>
                <w:color w:val="auto"/>
              </w:rPr>
              <w:t>212.407.4990</w:t>
            </w:r>
          </w:p>
        </w:tc>
      </w:tr>
    </w:tbl>
    <w:p>
      <w:pPr>
        <w:spacing w:after="0" w:line="200" w:lineRule="exact"/>
        <w:rPr>
          <w:sz w:val="20"/>
          <w:szCs w:val="20"/>
          <w:color w:val="auto"/>
        </w:rPr>
      </w:pPr>
    </w:p>
    <w:p>
      <w:pPr>
        <w:spacing w:after="0" w:line="214" w:lineRule="exact"/>
        <w:rPr>
          <w:sz w:val="20"/>
          <w:szCs w:val="20"/>
          <w:color w:val="auto"/>
        </w:rPr>
      </w:pPr>
    </w:p>
    <w:p>
      <w:pPr>
        <w:ind w:firstLine="656"/>
        <w:spacing w:after="0" w:line="258" w:lineRule="auto"/>
        <w:tabs>
          <w:tab w:leader="none" w:pos="8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When the 462(b) Registration Statement becomes effective under the Act and when the offering is completed as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Registration Statement and the 462(b) Registration Statement, (i) and when the Common Stock underlying the Units and Subunits is issued, such shares of Common Stock will be validly issued, fully paid and non-assessable, (ii) and when the Common Stock underlying the Public Warrants is issued and paid for in accordance with the terms of the Warrants and Warrant Agreement, such shares of Common Stock will be validly issued, fully paid and non-assessable.</w:t>
      </w:r>
    </w:p>
    <w:p>
      <w:pPr>
        <w:spacing w:after="0" w:line="183" w:lineRule="exact"/>
        <w:rPr>
          <w:rFonts w:ascii="Arial" w:cs="Arial" w:eastAsia="Arial" w:hAnsi="Arial"/>
          <w:sz w:val="18"/>
          <w:szCs w:val="18"/>
          <w:b w:val="1"/>
          <w:bCs w:val="1"/>
          <w:color w:val="auto"/>
        </w:rPr>
      </w:pPr>
    </w:p>
    <w:p>
      <w:pPr>
        <w:ind w:right="100" w:firstLine="656"/>
        <w:spacing w:after="0" w:line="270" w:lineRule="auto"/>
        <w:tabs>
          <w:tab w:leader="none" w:pos="82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Warrants</w:t>
      </w:r>
      <w:r>
        <w:rPr>
          <w:rFonts w:ascii="Arial" w:cs="Arial" w:eastAsia="Arial" w:hAnsi="Arial"/>
          <w:sz w:val="17"/>
          <w:szCs w:val="17"/>
          <w:color w:val="auto"/>
        </w:rPr>
        <w:t>. When the 462(b) Registration Statement becomes effective under the Act and when the Warrants underlying the Units and Subunits</w:t>
      </w:r>
      <w:r>
        <w:rPr>
          <w:rFonts w:ascii="Arial" w:cs="Arial" w:eastAsia="Arial" w:hAnsi="Arial"/>
          <w:sz w:val="17"/>
          <w:szCs w:val="17"/>
          <w:b w:val="1"/>
          <w:bCs w:val="1"/>
          <w:color w:val="auto"/>
        </w:rPr>
        <w:t xml:space="preserve"> </w:t>
      </w:r>
      <w:r>
        <w:rPr>
          <w:rFonts w:ascii="Arial" w:cs="Arial" w:eastAsia="Arial" w:hAnsi="Arial"/>
          <w:sz w:val="17"/>
          <w:szCs w:val="17"/>
          <w:color w:val="auto"/>
        </w:rPr>
        <w:t>are issued, delivered and paid for as part of the Units and Subunits, as contemplated by the Registration Statement and the 462(b) Registration Statement, such Warrants will be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(c) that the remedy of specific performance and injunctive and other forms of equitable relief may be subject to the equitable defenses and to the discretion of the court before which any proceeding therefor may be brought; (d) we express no opinion as to whether a state court outside of the State of New York or a federal court of the United States would give effect to the choice of New York law provided for in the Warrant Agreement; and (e) we have assumed the Warrant Price (as defined in the Warrant Agreement) will not be adjusted to an amount below the par value per share of the Common Stock.</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opinion herein is expressed solely with respect to the Delaware General Corporation Law of the State of Delaware and, as to the Units, Subunits and the Warrants constituting legally binding obligations of the Company, solely with respect to the laws of the State of New York. Our opinion is based on these laws as in effect on the date hereof and as of the effective date of the 462(b) Registration Statement, and we assume no obligation to revise or supplement this opinion after the effective date of the 462(b) Registration Statement should the law be changed by legislative action, judicial decision or otherwise. Where our opinions expressed herein refer to events to occur at a future date, we have assumed that there will have been no changes in the relevant law or facts between the date hereof and such future date. Our opinions expressed herein are limited to the matters expressly stated herein and no opinion is implied or may be inferred beyond the matters expressly stated. Not in limitation of the foregoing, we are not rendering any opinion as to the compliance with any other federal or state law, rule or regulation relating to securities, or to the sale or issuance thereof.</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hereby consent to the use of this opinion as an exhibit to the 462(b) Registration Statement, to the use of our name as your counsel and to all references made to us in the Registration Statement, the 462(b)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Archimedes Tech SPAC Partners Co. (the “Company”) on Form S-1 pursuant to Rule 462(b) under the Securities Act of 1933, as amended, of our report dated March 1, 2021, which includes an explanatory paragraph as to the Company’s ability to continue as a going concern, with respect to our audit of the financial statements of Archimedes Tech SPAC Partners Co. as of December 31, 2020 and for the period from September 15, 2020 (inception) through December 31, 2020, appearing in the Registration Statement on Form S-1, as filed (File No. 333-253108), of Archimedes Tech SPAC Partners 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2021-03-10T20:47:11Z</dcterms:created>
  <dcterms:modified xsi:type="dcterms:W3CDTF">2021-03-10T20:47:11Z</dcterms:modified>
</cp:coreProperties>
</file>