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41,167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608,186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transaction was effected pursuant to a Rule 10b5-1 trading plan adopted by the reporting person in March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10/10/2025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2025-10-10T16:48:15Z</dcterms:created>
  <dcterms:modified xsi:type="dcterms:W3CDTF">2025-10-10T16:48:15Z</dcterms:modified>
</cp:coreProperties>
</file>