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Kathleen Krebs and Joshua Shainess</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Re: SoundHound AI, Inc.</w:t>
      </w:r>
    </w:p>
    <w:p>
      <w:pPr>
        <w:spacing w:after="0" w:line="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File No. 333- 267501</w:t>
      </w:r>
    </w:p>
    <w:p>
      <w:pPr>
        <w:spacing w:after="0" w:line="20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Dear Ms. Krebs and Mr. Shainess:</w:t>
      </w:r>
    </w:p>
    <w:p>
      <w:pPr>
        <w:spacing w:after="0" w:line="225"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SoundHound AI, Inc. hereby requests acceleration of effectiveness of the above referenced Registration Statement so that it will become effective at 5:30 p.m. EST on Tuesday, February 14, 2023, or as soon as thereafter practicable.</w:t>
      </w:r>
    </w:p>
    <w:p>
      <w:pPr>
        <w:spacing w:after="0" w:line="17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Dr. Keyvan Mohajer</w:t>
      </w:r>
    </w:p>
    <w:p>
      <w:pPr>
        <w:spacing w:after="0" w:line="27"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Ellenoff Grossman &amp; Schole LLP</w:t>
      </w:r>
    </w:p>
    <w:sectPr>
      <w:pgSz w:w="11900" w:h="16838" w:orient="portrait"/>
      <w:cols w:equalWidth="0" w:num="1">
        <w:col w:w="10840"/>
      </w:cols>
      <w:pgMar w:left="320" w:top="44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2023-03-15T23:10:16Z</dcterms:created>
  <dcterms:modified xsi:type="dcterms:W3CDTF">2023-03-15T23:10:16Z</dcterms:modified>
</cp:coreProperties>
</file>