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100,000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1,554,011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48,483</w:t>
            </w:r>
            <w:r>
              <w:rPr>
                <w:rFonts w:ascii="Times New Roman" w:cs="Times New Roman" w:eastAsia="Times New Roman" w:hAnsi="Times New Roman"/>
                <w:sz w:val="22"/>
                <w:szCs w:val="22"/>
                <w:color w:val="008000"/>
                <w:w w:val="97"/>
                <w:vertAlign w:val="superscript"/>
              </w:rPr>
              <w:t>(2)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1,505,528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62,628</w:t>
            </w:r>
            <w:r>
              <w:rPr>
                <w:rFonts w:ascii="Times New Roman" w:cs="Times New Roman" w:eastAsia="Times New Roman" w:hAnsi="Times New Roman"/>
                <w:sz w:val="22"/>
                <w:szCs w:val="22"/>
                <w:color w:val="008000"/>
                <w:w w:val="97"/>
                <w:vertAlign w:val="superscript"/>
              </w:rPr>
              <w:t>(3)</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1,442,900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certain Performance Stock Units ("PSUs") originally granted on July 20, 2022, the vesting of which was subject to the achievement of certain performance criteria. A portion of the PSUs has vested as a result of the achievement of the applicable performance criteria.</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performance stock units granted to the reporting person on July 20, 2022.</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2025-06-24T17:36:44Z</dcterms:created>
  <dcterms:modified xsi:type="dcterms:W3CDTF">2025-06-24T17:36:44Z</dcterms:modified>
</cp:coreProperties>
</file>