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06/29/2023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06/29/2023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10,000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810,125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This transaction was effected pursuant to a Rule 10b5-1 trading plan adopted by the reporting person in March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07/03/2023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2023-07-03T16:51:11Z</dcterms:created>
  <dcterms:modified xsi:type="dcterms:W3CDTF">2023-07-03T16:51:11Z</dcterms:modified>
</cp:coreProperties>
</file>