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8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340" w:right="920"/>
        <w:spacing w:after="0" w:line="461"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b w:val="1"/>
          <w:bCs w:val="1"/>
          <w:color w:val="auto"/>
        </w:rPr>
        <w:t>For the quarterly period ended September 30, 2025</w:t>
      </w:r>
    </w:p>
    <w:p>
      <w:pPr>
        <w:spacing w:after="0" w:line="1"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from________to________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001-40193</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225"/>
        </w:trPr>
        <w:tc>
          <w:tcPr>
            <w:tcW w:w="766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58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80" w:type="dxa"/>
            <w:vAlign w:val="bottom"/>
          </w:tcPr>
          <w:p>
            <w:pPr>
              <w:jc w:val="center"/>
              <w:ind w:right="1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5400 Betsy Ross Drive, Santa Clara, CA 95054</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80" w:type="dxa"/>
            <w:vAlign w:val="bottom"/>
          </w:tcPr>
          <w:p>
            <w:pPr>
              <w:spacing w:after="0"/>
              <w:rPr>
                <w:sz w:val="21"/>
                <w:szCs w:val="21"/>
                <w:color w:val="auto"/>
              </w:rPr>
            </w:pPr>
          </w:p>
        </w:tc>
      </w:tr>
      <w:tr>
        <w:trPr>
          <w:trHeight w:val="574"/>
        </w:trPr>
        <w:tc>
          <w:tcPr>
            <w:tcW w:w="7660" w:type="dxa"/>
            <w:vAlign w:val="bottom"/>
            <w:tcBorders>
              <w:bottom w:val="single" w:sz="8" w:color="auto"/>
            </w:tcBorders>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(408) 441-3200</w:t>
            </w:r>
          </w:p>
        </w:tc>
        <w:tc>
          <w:tcPr>
            <w:tcW w:w="3580" w:type="dxa"/>
            <w:vAlign w:val="bottom"/>
            <w:tcBorders>
              <w:bottom w:val="single" w:sz="8" w:color="auto"/>
            </w:tcBorders>
          </w:tcPr>
          <w:p>
            <w:pPr>
              <w:spacing w:after="0"/>
              <w:rPr>
                <w:sz w:val="24"/>
                <w:szCs w:val="24"/>
                <w:color w:val="auto"/>
              </w:rPr>
            </w:pPr>
          </w:p>
        </w:tc>
      </w:tr>
      <w:tr>
        <w:trPr>
          <w:trHeight w:val="243"/>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80" w:type="dxa"/>
            <w:vAlign w:val="bottom"/>
          </w:tcPr>
          <w:p>
            <w:pPr>
              <w:spacing w:after="0"/>
              <w:rPr>
                <w:sz w:val="21"/>
                <w:szCs w:val="21"/>
                <w:color w:val="auto"/>
              </w:rPr>
            </w:pPr>
          </w:p>
        </w:tc>
      </w:tr>
    </w:tbl>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tcPr>
          <w:p>
            <w:pPr>
              <w:spacing w:after="0"/>
              <w:rPr>
                <w:sz w:val="21"/>
                <w:szCs w:val="21"/>
                <w:color w:val="auto"/>
              </w:rPr>
            </w:pPr>
          </w:p>
        </w:tc>
      </w:tr>
      <w:tr>
        <w:trPr>
          <w:trHeight w:val="225"/>
        </w:trPr>
        <w:tc>
          <w:tcPr>
            <w:tcW w:w="3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3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SOUN</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7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w:t>
            </w:r>
          </w:p>
        </w:tc>
        <w:tc>
          <w:tcPr>
            <w:tcW w:w="3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43"/>
        </w:trPr>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SOUNW</w:t>
            </w: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25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33" w:right="339" w:bottom="0" w:gutter="0" w:footer="0" w:header="0"/>
        </w:sectPr>
      </w:pPr>
    </w:p>
    <w:p>
      <w:pPr>
        <w:spacing w:after="0" w:line="20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74" w:lineRule="exact"/>
        <w:rPr>
          <w:sz w:val="24"/>
          <w:szCs w:val="24"/>
          <w:color w:val="auto"/>
        </w:rPr>
      </w:pPr>
    </w:p>
    <w:p>
      <w:pPr>
        <w:sectPr>
          <w:pgSz w:w="11900" w:h="16838" w:orient="portrait"/>
          <w:cols w:equalWidth="0" w:num="4">
            <w:col w:w="220" w:space="140"/>
            <w:col w:w="4540" w:space="720"/>
            <w:col w:w="160" w:space="200"/>
            <w:col w:w="5260"/>
          </w:cols>
          <w:pgMar w:left="320" w:top="333" w:right="339" w:bottom="0" w:gutter="0" w:footer="0" w:header="0"/>
          <w:type w:val="continuous"/>
        </w:sectPr>
      </w:pPr>
    </w:p>
    <w:p>
      <w:pPr>
        <w:spacing w:after="0" w:line="18"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74" w:lineRule="exact"/>
        <w:rPr>
          <w:sz w:val="24"/>
          <w:szCs w:val="24"/>
          <w:color w:val="auto"/>
        </w:rPr>
      </w:pPr>
    </w:p>
    <w:p>
      <w:pPr>
        <w:sectPr>
          <w:pgSz w:w="11900" w:h="16838" w:orient="portrait"/>
          <w:cols w:equalWidth="0" w:num="4">
            <w:col w:w="180" w:space="180"/>
            <w:col w:w="4540" w:space="720"/>
            <w:col w:w="160" w:space="200"/>
            <w:col w:w="5260"/>
          </w:cols>
          <w:pgMar w:left="320" w:top="333" w:right="339" w:bottom="0" w:gutter="0" w:footer="0" w:header="0"/>
          <w:type w:val="continuous"/>
        </w:sectPr>
      </w:pPr>
    </w:p>
    <w:p>
      <w:pPr>
        <w:spacing w:after="0" w:line="18" w:lineRule="exact"/>
        <w:rPr>
          <w:sz w:val="24"/>
          <w:szCs w:val="24"/>
          <w:color w:val="auto"/>
        </w:rPr>
      </w:pPr>
    </w:p>
    <w:p>
      <w:pPr>
        <w:ind w:left="56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11" w:lineRule="exact"/>
        <w:rPr>
          <w:sz w:val="24"/>
          <w:szCs w:val="24"/>
          <w:color w:val="auto"/>
        </w:rPr>
      </w:pPr>
    </w:p>
    <w:p>
      <w:pPr>
        <w:sectPr>
          <w:pgSz w:w="11900" w:h="16838" w:orient="portrait"/>
          <w:cols w:equalWidth="0" w:num="2">
            <w:col w:w="5780" w:space="200"/>
            <w:col w:w="5260"/>
          </w:cols>
          <w:pgMar w:left="320" w:top="333" w:right="339" w:bottom="0" w:gutter="0" w:footer="0" w:header="0"/>
          <w:type w:val="continuous"/>
        </w:sectPr>
      </w:pPr>
    </w:p>
    <w:p>
      <w:pPr>
        <w:spacing w:after="0" w:line="10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333" w:right="339" w:bottom="0" w:gutter="0" w:footer="0" w:header="0"/>
          <w:type w:val="continuous"/>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6, 2025, there were 387,560,453 shares of the Company’s Class A Common Stock, $0.0001 par value per share, issued and outstanding, and 32,535,408 shares of the Company’s Class B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shd w:val="clear" w:color="auto" w:fill="CCEEFF"/>
          </w:tcPr>
          <w:p>
            <w:pPr>
              <w:spacing w:after="0"/>
              <w:rPr>
                <w:sz w:val="22"/>
                <w:szCs w:val="22"/>
                <w:color w:val="auto"/>
              </w:rPr>
            </w:pPr>
          </w:p>
        </w:tc>
        <w:tc>
          <w:tcPr>
            <w:tcW w:w="104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w:t>
            </w:r>
            <w:r>
              <w:rPr>
                <w:rFonts w:ascii="Times New Roman" w:cs="Times New Roman" w:eastAsia="Times New Roman" w:hAnsi="Times New Roman"/>
                <w:sz w:val="18"/>
                <w:szCs w:val="18"/>
                <w:u w:val="single" w:color="auto"/>
                <w:color w:val="0A2299"/>
              </w:rPr>
              <w:t>t</w:t>
            </w:r>
            <w:r>
              <w:rPr>
                <w:rFonts w:ascii="Times New Roman" w:cs="Times New Roman" w:eastAsia="Times New Roman" w:hAnsi="Times New Roman"/>
                <w:sz w:val="18"/>
                <w:szCs w:val="18"/>
                <w:color w:val="0E32E1"/>
              </w:rPr>
              <w:t>s as of September 30, 2025 (unaudited) and December 31, 2024</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0E32E1"/>
            </w:tcBorders>
          </w:tcPr>
          <w:p>
            <w:pPr>
              <w:spacing w:after="0"/>
              <w:rPr>
                <w:sz w:val="23"/>
                <w:szCs w:val="23"/>
                <w:color w:val="auto"/>
              </w:rPr>
            </w:pPr>
          </w:p>
        </w:tc>
        <w:tc>
          <w:tcPr>
            <w:tcW w:w="660" w:type="dxa"/>
            <w:vAlign w:val="bottom"/>
            <w:tcBorders>
              <w:top w:val="single" w:sz="8" w:color="0E32E1"/>
            </w:tcBorders>
          </w:tcPr>
          <w:p>
            <w:pPr>
              <w:spacing w:after="0"/>
              <w:rPr>
                <w:sz w:val="23"/>
                <w:szCs w:val="23"/>
                <w:color w:val="auto"/>
              </w:rPr>
            </w:pPr>
          </w:p>
        </w:tc>
        <w:tc>
          <w:tcPr>
            <w:tcW w:w="340" w:type="dxa"/>
            <w:vAlign w:val="bottom"/>
            <w:tcBorders>
              <w:top w:val="single" w:sz="8" w:color="0E32E1"/>
            </w:tcBorders>
          </w:tcPr>
          <w:p>
            <w:pPr>
              <w:spacing w:after="0"/>
              <w:rPr>
                <w:sz w:val="23"/>
                <w:szCs w:val="23"/>
                <w:color w:val="auto"/>
              </w:rPr>
            </w:pPr>
          </w:p>
        </w:tc>
        <w:tc>
          <w:tcPr>
            <w:tcW w:w="20" w:type="dxa"/>
            <w:vAlign w:val="bottom"/>
            <w:tcBorders>
              <w:top w:val="single" w:sz="8" w:color="0E32E1"/>
            </w:tcBorders>
          </w:tcPr>
          <w:p>
            <w:pPr>
              <w:spacing w:after="0"/>
              <w:rPr>
                <w:sz w:val="23"/>
                <w:szCs w:val="23"/>
                <w:color w:val="auto"/>
              </w:rPr>
            </w:pPr>
          </w:p>
        </w:tc>
        <w:tc>
          <w:tcPr>
            <w:tcW w:w="1680" w:type="dxa"/>
            <w:vAlign w:val="bottom"/>
            <w:tcBorders>
              <w:top w:val="single" w:sz="8" w:color="0E32E1"/>
            </w:tcBorders>
          </w:tcPr>
          <w:p>
            <w:pPr>
              <w:spacing w:after="0"/>
              <w:rPr>
                <w:sz w:val="23"/>
                <w:szCs w:val="23"/>
                <w:color w:val="auto"/>
              </w:rPr>
            </w:pPr>
          </w:p>
        </w:tc>
        <w:tc>
          <w:tcPr>
            <w:tcW w:w="420" w:type="dxa"/>
            <w:vAlign w:val="bottom"/>
            <w:tcBorders>
              <w:top w:val="single" w:sz="8" w:color="0E32E1"/>
            </w:tcBorders>
          </w:tcPr>
          <w:p>
            <w:pPr>
              <w:spacing w:after="0"/>
              <w:rPr>
                <w:sz w:val="23"/>
                <w:szCs w:val="23"/>
                <w:color w:val="auto"/>
              </w:rPr>
            </w:pPr>
          </w:p>
        </w:tc>
        <w:tc>
          <w:tcPr>
            <w:tcW w:w="680" w:type="dxa"/>
            <w:vAlign w:val="bottom"/>
            <w:tcBorders>
              <w:top w:val="single" w:sz="8" w:color="0E32E1"/>
            </w:tcBorders>
          </w:tcPr>
          <w:p>
            <w:pPr>
              <w:spacing w:after="0"/>
              <w:rPr>
                <w:sz w:val="23"/>
                <w:szCs w:val="23"/>
                <w:color w:val="auto"/>
              </w:rPr>
            </w:pPr>
          </w:p>
        </w:tc>
        <w:tc>
          <w:tcPr>
            <w:tcW w:w="300" w:type="dxa"/>
            <w:vAlign w:val="bottom"/>
            <w:tcBorders>
              <w:top w:val="single" w:sz="8" w:color="0E32E1"/>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 xml:space="preserve">Condensed Consolidated Statements of Operations and Comprehensive Loss for the </w:t>
            </w:r>
            <w:r>
              <w:rPr>
                <w:rFonts w:ascii="Times New Roman" w:cs="Times New Roman" w:eastAsia="Times New Roman" w:hAnsi="Times New Roman"/>
                <w:sz w:val="18"/>
                <w:szCs w:val="18"/>
                <w:color w:val="0E32E1"/>
              </w:rPr>
              <w:t>three and nine</w:t>
            </w:r>
            <w:r>
              <w:rPr>
                <w:rFonts w:ascii="Times New Roman" w:cs="Times New Roman" w:eastAsia="Times New Roman" w:hAnsi="Times New Roman"/>
                <w:sz w:val="18"/>
                <w:szCs w:val="18"/>
                <w:color w:val="0000FF"/>
              </w:rPr>
              <w:t xml:space="preserve"> months ended September 30,</w:t>
            </w:r>
          </w:p>
        </w:tc>
        <w:tc>
          <w:tcPr>
            <w:tcW w:w="76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5960" w:type="dxa"/>
            <w:vAlign w:val="bottom"/>
            <w:tcBorders>
              <w:top w:val="single" w:sz="8" w:color="0000FF"/>
            </w:tcBorders>
            <w:gridSpan w:val="18"/>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FF"/>
              </w:rPr>
              <w:t>2025 and 2024 (unaudited)</w:t>
            </w:r>
          </w:p>
        </w:tc>
        <w:tc>
          <w:tcPr>
            <w:tcW w:w="1100" w:type="dxa"/>
            <w:vAlign w:val="bottom"/>
            <w:tcBorders>
              <w:top w:val="single" w:sz="8" w:color="0E32E1"/>
            </w:tcBorders>
            <w:gridSpan w:val="2"/>
            <w:shd w:val="clear" w:color="auto" w:fill="CCEEFF"/>
          </w:tcPr>
          <w:p>
            <w:pPr>
              <w:spacing w:after="0"/>
              <w:rPr>
                <w:sz w:val="21"/>
                <w:szCs w:val="21"/>
                <w:color w:val="auto"/>
              </w:rPr>
            </w:pPr>
          </w:p>
        </w:tc>
        <w:tc>
          <w:tcPr>
            <w:tcW w:w="2100" w:type="dxa"/>
            <w:vAlign w:val="bottom"/>
            <w:tcBorders>
              <w:top w:val="single" w:sz="8" w:color="0000FF"/>
            </w:tcBorders>
            <w:gridSpan w:val="4"/>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 2024</w:t>
            </w:r>
          </w:p>
        </w:tc>
        <w:tc>
          <w:tcPr>
            <w:tcW w:w="76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9140" w:type="dxa"/>
            <w:vAlign w:val="bottom"/>
            <w:tcBorders>
              <w:top w:val="single" w:sz="8" w:color="0000FF"/>
            </w:tcBorders>
            <w:gridSpan w:val="23"/>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220" w:type="dxa"/>
            <w:vAlign w:val="bottom"/>
            <w:tcBorders>
              <w:top w:val="single" w:sz="8" w:color="CCEEFF"/>
            </w:tcBorders>
            <w:gridSpan w:val="2"/>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 (unaudited)</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8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8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1046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OTHER INFORMATION</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7"/>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270"/>
        </w:trPr>
        <w:tc>
          <w:tcPr>
            <w:tcW w:w="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gridSpan w:val="2"/>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1046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shd w:val="clear" w:color="auto" w:fill="CCEEFF"/>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“report”) of SoundHound AI, Inc. (“we,” “us,” “our,” “SoundHound,” or the “Company”) contains “forward-looking statements” (as defined in Section 27A of the Securities Act of 1933, as amended, and Section 21E of the Securities Exchange Act of 1934, as amended) that reflect our current expectations and views of future events. The forward-looking statements are contained principally in the section of this report entitled “Management’s Discussion and Analysis of Financial Condition and Results of Operations.” You can identify some of these forward-looking statements by words or phrases such as “may,” “will,” “expect,” “anticipate,” “aim,” “estimate,” “intend,” “plan,” “believe,” “is/are likely to,” “potential,” “continue” or other similar expressions. These forward-looking statements include, but are not limited to, statements concerning our expected financial performance, our ability to implement our business strategy and anticipated business and operations, including our ability to integrate the business and operations of our recent acquisitions and improve our Generative AI Foundation Model, expand our customer partnerships and roll out our AI drive thru service, roll out our Dynamic Interaction, Chat AI for Automotive, and expand the number of platforms on which our voice AI technology will be available, the potential utility of and market for our products and services, including our newly acquired products and services, and our ability to achieve revenue from our bookings backlog. We have based these forward-looking statements largely on our current expectations and projections about future events that we believe may affect our financial condition, results of operations, business strategy and financial needs.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Accordingly, readers are cautioned that significant known and unknown risks, uncertainties and other important factors may cause our actual results, performance or achievements to be materially different from those expressed or implied by the forward-looking statements. Some factors that could cause actual results to differ include:</w:t>
      </w:r>
    </w:p>
    <w:p>
      <w:pPr>
        <w:spacing w:after="0" w:line="195" w:lineRule="exact"/>
        <w:rPr>
          <w:sz w:val="20"/>
          <w:szCs w:val="20"/>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including launching new product offerings and expanding information and technology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impact of our growth initiatives on our future financial performance;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businesses and operations from our recent acquisitions with our current operations to realize the expected benefits of those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trade secrets;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as necessary, including equity or debt financing, on terms that are acceptable to us, if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our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 maintain a qualified workforce;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our customers to use competitors’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patent infringements and/or other regulatory or legal proceedings, including with respect to our AI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uncertainty of our estimates of market opportunity and forecasts of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under the section titled “Risk Factors” herein and in our Annual Report on Form 10-K which was filed with the Securities and Exchange Commission on March 11,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should thoroughly read this report and the documents that we refer to with the understanding that our actual future results may be materially different from, and worse than, what we expect. We qualify all of our forward-looking statements by these cautionary statements.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24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39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268,936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198,240</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 net of allowances of $3,466 and $726 as of September 30, 2025 and December 31, 2024, respectively</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22,417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23,159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Contract assets and unbilled receivable, net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32,178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26,645</w:t>
            </w:r>
          </w:p>
        </w:tc>
        <w:tc>
          <w:tcPr>
            <w:tcW w:w="0" w:type="dxa"/>
            <w:vAlign w:val="bottom"/>
          </w:tcPr>
          <w:p>
            <w:pPr>
              <w:spacing w:after="0"/>
              <w:rPr>
                <w:sz w:val="1"/>
                <w:szCs w:val="1"/>
                <w:color w:val="auto"/>
              </w:rPr>
            </w:pPr>
          </w:p>
        </w:tc>
      </w:tr>
      <w:tr>
        <w:trPr>
          <w:trHeight w:val="153"/>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7,476</w:t>
            </w:r>
          </w:p>
        </w:tc>
        <w:tc>
          <w:tcPr>
            <w:tcW w:w="0" w:type="dxa"/>
            <w:vAlign w:val="bottom"/>
          </w:tcPr>
          <w:p>
            <w:pPr>
              <w:spacing w:after="0"/>
              <w:rPr>
                <w:sz w:val="1"/>
                <w:szCs w:val="1"/>
                <w:color w:val="auto"/>
              </w:rPr>
            </w:pPr>
          </w:p>
        </w:tc>
      </w:tr>
      <w:tr>
        <w:trPr>
          <w:trHeight w:val="36"/>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335,366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255,520</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936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4,412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4,692</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122,277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101,704</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191,066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174,943</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 assets and unbilled receivable, non-current, net</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29,163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12,879</w:t>
            </w:r>
          </w:p>
        </w:tc>
        <w:tc>
          <w:tcPr>
            <w:tcW w:w="0" w:type="dxa"/>
            <w:vAlign w:val="bottom"/>
          </w:tcPr>
          <w:p>
            <w:pPr>
              <w:spacing w:after="0"/>
              <w:rPr>
                <w:sz w:val="1"/>
                <w:szCs w:val="1"/>
                <w:color w:val="auto"/>
              </w:rPr>
            </w:pPr>
          </w:p>
        </w:tc>
      </w:tr>
      <w:tr>
        <w:trPr>
          <w:trHeight w:val="36"/>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16,267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2,296</w:t>
            </w:r>
          </w:p>
        </w:tc>
        <w:tc>
          <w:tcPr>
            <w:tcW w:w="0" w:type="dxa"/>
            <w:vAlign w:val="bottom"/>
          </w:tcPr>
          <w:p>
            <w:pPr>
              <w:spacing w:after="0"/>
              <w:rPr>
                <w:sz w:val="1"/>
                <w:szCs w:val="1"/>
                <w:color w:val="auto"/>
              </w:rPr>
            </w:pPr>
          </w:p>
        </w:tc>
      </w:tr>
      <w:tr>
        <w:trPr>
          <w:trHeight w:val="178"/>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702,217</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9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6,864</w:t>
            </w:r>
          </w:p>
        </w:tc>
        <w:tc>
          <w:tcPr>
            <w:tcW w:w="100" w:type="dxa"/>
            <w:vAlign w:val="bottom"/>
          </w:tcPr>
          <w:p>
            <w:pPr>
              <w:spacing w:after="0"/>
              <w:rPr>
                <w:sz w:val="13"/>
                <w:szCs w:val="13"/>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5,559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28,141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26,291</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1,898</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Income tax liability</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2,438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2,750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20,702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23,876</w:t>
            </w:r>
          </w:p>
        </w:tc>
        <w:tc>
          <w:tcPr>
            <w:tcW w:w="0" w:type="dxa"/>
            <w:vAlign w:val="bottom"/>
          </w:tcPr>
          <w:p>
            <w:pPr>
              <w:spacing w:after="0"/>
              <w:rPr>
                <w:sz w:val="1"/>
                <w:szCs w:val="1"/>
                <w:color w:val="auto"/>
              </w:rPr>
            </w:pPr>
          </w:p>
        </w:tc>
      </w:tr>
      <w:tr>
        <w:trPr>
          <w:trHeight w:val="154"/>
        </w:trPr>
        <w:tc>
          <w:tcPr>
            <w:tcW w:w="81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Contingent acquisition liabilities (Note 16)</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7,319</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65,132</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67,742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2,403</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7,748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6,862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acquisition liabilities, net of current portion (Note 16)</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214,858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286,898</w:t>
            </w: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3,075</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9,637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4,320</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302,981</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371,300</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7)</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Series A Preferred Stock, $0.0001 par value; 1,000,000 shares authorized; 0 and 0 shares issued and outstanding, aggregate liquidation preference of $0 and $0 as of September 30,</w:t>
            </w:r>
          </w:p>
        </w:tc>
        <w:tc>
          <w:tcPr>
            <w:tcW w:w="24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2025 and December 31, 2024, respectively</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A Common Stock, $0.0001 par value; 755,000,000 and 455,000,000 shares authorized as of September 30, 2025 and December 31, 2024, respectively; 386,300,291 and</w:t>
            </w: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361,096,457 shares issued and outstanding as of September 30, 2025 and December 31, 2024, respectively</w:t>
            </w: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8"/>
              </w:rPr>
              <w:t>Class B Common Stock, $0.0001 par value; 44,000,000 shares authorized; 32,535,408 and 32,535,408 shares issued and outstanding as of September 30, 2025 and December 31, 2024,</w:t>
            </w:r>
          </w:p>
        </w:tc>
        <w:tc>
          <w:tcPr>
            <w:tcW w:w="240" w:type="dxa"/>
            <w:vAlign w:val="bottom"/>
          </w:tcPr>
          <w:p>
            <w:pPr>
              <w:spacing w:after="0"/>
              <w:rPr>
                <w:sz w:val="12"/>
                <w:szCs w:val="12"/>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0"/>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respectively</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1,396,094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1,125,470</w:t>
            </w:r>
          </w:p>
        </w:tc>
        <w:tc>
          <w:tcPr>
            <w:tcW w:w="0" w:type="dxa"/>
            <w:vAlign w:val="bottom"/>
          </w:tcPr>
          <w:p>
            <w:pPr>
              <w:spacing w:after="0"/>
              <w:rPr>
                <w:sz w:val="1"/>
                <w:szCs w:val="1"/>
                <w:color w:val="auto"/>
              </w:rPr>
            </w:pPr>
          </w:p>
        </w:tc>
      </w:tr>
      <w:tr>
        <w:trPr>
          <w:trHeight w:val="154"/>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(997,123)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(943,060)</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47"/>
        </w:trPr>
        <w:tc>
          <w:tcPr>
            <w:tcW w:w="818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399,236</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182,653</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702,217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553,953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SOUNDHOUND AI, INC.</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440" w:type="dxa"/>
            <w:vAlign w:val="bottom"/>
            <w:gridSpan w:val="11"/>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6900" w:type="dxa"/>
            <w:vAlign w:val="bottom"/>
            <w:gridSpan w:val="8"/>
          </w:tcPr>
          <w:p>
            <w:pPr>
              <w:jc w:val="center"/>
              <w:ind w:left="15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1"/>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68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13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r>
      <w:tr>
        <w:trPr>
          <w:trHeight w:val="22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48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r>
      <w:tr>
        <w:trPr>
          <w:trHeight w:val="27"/>
        </w:trPr>
        <w:tc>
          <w:tcPr>
            <w:tcW w:w="48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50,161</w:t>
            </w: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w:t>
            </w:r>
          </w:p>
        </w:tc>
      </w:tr>
      <w:tr>
        <w:trPr>
          <w:trHeight w:val="27"/>
        </w:trPr>
        <w:tc>
          <w:tcPr>
            <w:tcW w:w="48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8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134,431</w:t>
            </w:r>
          </w:p>
        </w:tc>
      </w:tr>
      <w:tr>
        <w:trPr>
          <w:trHeight w:val="237"/>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(115,891)</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(84,281)</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136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8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r>
      <w:tr>
        <w:trPr>
          <w:trHeight w:val="27"/>
        </w:trPr>
        <w:tc>
          <w:tcPr>
            <w:tcW w:w="48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r>
      <w:tr>
        <w:trPr>
          <w:trHeight w:val="237"/>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(101,640)</w:t>
            </w:r>
          </w:p>
        </w:tc>
      </w:tr>
      <w:tr>
        <w:trPr>
          <w:trHeight w:val="24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 Stock</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common shareholders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r>
      <w:tr>
        <w:trPr>
          <w:trHeight w:val="20"/>
        </w:trPr>
        <w:tc>
          <w:tcPr>
            <w:tcW w:w="48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48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(92,019)</w:t>
            </w:r>
          </w:p>
        </w:tc>
      </w:tr>
      <w:tr>
        <w:trPr>
          <w:trHeight w:val="270"/>
        </w:trPr>
        <w:tc>
          <w:tcPr>
            <w:tcW w:w="4800" w:type="dxa"/>
            <w:vAlign w:val="bottom"/>
            <w:gridSpan w:val="2"/>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480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409,783,470</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401,325,300</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326,166,633</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9"/>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411,702,440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403,252,575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326,166,633</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40" w:type="dxa"/>
            <w:vAlign w:val="bottom"/>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5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restart"/>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373,055,866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1,247,394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(887,852)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359,759</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Second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Distribution Agreement, net of issuance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costs</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9,018,114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123,304</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4,224,931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exercise of warrants</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20,914</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(109,271)</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September 30, 2025</w:t>
            </w:r>
          </w:p>
        </w:tc>
        <w:tc>
          <w:tcPr>
            <w:tcW w:w="7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386,300,291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1,396,094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(997,123)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399,236</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46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6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of June 30, 2024</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315,153,605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886,412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(662,710)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223,941</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Equity</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Agreement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10,465,581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48,318</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1,920,971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acquisition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Amelia</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5,959,050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23,920</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to settle</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obligations under Amelia Debt</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2,943,917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SYNQ3</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9,060</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(21,751)</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September 30, 2024</w:t>
            </w:r>
          </w:p>
        </w:tc>
        <w:tc>
          <w:tcPr>
            <w:tcW w:w="7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336,481,401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32,735,408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980,150</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(684,461)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295,987</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40" w:type="dxa"/>
            <w:vAlign w:val="bottom"/>
            <w:gridSpan w:val="8"/>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5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80" w:type="dxa"/>
            <w:vAlign w:val="bottom"/>
          </w:tcPr>
          <w:p>
            <w:pPr>
              <w:spacing w:after="0"/>
              <w:rPr>
                <w:sz w:val="12"/>
                <w:szCs w:val="12"/>
                <w:color w:val="auto"/>
              </w:rPr>
            </w:pP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December 31, 2024</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361,096,457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1,125,470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(943,060)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182,653</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Second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 Distribution Agreement, net of issuance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costs</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13,913,014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197,278</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10,815,829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7,233</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exercise of warrants</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due to settlement</w:t>
            </w: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contingent holdback consideration in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connection with SYNQ3 Acquisition</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472,501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3,922</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62,164</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September 30, 2025</w:t>
            </w:r>
          </w:p>
        </w:tc>
        <w:tc>
          <w:tcPr>
            <w:tcW w:w="8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386,300,291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32,535,408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1,396,094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399,236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46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6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16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4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as of December 31,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14,187</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216,943,349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37,485,408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606,135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(592,379)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28,168</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under the Sales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Agreement and Equity Distribution Agreement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69,601,417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279,869</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acquisition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SYNQ3</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5,794,187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9,876</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shares of Class A common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subject to repurchase in connection with</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SYNQ3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2,033,156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for equity</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incentive awards</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9,562,128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11,064</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conversion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Class B common shares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conversion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Series A Preferred 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(475,005)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(14,187)</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16,624,215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Class A common stock in connection with</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cashless exercise of warrants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2,269,982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upon acquisition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Amelia</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5,959,050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23,920</w:t>
            </w: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Class A common stock to settle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obligations under Amelia Debt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2,943,917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23,292</w:t>
            </w: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(92,082)</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6"/>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as of September 30, 2024</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336,481,401</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32,735,408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980,150</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(684,461)</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295,987</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used in operating activities:</w:t>
            </w: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(92,082)</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8,115</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lease amortization</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capitalized commissions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gain/loss from remeasurement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acquisition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9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9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86"/>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(76,336)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related to acquisitions, net of cash acquired</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0" w:type="dxa"/>
            <w:vAlign w:val="bottom"/>
          </w:tcPr>
          <w:p>
            <w:pPr>
              <w:spacing w:after="0"/>
              <w:rPr>
                <w:sz w:val="1"/>
                <w:szCs w:val="1"/>
                <w:color w:val="auto"/>
              </w:rPr>
            </w:pPr>
          </w:p>
        </w:tc>
      </w:tr>
      <w:tr>
        <w:trPr>
          <w:trHeight w:val="186"/>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(56,965)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provided by financing activities: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sales of Class A common stock under the Sales Agreement, Equity Distribution Agreement, and Second Equity Distribution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Agreement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201,519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287,271</w:t>
            </w:r>
          </w:p>
        </w:tc>
        <w:tc>
          <w:tcPr>
            <w:tcW w:w="0" w:type="dxa"/>
            <w:vAlign w:val="bottom"/>
          </w:tcPr>
          <w:p>
            <w:pPr>
              <w:spacing w:after="0"/>
              <w:rPr>
                <w:sz w:val="1"/>
                <w:szCs w:val="1"/>
                <w:color w:val="auto"/>
              </w:rPr>
            </w:pP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warrants exercised</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financing costs associated with the Sales Agreement, Equity Distribution Agreement, and Second Equity Distribution</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Agreement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Term Loan and Amelia Debt</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(175,602)</w:t>
            </w:r>
          </w:p>
        </w:tc>
        <w:tc>
          <w:tcPr>
            <w:tcW w:w="0" w:type="dxa"/>
            <w:vAlign w:val="bottom"/>
          </w:tcPr>
          <w:p>
            <w:pPr>
              <w:spacing w:after="0"/>
              <w:rPr>
                <w:sz w:val="1"/>
                <w:szCs w:val="1"/>
                <w:color w:val="auto"/>
              </w:rPr>
            </w:pPr>
          </w:p>
        </w:tc>
      </w:tr>
      <w:tr>
        <w:trPr>
          <w:trHeight w:val="192"/>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to settle contingent holdback liabilities from SYNQ3 acquisition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6"/>
        </w:trPr>
        <w:tc>
          <w:tcPr>
            <w:tcW w:w="81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204,514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115,445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Effects of exchange rate changes on cash</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right="3080" w:firstLine="405"/>
        <w:spacing w:after="0" w:line="372" w:lineRule="auto"/>
        <w:rPr>
          <w:sz w:val="20"/>
          <w:szCs w:val="20"/>
          <w:color w:val="auto"/>
        </w:rPr>
      </w:pPr>
      <w:r>
        <w:rPr>
          <w:rFonts w:ascii="Times New Roman" w:cs="Times New Roman" w:eastAsia="Times New Roman" w:hAnsi="Times New Roman"/>
          <w:sz w:val="14"/>
          <w:szCs w:val="14"/>
          <w:color w:val="auto"/>
        </w:rPr>
        <w:t>Net change in cash, cash equivalents, and restricted cash equivalents Cash, cash equivalents, and restricted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27,382</w:t>
            </w:r>
          </w:p>
        </w:tc>
      </w:tr>
      <w:tr>
        <w:trPr>
          <w:trHeight w:val="229"/>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109,035</w:t>
            </w:r>
          </w:p>
        </w:tc>
      </w:tr>
      <w:tr>
        <w:trPr>
          <w:trHeight w:val="37"/>
        </w:trPr>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269,872</w:t>
            </w:r>
          </w:p>
        </w:tc>
        <w:tc>
          <w:tcPr>
            <w:tcW w:w="10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136,417</w:t>
            </w:r>
          </w:p>
        </w:tc>
      </w:tr>
      <w:tr>
        <w:trPr>
          <w:trHeight w:val="37"/>
        </w:trPr>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333"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268,936</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135,606</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182"/>
        </w:trPr>
        <w:tc>
          <w:tcPr>
            <w:tcW w:w="8180" w:type="dxa"/>
            <w:vAlign w:val="bottom"/>
          </w:tcPr>
          <w:p>
            <w:pPr>
              <w:ind w:left="520"/>
              <w:spacing w:after="0" w:line="182" w:lineRule="exact"/>
              <w:rPr>
                <w:sz w:val="20"/>
                <w:szCs w:val="20"/>
                <w:color w:val="auto"/>
              </w:rPr>
            </w:pPr>
            <w:r>
              <w:rPr>
                <w:rFonts w:ascii="Times New Roman" w:cs="Times New Roman" w:eastAsia="Times New Roman" w:hAnsi="Times New Roman"/>
                <w:sz w:val="16"/>
                <w:szCs w:val="16"/>
                <w:color w:val="auto"/>
              </w:rPr>
              <w:t>Total cash, cash equivalents, and restricted cash equivalents shown in the condensed consolidated statements of cash</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flows</w:t>
            </w:r>
          </w:p>
        </w:tc>
        <w:tc>
          <w:tcPr>
            <w:tcW w:w="5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269,872</w:t>
            </w:r>
          </w:p>
        </w:tc>
        <w:tc>
          <w:tcPr>
            <w:tcW w:w="100" w:type="dxa"/>
            <w:vAlign w:val="bottom"/>
          </w:tcPr>
          <w:p>
            <w:pPr>
              <w:spacing w:after="0"/>
              <w:rPr>
                <w:sz w:val="18"/>
                <w:szCs w:val="18"/>
                <w:color w:val="auto"/>
              </w:rPr>
            </w:pPr>
          </w:p>
        </w:tc>
        <w:tc>
          <w:tcPr>
            <w:tcW w:w="5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136,417</w:t>
            </w:r>
          </w:p>
        </w:tc>
        <w:tc>
          <w:tcPr>
            <w:tcW w:w="0" w:type="dxa"/>
            <w:vAlign w:val="bottom"/>
          </w:tcPr>
          <w:p>
            <w:pPr>
              <w:spacing w:after="0"/>
              <w:rPr>
                <w:sz w:val="1"/>
                <w:szCs w:val="1"/>
                <w:color w:val="auto"/>
              </w:rPr>
            </w:pPr>
          </w:p>
        </w:tc>
      </w:tr>
      <w:tr>
        <w:trPr>
          <w:trHeight w:val="72"/>
        </w:trPr>
        <w:tc>
          <w:tcPr>
            <w:tcW w:w="818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80"/>
        </w:trPr>
        <w:tc>
          <w:tcPr>
            <w:tcW w:w="8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Conversion of Series A Preferred Stock to Class A common stock</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obligations under Amelia Debt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Issuance of Class A Common Stock to settle contingent holdback consideration of SYNQ3 acquisition</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offering costs reclassified to additional paid-in capital</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acquired under accrued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Class A common stock and deferred equity consideration issued to acquire SYNQ3</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under SYNQ3 and Amelia acquisitions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contingent holdback consideration under SYNQ3 acquisition</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other acquisition</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Fair value of deferred cash consideration under Interactions acquisition</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of contingent earnout consideration under Interactions acquisition</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included in capitalized software development costs</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Nature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SoundHound AI, Inc. (“we," "us," "our,"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SoundHound's voice AI platform enables product creators to develop their own voice interfaces with their customers. The SoundHound Chat AI voice assistant allows businesses and brands to provide a next-generation voice experience for their users, seamlessly integrating Generative AI and a mix of real-time information domains. Houndify is an open-access platform that allows developers to leverage SoundHound’s Voice AI technology. The Company has developed a range of proprietary technologies on our voice AI platform, including Speech-to-Meaning, Deep Meaning Understanding, Collective AI, Dynamic Interaction and SoundHound Chat AI. The SoundHound music app allows customers to identify and play songs by singing or humming into the smartphone’s microphone, or by identifying the sound playing in the background from external sources. SoundHound also provides edge, cloud and hybrid (Edge+Cloud) connectivity solutions that allow brands to optimize their voice-enabled products and devices with options ranging from fully-embedded to exclusively cloud-connected.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2024, the Company completed the acquisition of Synq3, Inc. ("SYNQ3") in a cash and stock transaction. On June 14, 2024, the Company completed an immaterial acquisition in a cash transaction. On August 6, 2024, the Company completed the acquisition of Amelia Holdings, Inc. ("Amelia") in a cash and stock transaction. On September 3, 2025, the Company completed the acquisition of Interactions Corporation ("Interactions") in a cash. Refer to Note 3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generated recurring losses as well as negative operating cash flows, except for a net income of $129.9 million reported for the three months ended March 31, 2025 and $55.2 million reported for the six months ended June 30, 2025, primarily due to the change in fair value of acquisition related liabilities. As of September 30, 2025, the Company had an accumulated deficit of $997.1 million. Management expects to continue to incur additional substantial losses in the foreseeable future. The Company has historically funded its operations primarily through equity or debt financings.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September 30, 2025 was $268.9 million. Although the Company has incurred recurring losses each year since its inception, the Company expects it will be able to fund its operations for at least the next twelve months from the date these condensed consolidated financial statements are issued. The Company may seek funding through additional debt or equity financing arrangements to continue financing its operations. Refer to Note 11 for information regarding the Company's equity financing activity. The Company's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 condensed consolidated balance sheet as of December 31, 2024, which has been derived from audited financial statements as filed in the Company’s Form 10-K, which was originally filed with the Securities and Exchange Commission ("SEC") on March 11, 2025 and (b) 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unaudited interim condensed consolidated financial statements have been prepared on a basis consistent with the audited annual consolidated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statements and in the opinion of management, all adjustments, consisting of normal recurring adjustments, considered necessary for a fair statement of its financial position as of September 30, 2025, and its results of operations for the three and nine months ended September 30, 2025, and 2024, and cash flows for the nine months ended September 30, 2025 and 2024 have been included. The results of operations for the three and nine months ended September 30, 2025 are not necessarily indicative of the results for the fiscal year ending December 31, 2025 or any future interim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disclosed in Note 2 - Basis of Presentation and Summary of Significant Accounting Policies of the Notes to the Consolidated Financial Statements included in our Annual Report on Form 10-K for the fiscal year ended December 31, 2024, except for update to the accounting policy of software development costs,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Capitalized Software Development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capitalizes qualifying internal-use software development costs under Accounting Standards Codification Topic 350-40, Internal-use Software ("ASC 350-40"). The costs consist of personnel costs, including related benefits and stock-based compensation, and cloud costs that were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capitalizes qualifying software development costs under Accounting Standards Codification Topic 985-20, Costs of Software to be Sold, Leased or Marketed ("ASC 985-20"). All costs to establish technological feasibility are expensed as incurred. Costs incurred subsequent to establishing technological feasibility are capitalized until the software product is available for general release to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under ASC 350-40 and ASC 985-20 are included in other non-current assets, net of amortization, on the condensed consolidated balance sheets. These costs are amortized over the estimated useful life of the software, which is estimated to be three years. The amortization of capitalized software development costs is included in cost of revenue in the condensed consolidated statement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credit losses, software development costs, accrued liabilities, derivative and warrant liabilities, calculation of the incremental borrowing rate, financial instruments recorded at fair value on a recurring basis, the accounting for business combinations and allocating purchase price, valuation and estimating the useful life of identifiable intangible assets, probability of achievement of revenue estimates related to contingent earnout consideration and performance-based equity awards, valuation of deferred tax assets and uncertain tax positions and the fair value of common stock and other assumptions used to measure stock-based compensation expense. In connection with the measurement period for the acquisition of Amelia, no significant estimates were changed by management during the three and nine months ended September 30, 2025 and 2024.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is its chief operating decision maker. The Company’s Chief Executive Officer reviews discrete financial information on a consolidated basis for purposes of allocating resources and evaluating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 of Credit Risk and Other 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the balances of which frequently exceed federally insured limits. The Company regularly monitors its credit risk exposure and takes steps to mitigate the likelihood of these exposures resulting in actual loss.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no customer that accounted for more than 10% of the Company’s accounts receivable balance. As of December 31, 2024, accounts receivable balances due from Customer A accounted for 23% of the Company’s accounts receivable balance.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unbilled receivables from Customer B, C, D and E accounted for 29%, 18%, 11% and 17% of the Company’s unbilled receivables balance, respectively. As of December 31, 2024, unbilled receivables from Customer C and D accounted for 50% and 24% of the Company’s unbilled receivables balance,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Customer F accounted for 12% of the Company's revenue. For the nine months ended September 30, 2025, there was no customer that accounted for more than 10% of total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Customer C accounted for 12% and of total revenue. For the nine months ended September 30, 2024, Customer C and D accounted for 19% and 16% of total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 and Contingent Consideration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Business combinations are accounted for using the acquisition method. The Company allocates the fair value of the purchase price of an acquisition to the assets acquired and liabilities assumed, based on their estimated fair values as of the date of acquisition. The excess of the fair value of the purchase price over the fair values of these net tangible and intangible assets acquired is recorded as goodwill. Fair value of the acquired intangible assets was determined using an income approach, specifically the multi-period excess earnings method, relief-from-royalty method, or the with-and-without method, depending on the nature of the respective assets. Management’s estimates of fair value are based upon assumptions believed to be reasonable, but the estimates and assumptions are inherently uncertain and subject to refinement. The significant judgments and assumptions used in valuing the developed technology include revenue growth rates, prospective financial information for cost of sales, research and development expenses and, other operating expenses, the discount rate, the technological obsolescence rate, and contributory asset charges. For customer relationships, the significant judgments and assumptions include revenue growth rates, customer attrition rate, prospective financial information for cost of sales and fixed and variable operating expenses and the discount rate. These estimates are inherently uncertain and, therefore, actual results may differ from the estimates made. As a result, during the measurement period of up to one year from the acquisition date, the Company may make adjustments to the assets acquired and liabilities assumed with the corresponding offset to goodwill. Upon the measurement period's conclusion or final determination of the fair value of the purchase price of an acquisition, whichever comes first, any subsequent adjustments are recorded to our condensed consolidated statements of operations in the period they are identified. Acquisition-related expenses are recognized separately from the business combination and expensed as incurred.</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business combinations include contingent consideration arrangements, which are generally based on achievement of future financial performance or future events. If it is determined the contingent consideration arrangement is not compensatory, the Company estimates fair value of contingent consideration payments as part of the initial purchase price and records the estimated fair value of contingent consideration as a liability in the condensed consolidated balance sheet. The Company reviews and assesses the estimated fair value of contingent consideration each reporting period, and the updated fair value could differ materially from the initial estimates. Adjustments to estimated fair value related to changes in fair value are reported as change in fair value of contingent acquisition liabilities in our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 is not amortized but tested annually for impairment or when indicators of impairment are present. The test for goodwill impairment involves a qualitative assessment of impairment indicators. If indicators are present, a quantitative test of impairment is performed.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Company's policy is to review goodwill for impairment annually on October 1st unless a triggering event requires an analysis sooner. There was no goodwill impairment for the three and nine months ended September 30, 2025 and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 with Definite Lives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intangible assets consist principally of developed technology, customer relationships, tradename, and conversation data. The Company assesses the appropriate method of amortization of the intangible assets that reflects the pattern in which the economic benefits of the intangible assets are consumed. The Company determined that a straight-line method of amortization was appropriate for its intangible assets. The remaining useful lives of long-lived assets are re-assessed periodically at the asset group level for any events and circumstances that may change the future cash flows expected to be generated from the long-lived asset or asset group.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Intangible assets with definite lives are tested for impairment whenever events or changes in circumstances indicate the carrying value of a specific asset or asset group may not be recoverable. We assess the recoverability of intangible assets with definite lives at the asset group level. Asset groups are determined based upon the lowest level for which identifiable cash flows are largely independent of the cash flows of other assets and liabilities. For the purpose of the recoverability test, we compare the total undiscounted future cash flows from the use and disposition of the assets with its net carrying amount. When the carrying value of the asset group exceeds the undiscounted future cash flows, the asset group is deemed to be impaired. The amount of the impairment loss represents the excess of the asset or asset group’s carrying value over its estimated fair value, which is generally determined based upon the present value of estimated future pre-tax cash flows that a market participant would expect from use and disposition of the long-lived asset or asset group. There were no intangible asset impairments in any of the periods presented.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Adopted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assesses any ASUs or other new accounting pronouncements issued by the FASB to determine their applicability and impact. Where it is determined that a new accounting pronouncement will result in a change to the Company's financial reporting, the Company takes the appropriate steps to ensure that such changes are properly reflected in the consolidated financial statements or notes thereto.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expands disclosures about a public business entity's reportable segments and provides for more detailed information about a reportable segment's expenses. This guidance is effective for fiscal years beginning after December 15, 2023, and interim periods within fiscal years beginning after December 15, 2024, and requires retrospective application to all prior periods presented in the financial statements. The Company adopted the standard during the year ended December 31, 2024. See Note 17 to our consolidated financial statements included within this report for more information on the increased disclosure for the Company's single reportable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 —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No. 2024-03.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The amendments may be applied either prospectively to financial statements issued for reporting periods after the effective date of this ASU or retrospectively to all prior periods presented in the financial statements. The Company is currently evaluating the impact that the updated standard will have on the financial statement disclosures.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Financial Accounting Standards Board issued Accounting Standards Update No. 2025-05. The standard is intended to provide a practical expedient for all entities and an accounting policy election available to all entities other than public business entities related to the estimation of expected credit losses for current accounts receivable and current contract assets that arise from transactions accounted for under ASC 606. This ASU is effective for fiscal years beginning after December 15, 2025, and interim periods within those fiscal years. Early adoption is permitted. The amendments should be applied prospectively to financial statements issued for reporting periods after the effective date of this ASU. The Company is currently evaluating the impact that the updated standard will have on the financial statement disclosures.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issued Accounting Standards Update 2025-06. The standard amends certain aspects of the accounting for and disclosure of internal-use software costs by increasing the operability of the recognition guidance considering different methods of software development under ASC 350-40. This ASU is effective for fiscal years beginning after December 15, 2027, and interim periods within those fiscal years. Early adoption is permitted. The amendments can be applied prospectively, retrospectively, or with a modified transition approach to financial statements issued for reporting periods after the effective date of this ASU. The Company is currently evaluating the impact that the updated standard will have on the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SYNQ3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2024 (the "SYNQ3 Acquisition Date"), the Company acquired all of the issued and outstanding equity of SYNQ3, a provider of voice AI and other technology solutions to the restaurant industry, for total purchase consideration of $15.8 million (the “SYNQ3 Acquisition”). The Company’s acquisition of SYNQ3 is expected to expand its AI customer service solutions and create a Voice AI provider for restaurants. The acquisition is expected to significantly extend the Company's market reach and accelerate the deployment of generative AI capabilities to the industry.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the Company’s Class A Common Stock. The Company has also withheld purchase consideration of $0.5 million in cash and 1,179,514 shares of the Company’s Class A Common Stock, subject to customary net working capital adjustments, to partially secure the indemnification obligations of SYNQ3's former stockholders under the merger agreement and agreed to pay up to $0.8 million in cash and 1,434,936 in shares of the Company’s Class A Common Stock to certain former stockholders of SYNQ3 based upon the achievement of specified future milestones. On the SYNQ3 Acquisition Date, the Company also issued 2,033,156 restricted shares of the Company’s Class A Common Stock subject to time and performance-based vesting conditions. The fair value of the purchase consideration was $15.8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Holdback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the Company's Class A Common Stock were withheld for a period of 15 months (the "SYNQ3 Holdback Amount"). The Company determined that there are two components to the SYNQ3 Holdback Amount related to deferred consideration and contingent consideration, each comprised of cash and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the Company's Class A Common Stock (collectively the "Deferred Consideration") were not recognized as of the SYNQ3 Acquisition Date as such amounts were offset by the indemnification obligations of SYNQ3's former stockholders.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The Company accounted for the Contingent SYNQ3 Holdback Consideration as a liability on the condensed consolidated balance sheet. As of the SYNQ3 Acquisition Date, the Contingent SYNQ3 Holdback Consideration was estimated to be $0.6 million in aggregate and to be settled in $0.1 million cash and the remainder in shares of the Company’s Class A Common Stock. During the year ended December 31, 2024, the Company issued 38,277 shares of the Company’s Class A Common Stock and paid an immaterial amount in cash from the Contingent SYNQ3 Holdback Consideration to SYNQ3's former stockholders as a result of the net working capital adjustments settled during the year. The Contingent SYNQ3 Holdback Consideration will be subsequently remeasured at each reporting date with changes in fair value recognized as a component of operating expense on the Company’s condensed consolidated statement of operations and comprehensive loss.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September 30, 2025. See Note 16 to our unaudited condensed consolidated financial statements included within this report for more information on the fair value measurement of shares associated with the holdback.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SYNQ3 Earnout Consideration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also agreed to pay in aggregate up to $0.8 million in cash and 1,434,936 in shares of Class A Common Stock to certain stockholders of SYNQ3 based on tiered annual revenue targets for each fiscal year 2024, 2025 and 2026 (the “Contingent SYNQ3 Earnout Consideration”). The Company accounted for the Contingent SYNQ3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loss. As of the SYNQ3 Acquisition Date, the Contingent SYNQ3 Earnout Consideration was estimated to be $1.7 million in aggregate and to be settled in $0.2 million cash and the remainder in shares of the Company’s Class A Common Stock. See Note 16 to our unaudited condensed consolidated financial statements included within this report for more information on the fair value measurement of Contingent SYNQ3 Earnout Consideration. As of September 30, 2025, the 2024 revenue target was not met. The Company assessed the 2025 revenue target was not probable of being met but the 2026 revenue target was probable of being met. No earnout consideration was issued as of September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2,033,156 restricted shares of the Company's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 See Note 12 to our unaudited condensed consolidated financial statements included within this report for more information on stock-based awards issued in connection with the SYNQ3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purchase price allocation was performed as of January 3, 2024 and allocated to the assets acquired and liabilities assumed based on their respective fair values, as follows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r>
      <w:tr>
        <w:trPr>
          <w:trHeight w:val="270"/>
        </w:trPr>
        <w:tc>
          <w:tcPr>
            <w:tcW w:w="8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37"/>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14,498</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7"/>
        </w:trPr>
        <w:tc>
          <w:tcPr>
            <w:tcW w:w="8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50"/>
        </w:trPr>
        <w:tc>
          <w:tcPr>
            <w:tcW w:w="89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26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20" w:type="dxa"/>
            <w:vAlign w:val="bottom"/>
          </w:tcPr>
          <w:p>
            <w:pPr>
              <w:spacing w:after="0"/>
              <w:rPr>
                <w:sz w:val="20"/>
                <w:szCs w:val="20"/>
                <w:color w:val="auto"/>
              </w:rPr>
            </w:pPr>
          </w:p>
        </w:tc>
        <w:tc>
          <w:tcPr>
            <w:tcW w:w="20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20" w:type="dxa"/>
            <w:vAlign w:val="bottom"/>
          </w:tcPr>
          <w:p>
            <w:pPr>
              <w:spacing w:after="0"/>
              <w:rPr>
                <w:sz w:val="23"/>
                <w:szCs w:val="23"/>
                <w:color w:val="auto"/>
              </w:rPr>
            </w:pP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January 3, 2024</w:t>
            </w:r>
          </w:p>
        </w:tc>
      </w:tr>
      <w:tr>
        <w:trPr>
          <w:trHeight w:val="27"/>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3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7"/>
        </w:trPr>
        <w:tc>
          <w:tcPr>
            <w:tcW w:w="67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$2.2 million in acquisition related expenses, of which an immaterial amount and $0.1 million were incurred during the three and nine months ended September 30, 2025, respectively. The Company incurred zero and $0.8 million acquisition related expenses during the three and nine months ended September 30, 2024, respectively. These acquisition related expenses were recorded as general and administration expenses in its condensed consolidated statements of operations and comprehensive loss.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Amelia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6, 2024 (the “Amelia Acquisition Date”), the Company acquired all of the issued and outstanding equity of Amelia Holdings, Inc. (the “Amelia Acquisition”), a privately-held conversational AI software company involved in the development and delivery of AI and automation solutions and related services to improve customer experience and optimize business outcomes. The Company’s acquisition of Amelia is expected to strengthen SoundHound’s position in voice and conversational AI and allow the Company to enter new industries such as healthcare, insurance, financial services, energy and retail, expanding its market reach.</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total purchase consideration includes 3,809,520 shares of the Company's Class A Common Stock issued to the selling shareholders. The Company also issued and deposited 2,149,530 shares of Class A Common Stock otherwise owed to the selling shareholders into an escrow account in order to partially secure the indemnification obligations of the selling shareholders to the Company under the purchase agreement (the “Escrow Consideration”). The fair value of equity issued as part of the consideration paid was determined on the basis of the closing market price of the Company’s shares on the Amelia Acquisition Date, which also incorporated a discount for lack of marketability rates caused by the trading restrictions due to the fact that the shares were not registered at issuance and consequently there is a six-month holding period. The Company also paid $8.4 million of cash for seller transaction expenses in connection with the closing of the Amelia Acquisition. The Company agreed to issue up to 16,822,429 shares to the selling shareholders based on achievement of certain revenue targets in fiscal years 2025 and 2026 (the "Amelia Contingent Earnout Consideration). The fair value of the purchase consideration was $98.6 million.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(“Amelia Debt”). On December 3, 2024, the Company entered into a letter agreement (the “Amelia Debt Payoff Letter”) to prepay in full all indebtedness and other amounts outstanding and owing under the Amelia Debt Credit Agreement and the Amelia Debt was repaid in full.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Consideration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accounted for the Escrow Consideration as equity-classified shares issued as part of the consideration transferred. The Company recorded an indemnification asset of $1.4 million under other non-current assets related to assumed sales tax and litigation contingent liabilities that existed prior to the Amelia Acquisition Date and are covered by the Company’s indemnification rights provided by the sellers.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Amelia Earnout Consideration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agreed to pay up to 16,822,429 in shares of Class A Common Stock to the selling shareholders based on achievement of certain annual revenue targets in fiscal years 2025 and 2026. The Company accounted for the Contingent Amelia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loss. As of the Amelia Acquisition Date, the Contingent Amelia Earnout Consideration had an estimated fair value of $66.3 million. For the three and nine months ended September 30, 2025, the Company recognized a loss of $65.9 million and a gain of $70.1 million, respectively, related to the Contingent Amelia Earnout Consideration, reflected in the change in fair value of contingent acquisition liabilities in the condensed consolidated statement of operations and comprehensive loss. For the three and nine months ended September 30, 2024, the Company recognized a loss of $0.5 million related to the Contingent Amelia Earnout Consideration, reflected in the change in fair value of contingent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liabilities in the condensed consolidated statement of operations and comprehensive loss. As of September 30, 2025, the Company assessed the 2025 and 2026 revenue targets were probable of being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25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purchase price allocation was performed as of August 6, 2024 and allocated to the assets acquired and liabilities assumed based on their respective fair values,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August 6, 2024</w:t>
            </w:r>
          </w:p>
        </w:tc>
      </w:tr>
      <w:tr>
        <w:trPr>
          <w:trHeight w:val="27"/>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consideration</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consideration in escrow</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66,269</w:t>
            </w:r>
          </w:p>
        </w:tc>
      </w:tr>
      <w:tr>
        <w:trPr>
          <w:trHeight w:val="27"/>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98,608</w:t>
            </w:r>
          </w:p>
        </w:tc>
      </w:tr>
      <w:tr>
        <w:trPr>
          <w:trHeight w:val="270"/>
        </w:trPr>
        <w:tc>
          <w:tcPr>
            <w:tcW w:w="8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 - current</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37"/>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191,931</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portion of Amelia Debt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of Amelia Debt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51,511</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liability, net of current portion</w:t>
            </w:r>
          </w:p>
        </w:tc>
        <w:tc>
          <w:tcPr>
            <w:tcW w:w="3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7"/>
        </w:trPr>
        <w:tc>
          <w:tcPr>
            <w:tcW w:w="8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188,533</w:t>
            </w:r>
          </w:p>
        </w:tc>
      </w:tr>
      <w:tr>
        <w:trPr>
          <w:trHeight w:val="250"/>
        </w:trPr>
        <w:tc>
          <w:tcPr>
            <w:tcW w:w="8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liabilities assumed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64"/>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95,210</w:t>
            </w:r>
          </w:p>
        </w:tc>
      </w:tr>
      <w:tr>
        <w:trPr>
          <w:trHeight w:val="20"/>
        </w:trPr>
        <w:tc>
          <w:tcPr>
            <w:tcW w:w="8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 opportunities and the cost savings from the planned integration of platform infrastructure, facilities, personnel, and systems. The transaction is considered a non-taxable business combination, and goodwill is not deductible for tax purposes.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the Company recorded a decrease of $0.5 million to the goodwill recognized. The measurement period adjustments were recorded in the condensed consolidated financial statements as of and for the nine months ended September 30, 2025 and were made to reflect facts and circumstances that existed as of the Amelia Acquisition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September 30,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8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80" w:type="dxa"/>
            <w:vAlign w:val="bottom"/>
          </w:tcPr>
          <w:p>
            <w:pPr>
              <w:spacing w:after="0"/>
              <w:rPr>
                <w:sz w:val="23"/>
                <w:szCs w:val="23"/>
                <w:color w:val="auto"/>
              </w:rPr>
            </w:pPr>
          </w:p>
        </w:tc>
        <w:tc>
          <w:tcPr>
            <w:tcW w:w="19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7"/>
        </w:trPr>
        <w:tc>
          <w:tcPr>
            <w:tcW w:w="67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98,900</w:t>
            </w:r>
          </w:p>
        </w:tc>
      </w:tr>
      <w:tr>
        <w:trPr>
          <w:trHeight w:val="243"/>
        </w:trPr>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3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7"/>
        </w:trPr>
        <w:tc>
          <w:tcPr>
            <w:tcW w:w="67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$6.7 million</w:t>
      </w:r>
      <w:r>
        <w:rPr>
          <w:rFonts w:ascii="Times New Roman" w:cs="Times New Roman" w:eastAsia="Times New Roman" w:hAnsi="Times New Roman"/>
          <w:sz w:val="18"/>
          <w:szCs w:val="18"/>
          <w:color w:val="232323"/>
        </w:rPr>
        <w:t xml:space="preserve"> in acquisition related expenses, of which less than </w:t>
      </w:r>
      <w:r>
        <w:rPr>
          <w:rFonts w:ascii="Times New Roman" w:cs="Times New Roman" w:eastAsia="Times New Roman" w:hAnsi="Times New Roman"/>
          <w:sz w:val="18"/>
          <w:szCs w:val="18"/>
          <w:color w:val="000000"/>
        </w:rPr>
        <w:t>$0.1 million and $0.9 million was</w:t>
      </w:r>
      <w:r>
        <w:rPr>
          <w:rFonts w:ascii="Times New Roman" w:cs="Times New Roman" w:eastAsia="Times New Roman" w:hAnsi="Times New Roman"/>
          <w:sz w:val="18"/>
          <w:szCs w:val="18"/>
          <w:color w:val="232323"/>
        </w:rPr>
        <w:t xml:space="preserve"> incurred during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2323"/>
        </w:rPr>
        <w:t xml:space="preserve"> </w:t>
      </w:r>
      <w:r>
        <w:rPr>
          <w:rFonts w:ascii="Times New Roman" w:cs="Times New Roman" w:eastAsia="Times New Roman" w:hAnsi="Times New Roman"/>
          <w:sz w:val="18"/>
          <w:szCs w:val="18"/>
          <w:color w:val="000000"/>
        </w:rPr>
        <w:t xml:space="preserve">months ended September 30, 2025, respectively, </w:t>
      </w:r>
      <w:r>
        <w:rPr>
          <w:rFonts w:ascii="Times New Roman" w:cs="Times New Roman" w:eastAsia="Times New Roman" w:hAnsi="Times New Roman"/>
          <w:sz w:val="18"/>
          <w:szCs w:val="18"/>
          <w:color w:val="232323"/>
        </w:rPr>
        <w:t>and recorded as general and administration expenses in its condensed consolidated statements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2323"/>
        </w:rPr>
        <w:t>operations and comprehensive l</w:t>
      </w:r>
      <w:r>
        <w:rPr>
          <w:rFonts w:ascii="Times New Roman" w:cs="Times New Roman" w:eastAsia="Times New Roman" w:hAnsi="Times New Roman"/>
          <w:sz w:val="18"/>
          <w:szCs w:val="18"/>
          <w:color w:val="000000"/>
        </w:rPr>
        <w:t>oss</w:t>
      </w:r>
      <w:r>
        <w:rPr>
          <w:rFonts w:ascii="Times New Roman" w:cs="Times New Roman" w:eastAsia="Times New Roman" w:hAnsi="Times New Roman"/>
          <w:sz w:val="18"/>
          <w:szCs w:val="18"/>
          <w:color w:val="232323"/>
        </w:rPr>
        <w:t xml:space="preserve">. The Company incurred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232323"/>
        </w:rPr>
        <w:t xml:space="preserve"> in acquisition related expenses, all of which </w:t>
      </w:r>
      <w:r>
        <w:rPr>
          <w:rFonts w:ascii="Times New Roman" w:cs="Times New Roman" w:eastAsia="Times New Roman" w:hAnsi="Times New Roman"/>
          <w:sz w:val="18"/>
          <w:szCs w:val="18"/>
          <w:color w:val="000000"/>
        </w:rPr>
        <w:t>was</w:t>
      </w:r>
      <w:r>
        <w:rPr>
          <w:rFonts w:ascii="Times New Roman" w:cs="Times New Roman" w:eastAsia="Times New Roman" w:hAnsi="Times New Roman"/>
          <w:sz w:val="18"/>
          <w:szCs w:val="18"/>
          <w:color w:val="232323"/>
        </w:rPr>
        <w:t xml:space="preserve"> incurred during the </w:t>
      </w:r>
      <w:r>
        <w:rPr>
          <w:rFonts w:ascii="Times New Roman" w:cs="Times New Roman" w:eastAsia="Times New Roman" w:hAnsi="Times New Roman"/>
          <w:sz w:val="18"/>
          <w:szCs w:val="18"/>
          <w:color w:val="000000"/>
        </w:rPr>
        <w:t>three months</w:t>
      </w:r>
      <w:r>
        <w:rPr>
          <w:rFonts w:ascii="Times New Roman" w:cs="Times New Roman" w:eastAsia="Times New Roman" w:hAnsi="Times New Roman"/>
          <w:sz w:val="18"/>
          <w:szCs w:val="18"/>
          <w:color w:val="232323"/>
        </w:rPr>
        <w:t xml:space="preserve"> </w:t>
      </w:r>
      <w:r>
        <w:rPr>
          <w:rFonts w:ascii="Times New Roman" w:cs="Times New Roman" w:eastAsia="Times New Roman" w:hAnsi="Times New Roman"/>
          <w:sz w:val="18"/>
          <w:szCs w:val="18"/>
          <w:color w:val="000000"/>
        </w:rPr>
        <w:t xml:space="preserve">ended September 30, 2024 </w:t>
      </w:r>
      <w:r>
        <w:rPr>
          <w:rFonts w:ascii="Times New Roman" w:cs="Times New Roman" w:eastAsia="Times New Roman" w:hAnsi="Times New Roman"/>
          <w:sz w:val="18"/>
          <w:szCs w:val="18"/>
          <w:color w:val="232323"/>
        </w:rPr>
        <w:t>and recorded as general and administration expenses in its condensed consolidated statements of operations and comprehensive</w:t>
      </w:r>
      <w:r>
        <w:rPr>
          <w:rFonts w:ascii="Times New Roman" w:cs="Times New Roman" w:eastAsia="Times New Roman" w:hAnsi="Times New Roman"/>
          <w:sz w:val="18"/>
          <w:szCs w:val="18"/>
          <w:color w:val="000000"/>
        </w:rPr>
        <w:t xml:space="preserve"> loss</w:t>
      </w:r>
      <w:r>
        <w:rPr>
          <w:rFonts w:ascii="Times New Roman" w:cs="Times New Roman" w:eastAsia="Times New Roman" w:hAnsi="Times New Roman"/>
          <w:sz w:val="18"/>
          <w:szCs w:val="18"/>
          <w:color w:val="232323"/>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Interactions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2025 (the “Interactions Acquisition Date”), the Company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preliminary purchase consideration was $76.1 million. The preliminary purchase consideration includes $19.4 million of cash paid to the selling shareholders. The Company also paid $4.1 million of cash for seller transaction expenses in connection with the closing of the Interactions Acquisition.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Interactions Acquisition, the Company paid the debt held by Interactions (the “Interactions Debt”) on the Interactions Acquisition Date in an aggregate principal amount of $41.5 million as part of the purchase consideration under the merger agreement.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specified future milestones in fiscal years 2026 and 2027 (the "Contingent Interactions Earnout Consideration).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Holdback</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adjustment holdback consideration of $1.0 million was recorded within other current liabilities at fair value as of the Interactions Acquisition Date (the "Interactions Adjustment Holdback Consideration") and is estimated to be paid to Interactions' former stockholders for the settlement of net working capital adjustments after sellers finish the review of the closing statement submitted by the acquirer within 120 days subsequent to the Interactions Acquisition Date.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indemnity holdback consideration of $0.2 million was recorded within other current liabilities, which was withheld for a period of 12 months subsequent to the Interactions Acquisition Date (the "Interactions Indemnity Holdback Consideration"). Payment will occur after the sellers complete their review of the closing statement which must be submitted by the acquirer within 120 days of the Interactions Acquisition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Interactions Earnout Consideration</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also agreed to pay up to $25.0 million in cash to the selling shareholders based on achievement of certain annual revenue targets in fiscal years 2025 and 2026 and renewal or extension of an existing contract with a specific customer on or before March 31, 2026 (the "Contingent Interactions Earnout Consideration"). The Company accounted for the Contingent Interactions Earnout Consideration as a liability within contingent acquisition liabilities on the Company's condensed consolidated balance sheets and will subsequently remeasure the liability at each reporting date with changes in fair value recognized as a component of operating expense in the Company’s condensed consolidated statement of operations and comprehensive loss. As of the Interactions Acquisition Date, the Contingent Interactions Earnout Consideration had an estimated fair value of $9.9 million. For the three months ended September 30, 2025, the Company recognized a loss of $0.3 million related to the Contingent Interactions Earnout Consideration, reflected in the change in fair value of contingent acquisition liabilities in the condensed consolidated statement of operations and comprehensive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As of September 30, 2025, the Company assessed the 2026 and 2027 revenue targets were probable of being met, and an existing contract with a specific customer was probable of being renewed or extended on or before March 31, 2026.</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16 to our unaudited condensed consolidated financial statements for more information on the fair value measurement of Interactions Holdback Amount and Contingent Interactions Earnout Consideration.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preliminary purchase price allocation was performed as of September 3, 2025 and allocated to the assets acquired and liabilities assumed based on their respective fair values,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8"/>
        </w:trPr>
        <w:tc>
          <w:tcPr>
            <w:tcW w:w="8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 3, 2025</w:t>
            </w:r>
          </w:p>
        </w:tc>
      </w:tr>
      <w:tr>
        <w:trPr>
          <w:trHeight w:val="27"/>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65,033</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holdback consideration</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37"/>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price</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76,083</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 and unbilled receivable, current, net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assets and unbilled receivable, non-current, net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37"/>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69,300</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 liability, current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8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43"/>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8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w:t>
            </w:r>
          </w:p>
        </w:tc>
      </w:tr>
      <w:tr>
        <w:trPr>
          <w:trHeight w:val="250"/>
        </w:trPr>
        <w:tc>
          <w:tcPr>
            <w:tcW w:w="89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liabilities assumed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55,016</w:t>
            </w:r>
          </w:p>
        </w:tc>
      </w:tr>
      <w:tr>
        <w:trPr>
          <w:trHeight w:val="26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on acquisition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21,067</w:t>
            </w:r>
          </w:p>
        </w:tc>
      </w:tr>
      <w:tr>
        <w:trPr>
          <w:trHeight w:val="21"/>
        </w:trPr>
        <w:tc>
          <w:tcPr>
            <w:tcW w:w="8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recognized includes synergies expected to be achieved from the operations of the combined company and intangible assets that do not qualify for separate recognition. Expected synergies include both increased revenue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opportunities and the cost savings from the planned integration of platform infrastructure, facilities, personnel, and systems. The transaction is considered a non-taxable business combination, and goodwill is not deductible for tax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accounting is not yet complete as of September 30,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preliminary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20"/>
                <w:szCs w:val="20"/>
                <w:color w:val="auto"/>
              </w:rPr>
            </w:pPr>
          </w:p>
        </w:tc>
        <w:tc>
          <w:tcPr>
            <w:tcW w:w="2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3"/>
                <w:szCs w:val="23"/>
                <w:color w:val="auto"/>
              </w:rPr>
            </w:pPr>
          </w:p>
        </w:tc>
        <w:tc>
          <w:tcPr>
            <w:tcW w:w="21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7"/>
        </w:trPr>
        <w:tc>
          <w:tcPr>
            <w:tcW w:w="67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2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7"/>
        </w:trPr>
        <w:tc>
          <w:tcPr>
            <w:tcW w:w="67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7"/>
        </w:trPr>
        <w:tc>
          <w:tcPr>
            <w:tcW w:w="6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2323"/>
        </w:rPr>
        <w:t>The fair values of all intangible assets were estimated using the income approach. Under the income approach, an intangible asset’s fair value is equal to the present value of future economic benefits to be derived from ownership of the asset. Customer relationships was valued under the multi-period excess earnings method, which assumes that the value of intangible assets is equal to the present value of the incremental after-tax cash flows attributable specifically to the customer relationships. Developed technology and trade names were valued under the relief from royalty method, which assumes value to the extent that the acquired company is relieved of the obligation to pay royalties for the benefits received from them. The present value of projected cash flows included significant judgment and assumptions regarding (a) the projected revenues, attrition rate, and the discount rate for the certain customer contracts and related relationships, (b) the projected revenues, projected expenses, migration curve, contributory asset charges, and the discount rate for the developed technology, (c) the projected revenues, royalty rate, and the discount rate for the trade name.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2323"/>
        </w:rPr>
        <w:t xml:space="preserve">The Company incurred </w:t>
      </w:r>
      <w:r>
        <w:rPr>
          <w:rFonts w:ascii="Times New Roman" w:cs="Times New Roman" w:eastAsia="Times New Roman" w:hAnsi="Times New Roman"/>
          <w:sz w:val="18"/>
          <w:szCs w:val="18"/>
          <w:color w:val="000000"/>
        </w:rPr>
        <w:t>$3.8 million</w:t>
      </w:r>
      <w:r>
        <w:rPr>
          <w:rFonts w:ascii="Times New Roman" w:cs="Times New Roman" w:eastAsia="Times New Roman" w:hAnsi="Times New Roman"/>
          <w:sz w:val="18"/>
          <w:szCs w:val="18"/>
          <w:color w:val="232323"/>
        </w:rPr>
        <w:t xml:space="preserve"> in acquisition related expenses during the </w:t>
      </w:r>
      <w:r>
        <w:rPr>
          <w:rFonts w:ascii="Times New Roman" w:cs="Times New Roman" w:eastAsia="Times New Roman" w:hAnsi="Times New Roman"/>
          <w:sz w:val="18"/>
          <w:szCs w:val="18"/>
          <w:color w:val="000000"/>
        </w:rPr>
        <w:t>three and nine months ended September 30, 2025</w:t>
      </w:r>
      <w:r>
        <w:rPr>
          <w:rFonts w:ascii="Times New Roman" w:cs="Times New Roman" w:eastAsia="Times New Roman" w:hAnsi="Times New Roman"/>
          <w:sz w:val="18"/>
          <w:szCs w:val="18"/>
          <w:color w:val="232323"/>
        </w:rPr>
        <w:t xml:space="preserve"> and recorded as general and administration expenses in its condensed consolidated statements of operations and comprehensive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2323"/>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Acquirees financial information and unaudited pro forma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results of SYNQ3, Amelia, and Interactions are included in these unaudited condensed consolidated financial statements from the date of the acquisition. SYNQ3 contributed revenue of $2.8 million and $8.9 million, and net loss of $1.9 million and $5.2 million to the Company for the three and nine months ended September 30, 2024, respectively. Amelia contributed revenue of $15.6 million and net loss of $0.4 million to the Company for the three months ended September 30, 2024. Interactions contributed revenue of $5.5 million, and net income of $0.3 million to the Company for the three and nine months ended September 30, 2025.</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SYNQ3 and Amelia acquisitions were completed on January 1, 2023, and the Interactions acquisition was completed on January 1, 2024, the beginning of the comparable prior annual reporting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6"/>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6"/>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50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7"/>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167,829</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(116,819)</w:t>
            </w: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includes unaudited pro forma financial information that presents combined results of the Company as if the Interactions acquisition was completed on January 1, 2024, the beginning of the comparable prior annual reporting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1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00" w:type="dxa"/>
            <w:vAlign w:val="bottom"/>
          </w:tcPr>
          <w:p>
            <w:pPr>
              <w:spacing w:after="0"/>
              <w:rPr>
                <w:sz w:val="20"/>
                <w:szCs w:val="20"/>
                <w:color w:val="auto"/>
              </w:rPr>
            </w:pPr>
          </w:p>
        </w:tc>
        <w:tc>
          <w:tcPr>
            <w:tcW w:w="2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500" w:type="dxa"/>
            <w:vAlign w:val="bottom"/>
          </w:tcPr>
          <w:p>
            <w:pPr>
              <w:spacing w:after="0"/>
              <w:rPr>
                <w:sz w:val="20"/>
                <w:szCs w:val="20"/>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7"/>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156,642</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SoundHound AI,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(104,443)</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(47,772)</w:t>
            </w:r>
          </w:p>
        </w:tc>
      </w:tr>
    </w:tbl>
    <w:p>
      <w:pPr>
        <w:spacing w:after="0" w:line="3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unaudited pro forma financial information includes the combined historical operating results of the Company, SYNQ3, Amelia, and Interactions prior to the acquisition, with adjustments to give effect for the acquisitions and related events. Pro forma adjustments have been made to reflect the incremental intangible asset amortization to be incurred based on the fair values and useful lives of each identifiable intangible asset, incremental stock-based compensation related to inducement equity awards, incremental transaction costs related to the acquisitions, adjustments to interest expense related to previously outstanding debt held by Amelia and Interactions, elimination of profit or loss from stock warrants issued by Interactions, reduction of interest income to reflect reduced average cash and equivalents after funding the Acquisitions with cash, removal of earnings attributable to non-controlling interest due to changes in Interactions ownership structure, and the related tax effects of pro forma adjustments for the period.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 Given the paydown of Amelia Debt occurred in December 2024, which was shortly after the acquisition dates, the interest expenses from Amelia Debt and Interaction Debt were excluded from the unaudited pro forma financial information. The unaudited pro forma results are based on the preliminary purchase price allocation and will be updated to reflect the final amounts as the allocation is finalized during the measurement period.</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combination included in the reported pro forma revenue and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2024, the Company completed an immaterial acquisition for total purchase consideration of $1.0 million. As part of the acquisition, the Company acquired net assets of $2.2 million, including intangible assets of $2.6 million, and recognized a gain on bargain purchase of $1.2 million within other income, net in the condensed consolidated statements of operations and comprehensive loss during the quarter of the acquisition, resulting from a favorable fair value of identifiable net assets acquired at the date of acquisition as compared with the Company’s purchase price. The Company was able to negotiate a bargain purchase price as a result of the recurring losses and pre-filing bankruptcy status of the selling entity.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March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The following table summarizes the fair values of the identifiable intangible assets acquired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2323"/>
        </w:rPr>
        <w: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4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8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43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380" w:type="dxa"/>
            <w:vAlign w:val="bottom"/>
          </w:tcPr>
          <w:p>
            <w:pPr>
              <w:spacing w:after="0"/>
              <w:rPr>
                <w:sz w:val="23"/>
                <w:szCs w:val="23"/>
                <w:color w:val="auto"/>
              </w:rPr>
            </w:pPr>
          </w:p>
        </w:tc>
        <w:tc>
          <w:tcPr>
            <w:tcW w:w="19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acquisition</w:t>
            </w:r>
          </w:p>
        </w:tc>
      </w:tr>
      <w:tr>
        <w:trPr>
          <w:trHeight w:val="27"/>
        </w:trPr>
        <w:tc>
          <w:tcPr>
            <w:tcW w:w="4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7"/>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4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4560" w:type="dxa"/>
            <w:vAlign w:val="bottom"/>
            <w:tcBorders>
              <w:top w:val="single" w:sz="8" w:color="auto"/>
            </w:tcBorders>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7"/>
        </w:trPr>
        <w:tc>
          <w:tcPr>
            <w:tcW w:w="4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of the acquired entity are included in these unaudited condensed consolidated financial statements from the date of the acquisition, and are immaterial. The Company has not separately presented unaudited pro forma results of operations reflecting the acquisition as the impacts were not material to the condensed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with customers may contain multiple obligations. Individual services are accounted for separately if they are distinct — that is, if a customer can benefit from it on its own or with other resources that are readily available to the customer and if the service is separately identifiable from other items in the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the following performance obligations: (1) hosted services, (2) professional services, (3) monetization, and (4) licensing. Revenues are reported net of applicable sales and use taxes that are passed through to customers. The Company applies significant judgment in identifying and evaluating any terms and conditions in contracts which impact revenue recognition.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performance obligations in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Hosted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Hosted services, along with non-distinct customization, integration, maintenance and support professional services, allow customers to access the Houndify, Amelia Software Platform, and Virtual Assistance applications over the contract period without taking possession of the software.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Hosted services may include implementation services to develop and/or customize the applications to each customer’s specification. Judgment is required to determine whether these professional services are distinct from the hosted services. In making this determination, factors such as the degree of integration, the significance of enhancement to existing functionality, the customers’ ability to start using the software prior to customization, the evaluation as to whether the services extend the economic life of the application, and the availability of these services from other independent vendors are considered.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instances where the Company concluded that the implementation services are not distinct performance obligations, revenues for these activities are recognized over the period which the hosted services are expected to be provided and is included within hosted services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revenues derived as a result of the SYNQ3 Acquisition, and substantial revenues derived as a result of the Amelia Acquisition and Interactions Acquisition are categorized as hosted services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Professional Services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Revenues from distinct professional services, such as non-integrated development services and other professional services, are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w:t>
      </w:r>
    </w:p>
    <w:p>
      <w:pPr>
        <w:spacing w:after="0" w:line="1" w:lineRule="exact"/>
        <w:rPr>
          <w:sz w:val="20"/>
          <w:szCs w:val="20"/>
          <w:color w:val="auto"/>
        </w:rPr>
      </w:pPr>
    </w:p>
    <w:p>
      <w:pPr>
        <w:jc w:val="both"/>
        <w:ind w:firstLine="8"/>
        <w:spacing w:after="0" w:line="253" w:lineRule="auto"/>
        <w:tabs>
          <w:tab w:leader="none" w:pos="2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revenues are determined to be recognized at a point in time.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distinct professional services determined to be recognized over-time, measuring the stage of completion of a project requires significant judgment and estimates and is based on either input or output measures. During the three and nine months ended September 30, 2025, $3.7 million and $10.0 million, respectively, of professional service revenue was recognized over time, with the remaining $0.1 million and $0.4 million, respectively, recognized at a point in time when the performance obligation was fulfilled, and control of the service was transferred to the customer. During the three and nine months ended September 30, 2024, $2.8 million and $5.7 million, respectively, of professional service revenue was recognized over time, and there was immaterial professional service revenue recognized at a point in time when the performance obligation was fulfilled, and control of the service was transferred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Monetization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Monetization revenues are primarily derived from advertising payments associated with ad impressions placed on the SoundHound music identification application.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licenses Amelia’s software solutions, Virtual Assistance applications, and other voice solutions that are embedded in customer’s products or services. Licensing revenues are a distinct performance obligation that is recognized when control is transferred to the customer, which is at a point in time for non-customized solutions. For licenses with non-distinct customized solutions, revenues are recognized over time based on the progress towards completion of the customized solution. Revenues generated from licensing are on royalty arrangements with a per unit pricing or on fixed considerations. The Company records licensing revenue relating to usage-based royalty arrangements in the same period in which the underlying usage occurs. Licensing revenue on fixed considerations including fixed fee and a minimum guarantee from royalty arrangements are recognized when the Company grants the customer the right to use and benefit from the license at the start of the licensing period. Licenses may include post-contract support, which is a distinct performance obligation and revenue from post-contract support is recognized ratably over the licensing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supplying each performance obligation;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groupings;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objectives and pricing practices, such as contractually stated prices, discounts offered, and applicable price lists.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 When such observable data is not available because there is a limited number of transactions or prices are highly variable, the Company will estimate the standalone selling price using the residual approach.</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long-term contracts generally do not have significant financing components, as there is normally payment and performance in each year of the contract. The Company has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If there is a period of one year or longer between the transfer of promised services and payment, it is generally for reasons other than financing, thus, the Company does not adjust the transaction price for financing components. In the limited cases where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revenue under each performance obligation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disaggregated revenue by geographic location*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r>
      <w:tr>
        <w:trPr>
          <w:trHeight w:val="26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by geographic region is allocated to individual countries based on the billing location of the customer. The end customer location may be different than the customer's billing location. The ‘Other’ category is composed of geographic regions with sales less than 10% of the consolidated revenue.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disaggregated revenue by recognition pattern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disaggregates revenue by service type. This disaggregation consists of Product Royalties, Service Subscriptions and Monetization. Product Royalties revenues are derived from Houndified Products, which are voice-enabled tangible products across the automotive and consumer electronics industries. Revenues from Product Royalties are based on volume, usage or life of the products, which are driven by number of devices, users or unit of time. Service Subscription revenues are generated through Houndified Services, Amelia services, and Virtual Assistance applications, which include customer services, food ordering, content, appointments and voice commerce, autonomous business workflows, and IT systems analysis. Subscription revenues are derived from monthly fees based on fixed fees, usage-based revenue, revenue per query or revenue per user. Houndified Products, Houndified Services, Amelia services, and Virtual Assistance applications may include professional services that develop and customize the Houndify platform, Amelia Software Platform, and Virtual Assistance applications to fit customers’ specific needs, and any post-contract support for on-premise solutions. Revenues from Monetization are generated from the SoundHound music identification app and are primarily attributable to user ad impression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disaggregated revenue by service type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6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Balances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its obligations under a contract with a customer by providing access to software, licensing right to use software, or providing services in exchange for consideration from the customer. The timing of the Company’s performance often differs from the timing of the customer’s payment, which results in the recognition of a receivable, a contract asset or deferred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2024, accounts receivable, net of allowances, was $4.1 million, contract assets were $28.3 million and deferred revenue was $9.2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unbilled accounts receivable, net as of September 30, 2025 and December 31, 2024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5"/>
        </w:trPr>
        <w:tc>
          <w:tcPr>
            <w:tcW w:w="35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current</w:t>
            </w:r>
          </w:p>
        </w:tc>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7"/>
        </w:trPr>
        <w:tc>
          <w:tcPr>
            <w:tcW w:w="3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current</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 receivables - non-current</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35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 non-current</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and unbilled receivables, non-current, net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r>
      <w:tr>
        <w:trPr>
          <w:trHeight w:val="27"/>
        </w:trPr>
        <w:tc>
          <w:tcPr>
            <w:tcW w:w="352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the Company's unbilled accounts receivable and contract assets during the current period was primarily the result of customer invoicing and the performance of the Company's contracts, respectively. The Company has not recorded any specific asset impairment charges related to contract assets during the periods presented in the condensed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recognized included in the balances of the deferred revenue at the beginning of the reporting period were $11.1 million and $21.6 million, respectively, for the three and nine months ended September 30, 2025 as compared to $1.2 million and $4.0 million for the three and nine months ended September 30,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the aggregate amount of the transaction price allocated to the remaining performance obligations related to customer contracts that were unsatisfied or partially unsatisfied was $70.6 million. Given the applicable contract terms, $41.3 million is expected to be recognized as revenue within one year, $27.6 million is expected to be recognized between 2 to 5 years and the remainder of $1.7 million is expected to be recognized after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carrying value of goodwill including the effect of measurement period adjustments for the nine months ended September 30, 2025,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101,704</w:t>
            </w:r>
          </w:p>
        </w:tc>
      </w:tr>
      <w:tr>
        <w:trPr>
          <w:trHeight w:val="243"/>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9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Interactions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21,067</w:t>
            </w:r>
          </w:p>
        </w:tc>
      </w:tr>
      <w:tr>
        <w:trPr>
          <w:trHeight w:val="26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122,277</w:t>
            </w:r>
          </w:p>
        </w:tc>
      </w:tr>
      <w:tr>
        <w:trPr>
          <w:trHeight w:val="20"/>
        </w:trPr>
        <w:tc>
          <w:tcPr>
            <w:tcW w:w="9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applied the acquisition method of accounting in accordance with ASC 805 and recognized assets acquired and liabilities assumed of SYNQ3, Amelia and Interactions at their fair value as of the date of acquisition, with the excess purchase consideration recorded to goodwill. As the Company finalizes the estimation of the fair value of the assets acquired and liabilities assumed, additional adjustments to the amount of goodwill may be necessary. Refer to Note 3 for further information on the measurement period adjustments of Amelia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value, accumulated amortization and net carrying value of intangible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r>
      <w:tr>
        <w:trPr>
          <w:trHeight w:val="220"/>
        </w:trPr>
        <w:tc>
          <w:tcPr>
            <w:tcW w:w="2580" w:type="dxa"/>
            <w:vAlign w:val="bottom"/>
          </w:tcPr>
          <w:p>
            <w:pPr>
              <w:spacing w:after="0"/>
              <w:rPr>
                <w:sz w:val="19"/>
                <w:szCs w:val="19"/>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2580" w:type="dxa"/>
            <w:vAlign w:val="bottom"/>
          </w:tcPr>
          <w:p>
            <w:pPr>
              <w:spacing w:after="0"/>
              <w:rPr>
                <w:sz w:val="20"/>
                <w:szCs w:val="20"/>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4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97,491</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3.0 - 7.0</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101,060</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86,823</w:t>
            </w:r>
          </w:p>
        </w:tc>
      </w:tr>
      <w:tr>
        <w:trPr>
          <w:trHeight w:val="27"/>
        </w:trPr>
        <w:tc>
          <w:tcPr>
            <w:tcW w:w="2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2.0 - 5.0</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191,066</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spacing w:after="0"/>
              <w:rPr>
                <w:sz w:val="22"/>
                <w:szCs w:val="22"/>
                <w:color w:val="auto"/>
              </w:rPr>
            </w:pPr>
          </w:p>
        </w:tc>
      </w:tr>
      <w:tr>
        <w:trPr>
          <w:trHeight w:val="220"/>
        </w:trPr>
        <w:tc>
          <w:tcPr>
            <w:tcW w:w="258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8"/>
        </w:trPr>
        <w:tc>
          <w:tcPr>
            <w:tcW w:w="258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0"/>
                <w:szCs w:val="20"/>
                <w:color w:val="auto"/>
              </w:rPr>
            </w:pP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Carrying Value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4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97,944</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3.0 - 7.0</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74,360</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r>
      <w:tr>
        <w:trPr>
          <w:trHeight w:val="27"/>
        </w:trPr>
        <w:tc>
          <w:tcPr>
            <w:tcW w:w="2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2.0 - 5.0</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w:t>
            </w:r>
          </w:p>
        </w:tc>
      </w:tr>
      <w:tr>
        <w:trPr>
          <w:trHeight w:val="24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Conversation data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2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8"/>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174,943</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of intangible assets was $8.3 million and $23.4 million for the three and nine months ended September 30, 2025, respectively. These expenses were recorded as $4.3 million and $12.5 million, respectively, within cost of revenues for the three and nine months ended September 30, 2025. Amortization expense of intangible assets was $5.1 million and $7.2 million for the three and nine months ended September 30, 2024, respectively. These expenses were recorded as $2.7 million and $3.6 million, respectively, within cost of revenues for the three and nine months ended September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held as of September 30, 2025,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6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6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0" w:type="dxa"/>
            <w:vAlign w:val="bottom"/>
          </w:tcPr>
          <w:p>
            <w:pPr>
              <w:spacing w:after="0"/>
              <w:rPr>
                <w:sz w:val="1"/>
                <w:szCs w:val="1"/>
                <w:color w:val="auto"/>
              </w:rPr>
            </w:pPr>
          </w:p>
        </w:tc>
      </w:tr>
      <w:tr>
        <w:trPr>
          <w:trHeight w:val="24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6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6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33,138</w:t>
            </w:r>
          </w:p>
        </w:tc>
        <w:tc>
          <w:tcPr>
            <w:tcW w:w="0" w:type="dxa"/>
            <w:vAlign w:val="bottom"/>
          </w:tcPr>
          <w:p>
            <w:pPr>
              <w:spacing w:after="0"/>
              <w:rPr>
                <w:sz w:val="1"/>
                <w:szCs w:val="1"/>
                <w:color w:val="auto"/>
              </w:rPr>
            </w:pPr>
          </w:p>
        </w:tc>
      </w:tr>
      <w:tr>
        <w:trPr>
          <w:trHeight w:val="243"/>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6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6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0" w:type="dxa"/>
            <w:vAlign w:val="bottom"/>
          </w:tcPr>
          <w:p>
            <w:pPr>
              <w:spacing w:after="0"/>
              <w:rPr>
                <w:sz w:val="1"/>
                <w:szCs w:val="1"/>
                <w:color w:val="auto"/>
              </w:rPr>
            </w:pPr>
          </w:p>
        </w:tc>
      </w:tr>
      <w:tr>
        <w:trPr>
          <w:trHeight w:val="26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191,066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400" w:type="dxa"/>
            <w:vAlign w:val="bottom"/>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0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64"/>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payables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litigation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88"/>
        </w:trPr>
        <w:tc>
          <w:tcPr>
            <w:tcW w:w="68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Aggregate non-cancelable future minimum payments were as follows as of September 30, 2025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The Company's assessment may change over time as individual proceedings or claims progress.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SYNQ3 v. TEBO</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SYNQ3 Acquisition, SYNQ3 filed a litigation against its landlord, TEBO in the United States District Court of Colorado, and TEBO counterclaimed in May 2022. On June 2, 2022, the District Court entered a judgment that was in favor of SYNQ3. TEBO filed the notice of appeal in July, 2023. On June 27, 2024, the Colorado Court of Appeals reversed the judgment and remanded the case to the District Court to enter judgment in favor of TEBO on both SYNQ3’s claim and TEBO’s counterclaim and to conduct further proceedings as are necessary to determine the damages, attorney fees and costs, if any, to be awarded to TEBO. On January 15, 2025, the Company entered a Settlement Agreement with TEBO. The Settlement Agreement requires SYNQ3 to pay $1.8 million to TEBO in January 2025 to resolve all matters related to the litigation and dispute. Therefore, the Company paid $1.8 million</w:t>
      </w:r>
    </w:p>
    <w:p>
      <w:pPr>
        <w:spacing w:after="0" w:line="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to TEBO under the Settlement Agreement during the first quarter of 2025, which was offset by the Deferred Consideration and Contingent </w:t>
      </w:r>
      <w:r>
        <w:rPr>
          <w:rFonts w:ascii="Times New Roman" w:cs="Times New Roman" w:eastAsia="Times New Roman" w:hAnsi="Times New Roman"/>
          <w:sz w:val="21"/>
          <w:szCs w:val="21"/>
          <w:color w:val="auto"/>
        </w:rPr>
        <w:t>SYNQ3</w:t>
      </w:r>
      <w:r>
        <w:rPr>
          <w:rFonts w:ascii="Times New Roman" w:cs="Times New Roman" w:eastAsia="Times New Roman" w:hAnsi="Times New Roman"/>
          <w:sz w:val="18"/>
          <w:szCs w:val="18"/>
          <w:color w:val="auto"/>
        </w:rPr>
        <w:t xml:space="preserve"> Holdback Consideration under the SYNQ3 Acquisition and was withheld from the sellers when the </w:t>
      </w:r>
      <w:r>
        <w:rPr>
          <w:rFonts w:ascii="Times New Roman" w:cs="Times New Roman" w:eastAsia="Times New Roman" w:hAnsi="Times New Roman"/>
          <w:sz w:val="21"/>
          <w:szCs w:val="21"/>
          <w:color w:val="auto"/>
        </w:rPr>
        <w:t>SYNQ3</w:t>
      </w:r>
      <w:r>
        <w:rPr>
          <w:rFonts w:ascii="Times New Roman" w:cs="Times New Roman" w:eastAsia="Times New Roman" w:hAnsi="Times New Roman"/>
          <w:sz w:val="18"/>
          <w:szCs w:val="18"/>
          <w:color w:val="auto"/>
        </w:rPr>
        <w:t xml:space="preserve"> Holdback Amount was settled in April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Assets, LLC v. SoundHound</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21, 2024, VB Assets, LLC, a non-practicing entity, filed a complaint against the Company in the United States District Court for the District of Delaware alleging patent infringement under 35 U.S.C. § 271. The case is captioned as VB Assets, LLC v. SoundHound AI, Inc., Case No. 1:24-cv-1279-MN. In its complaint, VB Assets, LLC alleges the Company is infringing U.S. Patent Nos. 8,073,681, 11,222,626, 8,886,536, 9,269,097, 9,502,025, and 11,087,385. VB Assets, LLC subsequently amended its complaint adding allegations that the Company is also infringing U.S. Patent Nos. 10,755,699, 10,297,249, and 7,818,176. At the appropriate time, the Company will deny all infringement allegations and allege that VB Assets, LLC patents asserted against the Company are invalid and/or unenforceable. The Company intends to vigorously defend itself in all respects. As of September 30, 2025, no determination can be made as to the likelihood of a favorable or unfavorable outcome. In accordance with ASC 450, Contingencies, no reasonably possible loss or range of loss can be estimated and accrued as of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2025, a class action complaint was filed in the United States District Court for the Northern District of California, captioned Liles v. SoundHound AI, Inc., Case No. 3:25-cv-02915-RFL. The complaint names as defendants the Company, its CEO Keyvan Mohajer, and its CFO Nitesh Sharan. The complaint asserts, among other things, claims under Sections 10(b) and 20(a) of the Securities Exchange Act of 1934, as amended. Plaintiff seeks to represent a putative class of shareholders who purchased or otherwise acquired SoundHound securities between March 1, 2024 and March 11, 2025, both dates inclusive. On July 14, 2025, Judge Rita Lin appointed the leading plaintiff in the litigation. On July 25, 2025, a new Scheduling Order was entered. On October 1, 2025, the Lead Plaintiff served their amended complaint. The Company expects to file a motion to dismiss on or before December 12, 2025. The Company intends to vigorously defend the claims and believes the complaint lacks merit. As of September 30, 2025, no determination can be made as to the likelihood of a favorable or unfavorable outcome. In accordance with ASC 450, Contingencies, no reasonably possible loss or range of loss can be estimated and accrued as of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8, 2025, a purported shareholder derivative complaint was filed in the United States District Court for the Northern District of California, captioned Bishop v. Mohajer, Case No. 3:25-cv-03172-JD. The complaint purports to assert claims on behalf of the Company against its directors, CEO, and CFO for breach of fiduciary duty, aiding and abetting breach of fiduciary duty, unjust enrichment, waste of corporate assets, and for contribution against Mr. Mohajer and Mr. Sharan under Sections 10(b) and 21D of the Securities Exchange Act of 1934. On April 16, 2025, a similar purported shareholder derivative complaint was filed against the same defendants in the same forum, captioned Roy v. Mohajer, Case No. 5:25-cv-03363-NC. That complaint purports to assert claims on behalf of the Company against its directors, CEO, and CFO for breach of fiduciary duty, unjust enrichment, abuse of control, gross mismanagement, waste of corporate assets, and for contribution against Mr. Mohajer and Mr. Sharan under Sections 10(b) and 21D of the Securities Exchange Act of 1934. All derivative actions have been pending resolution of the Liles v. SoundHound AI et al securities class action litigation. As of September 30, 2025, no determination can be made as to the likelihood of a favorable or unfavorable outcome. In accordance with ASC 450, Contingencies, no reasonably possible loss or range of loss can be estimated and accrued as of September 30,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Opportunity Action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6, 2025, a stockholder of the Company filed a putative class action (the “Corporate Opportunity Action”), alleging inter alia that Article XII, Section 12.1 of the Company’s Certificate of Incorporation violates Delaware law. The Company and its directors denied any and all wrongdoing alleged in the Corporate Opportunity Action but, to avoid the cost and distraction of litigation, the Board determined that it was advisable and in the best interests of the Company and its stockholders to revise Article XII of the Certificate of Incorporation (the “Opportunity Waiver Limitation Amendment”) and to submit the Opportunity Waiver Limitation Amendment to Company’s stockholders for approval. The Corporate Opportunity Action plaintiff agreed that the proposed language mooted his claims. The Company's stockholders approved the Opportunity Waiver Limitation Amendment on May 23, 2025. The Company reached an agreement whereby, without admitting any fault or wrongdoing, the Company agreed to pay an immaterial amount of attorneys’ fees and expenses to the plaintiff’s counsel as the mootness fee to resolve this matter. On July 24, 2025, the Court entered an order closing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case, subject to the Company filing an affidavit with the Court confirming compliance with the order. In entering the order, the Court did not review, and did not pass judgment on, the payment of the mootness fee.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continues to analyze potential sales tax exposure using a state-by-state assessment. In accordance with ASC 450, Contingencies, the Company estimated and recorded a liability of $4.1 million as of September 30, 2025 and $3.1 million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(as defined in Note 9), the Company issued warrants to purchase up to 3,301,536 shares of the Company’s Class A Common Stock to the lenders (the “Term Loan Warrants”). The Term Loan Warrants have a per share exercise price of $2.59 and may be exercised, including on a cashless basis, by the holder at any time prior to the 10-year anniversary of the issue date. The Term Loan Warrants will be automatically cashless exercised immediately prior to a change in control of the Company. The Term Loan Warrants are indexed to the Company's stock and were classified as an equity instrument. On the Term Loan Closing Date, this resulted in the Company allocating the gross proceeds and issuance costs between the Term Loan and the Term Loan Warrants based on their relative fair values, resulting in the initial recognition of the Term Loan Warrant at $4.1 million as additional paid-in-capital on the condensed consolidated balance sheets.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2024, the Company issued 2,269,982 shares of the Company's Class A Common Stock resulting from the cashless exercise in full of the Term Loan Warrants that were outstanding. As of December 31, 2024, all of the Term Loan Warrants had been exercised and no Term Loan Warrants are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Warrants Related to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2022 (the "Closing"),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as well as the other transactions contemplated by the Merger Agreement (the merger and such other transactions collectively referred to the “ATSP Merger”).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ATSP Merger, ATSP issued public warrants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closing of the ATSP Merger, the Company’s Public Warrants continue to be classified as equity instruments, as they are indexed to the Company’s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ATSP Merger, ATSP issued private warrants ("Private Warrants"). The Private Warrants were initially issued in the same form as the Public Warrants with the exception that the Private Warrants: (i) would not be redeemable by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were initially classified as derivative liability instruments as they met the definition of a derivative and were not considered indexed in the Company’s own stock as the settlement value could be dependent on who held the Private Warrants at the time of exercise. Upon the Closing of the ATSP Merger, the Company modified its Private Warrants to be identical to its Public Warrants. Therefore, the Private Warrants met requirements for classification as equity instruments, as they are indexed to the Company’s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there were 3,661,465 and 3,663,955 Public Warrants and Private Warrants issued and outstanding, respectively. During the three and nine months ended September 30, 2025, the Company issued 1,380 and 2,490 shares, respectively, of the Company's Class A Common Stock resulting from the exercise of Public Warrants and Private Warrants that were outstanding and raised less than $0.1 million in cash proceeds. There were no common stock warrant exercises during the three and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2023 (the “Term Loan Closing Date”), the Company entered into a Senior Secured Term Loan Credit Agreement (the “Credit Agreement”). The Credit Agreement provides for a term loan facility in an aggregate principal amount of up to $100.0 million (the “Term Loan”). The Credit Agreement also permits the Company to request additional commitments of up to $25.0 million in the aggregate, with funding of such commitments in the sole discretion of the lenders under certain circumstances, which will be subject to the same terms as the Term Loan if funded. On the Term Loan closing date, the Company also entered into Guarantee and Collateral Agreement. In addition, the Company is obligated to pay incremental lender fees (the "Lender Fees"), beginning on the Term Loan closing date, initially at the rate of 3.50% of the principal amount of the Term Loans for the first 18 months paid semi-annually to provide a collateral protection insurance policy on behalf of the lenders. Such rate for the Lender Fees will decrease to 2.50% after the 18-month anniversary of the Term Loan Closing Date. As the lenders are the sole beneficiary of the insurance policy, the Lender Fees are deemed to be additional fees payable to the Lenders and is therefore being recognized as interest expense over the term of the Term Loan based on effective interest method.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proceeds from the Term Loan to (i) repay outstanding amounts equal to approximately $30.0 million under the Company’s existing loan facilities, (ii) fund an escrow account on the Term Loan Closing Date in the name of the Agent for an amount equal to the first four interest payments,</w:t>
      </w:r>
    </w:p>
    <w:p>
      <w:pPr>
        <w:ind w:firstLine="8"/>
        <w:spacing w:after="0" w:line="260"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Lender Fees, together with related taxes, with the remaining proceeds to be used to fund growth investments and for general corporate purposes as permitted under the Credit Agreement.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Term SOFR published by CME Group Benchmark Administration Limited for a one-month interest period plus 0.15% or (ii) the alternate base rate (“ABR”), which is a per annum rate equal to the greatest of (a) the Prime Rate (as defined in the Credit Agreement), (b) the NYFRB Rate (as defined in the Credit Agreement) plus 0.50% and (c) the Term SOFR plus 1.00%. The applicable margin under the Credit Agreement is 8.50% per annum with respect to SOFR loans, and 7.50% per annum with respect to ABR loans. As of June 30, 2024, the contractual interest rate was approximately 14.0%. The Company was amortizing the discounts on an effective interest basis over the period from issuance through April 14, 2027 (the “Maturity Date”). The effective interest rate was 25.18% for the quarter ended June 30, 2024. The Company incurred zero and $6.0 million, respectively, in stated interest in the condensed consolidated statements of operations and comprehensive loss for the three and nine months ended September 30, 2024, and paid zero and $3.5 million for the respective periods. During the three and nine months ended September 30, 2024, the Company recorded zero and $1.5 million, respectively, in interest expense related to the debt discount.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7, 2024, the Company entered into a letter agreement (the “Payoff Letter”) to prepay in full all indebtedness and other amounts outstanding and owing under the Credit Agreement. In connection with the Term Loan prepayment, the Company paid a total of $105.6 million on June 7, 2024, which consisted of (i) the remaining principal amount outstanding of $100.0 million, (ii) a prepayment premium of $5.0 million, (iii) transaction expenses of $0.6 million, resulting in a loss on debt extinguishment of $15.6 million. Accordingly, the accrued and unpaid interest of $2.6 million was waived under the Payoff Letter.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Amelia Debt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Amelia Acquisition, the Company assumed the amended senior secured term loan facility from Amelia in an aggregate principal amount of $121.5 million, which was issued pursuant to the existing Credit Agreement (the “Credit Agreement”) of Amelia with Monroe Capital Management Advisors, LLC (“Monroe”), as administrative and collateral agent for certain affiliated funds of Monroe, as lenders. In accordance with the terms of the debt assumed, on August 7, 2024, the Company paid $70.0 million in cash to pay down a portion of the outstanding principal balance and issued 2,943,917 shares of Class A common stock to settle certain fees associated with the Amelia Debt. The remaining outstanding balance of $39.7 million has a maturity date of June 30, 2026 (the “Maturity Date”) and provides, at the Company’s election, for payment of a portion of interest in cash or in kind ("PIK"), in which case interest will be capitalized and added to the outstanding principal amount, with principal and accrued interest due at the Maturity Date. The Amelia Debt may be prepaid at any time and must be prepaid, along with the applicable prepayment premium and exit fee, upon the occurrence of certain future events. The Amelia Debt will accrue interest at an annual rate equal to the sum of (a) Adjusted Term SOFR and (b)(i) an applicable margin of 9.00% for the portion of interest paid in cash, and (ii) an additional 1.00% for the portion of interest paid in kind. Upon an event of default, the interest rate will automatically increase by an additional 2.00% per annum, and may result in the declaration that all outstanding principal and interest under the Amelia Debt be immediately due and payable in whole or in part. During the three months ended September 30, 2024, the Company recorded and paid $1.0 million in interest expense, of which $0.1 million was paid to settle the PIK that was capitalized and added to the outstanding principal amount during the three months ended September 30, 2024.</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we entered into a letter agreement (the “Amelia Debt Payoff Letter”) to prepay in full all indebtedness and other amounts outstanding and owing under the Amelia Debt Credit Agreement. In connection with the Amelia Debt prepayment, we paid a total of $39.8 million on December 4, 2024, which consisted of the remaining principal amount outstanding of $39.8 million and transaction expenses of an immaterial amount, resulting in a loss on debt of an immaterial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January 18, 2023 and January 20, 2023, the Company entered into Preferred Stock Purchase Agreements (the “Purchase Agreements”) with certain investors (the “Investors”), pursuant to which the Company issued and sold to the Investors an aggregate of 835,011 shares of its newly designated Series A Convertible Preferred Stock for issuance price of $30.00 per share, raising an aggregate of approximately $25.0 million in cash proceeds. As of September 30, 2025 and December 31, 2024, all the Series A Preferred Stock have been converted to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Liquidation Preference per share of Preferred Stock was initially equal to $30.00, the original issue price per share. On January 1, 2024, the Company's Series A Preferred Stock holders received their latest dividends paid-in-kind as an increase in Liquidation Preference, thereby increasing the Liquidation Preference per share to approximately $34.13.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is not mandatorily redeemable.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into such number of shares of Class A Common Stock equal to the Liquidation Preference per share at the time of conversion divided by $1.00 (the “Conversion Price”). In addition, each share of Series A Preferred Stock will automatically convert into shares of Class A Common Stock at the Conversion Price on or after January 20, 2024 if and when the daily volume-weighted average closing price per share of Class A Common Stock is at least 2.5 times the Conversion Price for each of any 90 trading days during any 120 consecutive trading day period, which 120-trading day period may commence (but may not end) prior to January 20, 2024. As of December 31, 2024, the condition of automatic conversion was met and all the remaining Series A Preferred Stock were automatically converted.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475,005 shares of preferred stock were converted into 16,624,215 shares of Class A Common Stock. The conversion was pursuant to the original terms of the agreement and therefore the carrying value of Series A Preferred Stock was converted into Class A Common Stock with no gain or loss upon conversion. There were no conversions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Investors do not have voting rights, except with respect to certain protective provisions and as required by the Delaware General Corporation Law. However, as long as the Series A Preferred Stock are outstanding, the Company may not take certain actions that may materially and adversely impact the powers, preferences, or rights of the Investors without the consent of at least a majority of the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2025 Annual Meeting of Stockholders held on May 23, 2025, the Company’s stockholders approved to increase the number of authorized shares of Class A Common Stock from 455,000,000 to 755,000,000. As of September 30, 2025, the Company is authorized to issue 800,000,000 shares of capital stock, consisting of (a) 755,000,000 shares of Class A Common Stock with a par value of $0.0001 per share, (b) 44,000,000 shares of Class B Common Stock with a par value of $0.0001 per share, and (c) 1,000,000 shares of preferred stock with a par value of $0.0001 per share. The outstanding shares of the Company’s common stock are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and B Common Stock are entitled to one vote and ten votes per share respectively on all matters submitted to the stockholders for their vote or approval.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Class B Common Stock shall convert into one fully paid and nonassessable share of Class A Common Stock upon mandatory or optional conversion. Shares of Class B Common Stock will be automatically converted into shares of Class A Common Stock upon the occurrence of certain future events, generally including transfers, subject to limited exceptions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the Company’s Class A and Class B common stock are identical, except with respect to voting.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certain holders of Class B Common Stock optionally converted zero and 4,750,000 shares, respectively, of Class B Common Stock into the same number of shares of Class A Common Stock. There was no conversion of Class B Common Stock during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28, 2023, the Company entered into a Controlled Equity Offering Sales Agreement (the “Sales Agreement”) with Cantor Fitzgerald &amp; Co., H.C. Wainwright &amp; Co., LLC, and D.A. Davidson &amp; Co. (each a “Sales Agent” and collectively, the “Sales Agents”), pursuant to which the Company may offer and sell up to $150,000,000 of shares of our Class A Common Stock from time to time through or to the Sales Agents acting as agent or principal. Sales of our Class A Common Stock under the Sales Agreement were made at market prices by any method that is deemed to be an “at the market offering” as defined in Rule 415 under the Securities Act. The Sales Agents were entitled to aggregate compensation at a fixed commission rate of 2.5% of the gross sales price per share sold under the Sales Agreement. We also agreed to reimburse the Sales Agents for certain specified expenses, including the reasonable and documented fees and disbursements of its legal counsel in an amount of $75,000 in the aggregate in connection with the execution of the Sales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 total of zero and 37,907,219 shares of our Class A common stock under the Sales Agreement, at a weighted-average price of $3.62 per share and raised $137.3 million of gross proceeds, which resulted in complete utilization of the Sales Agreement as of March 31, 2024. After deducting approximately $3.4 million of commissions and offering costs incurred by the Company, the net proceeds from sales of Class A common stock was $133.8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Distribution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9, 2024, the Company entered into an Equity Distribution Agreement (the “Equity Distribution Agreement”) with Citigroup Global Markets Inc., Barclays Capital Inc., Wedbush Securities Inc., Northland Securities, Inc. and Ladenburg Thalmann &amp; Co. Inc. (the “Managers”) with respect to an at-the-market equity program. Under this program, the Company was able to offer and sell up to $150.0 million of shares of its Class A Common Stock from time to time through the Managers. Sales of Class A Common Stock under the Equity Distribution Agreement will be made at market prices by any method that is deemed to be an “at the market offering” as defined in Rule 415 under the Securities Act. The Managers were entitled to commission at a fixed rate of 2.5% of the gross sales price per share for their services in acting as agent in the sale of the Company's Class A Common Stock.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 total of 10,465,581 and 31,694,198 shares of our common stock under the Equity Distribution Agreement, at a weighted-average price of $4.74 and $4.73 per share, respectively, and raised $49.6 million and $150.0 million of gross proceeds, respectively. After deducting approximately $1.2 million and $3.7 million, respectively, of commissions and offering costs incurred by the Company, the net proceeds from sales of common stock was $48.4 million and $146.2 million respectively during the three and nine months ended September 30, 2024. As of September 30, 2024, the Company had no remaining capacity to sell the Company's Class A common stock under the Equity Distribution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Execute Equity Distribution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12, 2024, the Company entered into an Execute Equity Distribution Agreement (the “Execute Equity Distribution Agreement”) with Barclays Capital Inc., Piper Sandler &amp; Co., D.A. Davidson &amp; Co., H.C. Wainwright &amp; Co., LLC, and Joseph Gunnar &amp; Co., LLC, (each, an “Agent,” and, collectively, the “Agents”) with respect to an at-the-market equity program. Under this program, the Company was able to offer and sell up to $120.0 million of shares of its Class A Common Stock from time to time through the Agents. Sales of Class A Common Stock under the Execute Equity Distribution Agreement were made at market prices by any method that is deemed to be an “at the market offering” as defined in Rule 415 under the Securities Act. The Agents were entitled to commission at a fixed rate of 2.5% of the gross sales price per share for their services in acting as agent in the sale of the Company's Class A Common Stock. As of December 31, 2024, the Company had no remaining capacity to sell the Company's Class A common stock under the Execute Equity Distribution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Equity Distribution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(the "Second Equity Distribution Agreement") with Cantor Fitzgerald &amp; Co., Guggenheim Securities, LLC, Oppenheimer &amp; Co. Inc., Wedbush Securities Inc., Ladenburg Thalmann &amp; Co. Inc. and Northland Securities, Inc. (each, an “Sales Manager,” and, collectively,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Managers”) with respect to an at-the-market equity program. Under this program, the Company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the Company's Class A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sold 9,018,114 shares and 13,913,014 shares, respectively, of its common stock under the Second Equity Distribution Agreement, at an average price of $13.97 and $14.48 per share, respectively, and raised $126.0 million and $201.5 million of gross proceeds, respectively. The commissions and offering costs borne by us were approximately $2.5 million and $4.0 million, respectively. As of September 30, 2025, the Company had a remaining capacity to sell up to an additional $48.5 million of its common stock under the Second Equity Distribution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2016, we adopted the 2016 Equity Incentive Plan (the “2016 Plan”) as a successor and continuation of the 2006 Plan. Under the 2016 Plan, the Company was permitted to grant awards of stock options and Restricted Stock Units ("RSUs"), as well as stock appreciation rights and other stock awards. The Company no longer has shares available for issuance under the 2016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Incentive Award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2022 Incentive Award Plan (the “2022 Incentive Plan”, collectively, with the 2006 Plan and the 2016 Plan, the “Plans”) effective April 26, 2022. The Company reserved 19,650,371 shares of Class A Common Stock for the issuance of awards under the 2022 Incentive Plan ("the Initial Limit"). The Initial Limit represents 10% of the aggregate number of shares of the Company’s common stock outstanding immediately after the Closing and is subject to increase each year over a ten-year period. As of September 30, 2025, the Company had 10,299,938 shares remaining for issuance under the 2022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Employee Stock Purchase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the 2022 Employee Stock Purchase Plan (the “ESPP”) effective April 26, 2022.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is being implemented through a series of offerings of purchase rights to eligible employees. Under the ESPP, the Company’s Board of Directors may specify offerings but generally provides for a duration of 27 months.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 The first offering period under the ESPP began on November 1, 2022. As of September 30, 2025, 1,074,224 shares of Class A Common Stock were issued under the ESPP.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Employment Inducement Incentive Award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2024 Employment Inducement Incentive Award Plan (the “2024 Inducement Plan”, collectively, with the 2016 Plan and the 2022 Incentive Plan, the “Plans”) effective August 6, 2024. The Company reserved 6,000,000 shares of Class A Common Stock for the issuance of awards under the 2024 Inducement Plan. As of September 30, 2025, the Company had 2,495,542 shares remaining for issuance under the 2024 Inducement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related to the unvested stock options was approximately $0.1 million, which we expect to recognize over a weighted-average period of 0.25 years. There were no options granted during the three and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Units ("RSUs")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granted generally vest over a four-year period, with 25% cliff vesting after one year and then ratably on a monthly basis for the remaining three years. Besides RSUs with vesting condition tied to requisite service period, the Company also issues RSUs with vesting conditions tied to certain market conditions (“Market-Based RSUs”) and RSUs with vesting conditions tied to certain performance criteria ("Performance-Based RSUs").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SYNQ3 Acquisition, the Company granted 1,434,978 RSUs (the "Retention Pool"), 25% of which is subject to service conditions that vest at the end of each of the upcoming three fiscal years and 75% of which is subject to both service and performance-based vesting conditions at the end of each of the upcoming three fiscal years, respectively.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RSUs granted depending on the level of achievement of the specified revenue target in each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from the Retention Pool every reporting period. As of September 30, 2025, performance level of 2024 revenue amount was not met. The Company assessed the performance level of 2025 was not probable of being met but the performance level of 2026 was probable of being met.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granted zero and 3,533,500 RSUs that vest over a four-year requisite service period to Amelia employees under 2024 Inducement Plan during the three and nine months ended September 30, 2025, respectively. Additionally, the Company granted 7,519,330 and 9,486,939 RSUs to other employees of the Company during the three and nine months ended September 30, 2025,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related to the unvested RSUs with service conditions was approximately $169.9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no unrecognized stock-based compensation expense related to the unvested Market-Based RSUs. There were no Market-Based RSUs granted during the three and nine months ended September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related to the unvested Performance-based RSUs was approximately $4.3 million. There were zero and 50,000 Performance-Based RSUs granted under 2024 Inducement Plan during the three and nine months ended September 30, 2025,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stock-based compensation related to unvested RSUs is $174.2 million as of September 30, 2025 and this will vest over a weighted average period of 2.63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Awards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SYNQ3 Acquisition, a total of 2,033,156 unvested restricted Class A Common Stock shares </w:t>
      </w:r>
      <w:r>
        <w:rPr>
          <w:rFonts w:ascii="Times New Roman" w:cs="Times New Roman" w:eastAsia="Times New Roman" w:hAnsi="Times New Roman"/>
          <w:sz w:val="18"/>
          <w:szCs w:val="18"/>
          <w:i w:val="1"/>
          <w:iCs w:val="1"/>
          <w:color w:val="auto"/>
        </w:rPr>
        <w:t>("RSAs")</w:t>
      </w:r>
      <w:r>
        <w:rPr>
          <w:rFonts w:ascii="Times New Roman" w:cs="Times New Roman" w:eastAsia="Times New Roman" w:hAnsi="Times New Roman"/>
          <w:sz w:val="18"/>
          <w:szCs w:val="18"/>
          <w:color w:val="auto"/>
        </w:rPr>
        <w:t xml:space="preserve"> were issued, 25% of which are subject to service conditions that vest at the end of each of the upcoming three fiscal years in three tranches, and 75% of which is subject to both service and performance-based vesting conditions in</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tranches. As of September 30, 2025, 422,409 RSAs were vested and 508,289 RSAs were forfeited as a result of the targets not met or not probable of being met.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performance level for each of the fiscal years 2024, 2025 and 2026 is based on tiered annual revenue targets, subject to a floor of $9.0 million, $21.0 million and $30.0 million, respectively, with vesting ranging from 50% to 100% of the RSAs granted depending on the level of achievement of the specified revenue target in each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probability of vesting of the above performance-based awards every reporting period. As of September 30, 2025, the performance level of the 2024 revenue amount was not met. The Company assessed the performance level of 2025 was not probable of being met but the performance level 2026 was probable of being met.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related to the unvested RSAs subject to service-based vesting condition and unvested RSAs subject to performance-based vesting condition was approximately $0.1 million and $0.4 million, respectively, over a weighted average period of 1.05 years. Refer to Note 3 for further information on the SYNQ3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in the following expense accounts on the condensed consolidated statements of operations and comprehensive loss for the three and nine months ended September 30, 2025, and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8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4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7"/>
        </w:trPr>
        <w:tc>
          <w:tcPr>
            <w:tcW w:w="4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7"/>
        </w:trPr>
        <w:tc>
          <w:tcPr>
            <w:tcW w:w="4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INCOME,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net on the condensed consolidated statements of operations is comprised of the following for the three and nine months ended September 30, 2025 and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8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attributable to common stockholders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302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0" w:type="dxa"/>
            <w:vAlign w:val="bottom"/>
          </w:tcPr>
          <w:p>
            <w:pPr>
              <w:spacing w:after="0"/>
              <w:rPr>
                <w:sz w:val="1"/>
                <w:szCs w:val="1"/>
                <w:color w:val="auto"/>
              </w:rPr>
            </w:pPr>
          </w:p>
        </w:tc>
      </w:tr>
      <w:tr>
        <w:trPr>
          <w:trHeight w:val="225"/>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 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0" w:type="dxa"/>
            <w:vAlign w:val="bottom"/>
          </w:tcPr>
          <w:p>
            <w:pPr>
              <w:spacing w:after="0"/>
              <w:rPr>
                <w:sz w:val="1"/>
                <w:szCs w:val="1"/>
                <w:color w:val="auto"/>
              </w:rPr>
            </w:pPr>
          </w:p>
        </w:tc>
      </w:tr>
      <w:tr>
        <w:trPr>
          <w:trHeight w:val="225"/>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dilutive instruments classified as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dividends attributable to Series A Preferred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 - diluted</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(56,772)</w:t>
            </w:r>
          </w:p>
        </w:tc>
        <w:tc>
          <w:tcPr>
            <w:tcW w:w="8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409,783,470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401,325,300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326,166,633</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1,927,275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411,702,440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360,385,812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403,252,575</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326,166,633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diluted net loss per share is equal to the basic net loss per share as the effect of potentially dilutive securities would have been antidilutive.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calculation of diluted earnings per share because their inclusion would have been anti-dilutive. The following table summarizes the outstanding shares of potentially dilutive securities that were excluded from the calculation of diluted earnings per share because their inclusion would have been anti-dilutive for the three and nine months ended September 30, 2025 and 2024:</w:t>
      </w:r>
    </w:p>
    <w:p>
      <w:pPr>
        <w:spacing w:after="0" w:line="230"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36830</wp:posOffset>
            </wp:positionV>
            <wp:extent cx="26657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gridSpan w:val="2"/>
          </w:tcPr>
          <w:p>
            <w:pPr>
              <w:ind w:left="770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8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13,899,673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32,940,778</w:t>
            </w:r>
          </w:p>
        </w:tc>
      </w:tr>
      <w:tr>
        <w:trPr>
          <w:trHeight w:val="24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488,529</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3,665,996</w:t>
            </w:r>
          </w:p>
        </w:tc>
      </w:tr>
      <w:tr>
        <w:trPr>
          <w:trHeight w:val="27"/>
        </w:trPr>
        <w:tc>
          <w:tcPr>
            <w:tcW w:w="6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77,069</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508,289</w:t>
            </w:r>
          </w:p>
        </w:tc>
      </w:tr>
      <w:tr>
        <w:trPr>
          <w:trHeight w:val="26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14,465,271</w:t>
            </w:r>
          </w:p>
        </w:tc>
        <w:tc>
          <w:tcPr>
            <w:tcW w:w="10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37,115,063</w:t>
            </w:r>
          </w:p>
        </w:tc>
      </w:tr>
      <w:tr>
        <w:trPr>
          <w:trHeight w:val="20"/>
        </w:trPr>
        <w:tc>
          <w:tcPr>
            <w:tcW w:w="6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table above does not include: (i) 1,377,899 and 4,440,482 shares of unvested stock-based awards and restricted stock awards, respectively, and (ii) 17,992,461 and 18,257,365 shares of contingently issuable earnout shares, respectively; outstanding as of September 30, 2025 and 2024, as these awards are subject to performance conditions that were not met as of those dates. The table also excludes 167,102 shares associated with the Contingent SYNQ3 Holdback Consideration in connection with the SYNQ3 Acquisition as these shares are subject to contingencies that were not met as of September 30,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issued and held in escrow for the Amelia Acquisition are participating securities that contractually entitle the holders of such shares to participate in the combined entity’s earnings but do not contractually require the holders of such shares to participate in the combined entity’s losses. The weighted average shares outstanding used to calculate basic and diluted net loss per share attributable to common stockholders for the three and nine months ended September 30, 2025 excludes the 2,149,530 shares and 230,561 shares, respectively, of the Company's Class A Common Stock held 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as they are considered contingently returnable shares until the indemnifications subject to escrow have been resolved.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expense (benefit) and the effective tax rate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5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040" w:type="dxa"/>
            <w:vAlign w:val="bottom"/>
          </w:tcPr>
          <w:p>
            <w:pPr>
              <w:spacing w:after="0"/>
              <w:rPr>
                <w:sz w:val="20"/>
                <w:szCs w:val="20"/>
                <w:color w:val="auto"/>
              </w:rPr>
            </w:pPr>
          </w:p>
        </w:tc>
        <w:tc>
          <w:tcPr>
            <w:tcW w:w="24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40" w:type="dxa"/>
            <w:vAlign w:val="bottom"/>
          </w:tcPr>
          <w:p>
            <w:pPr>
              <w:spacing w:after="0"/>
              <w:rPr>
                <w:sz w:val="20"/>
                <w:szCs w:val="20"/>
                <w:color w:val="auto"/>
              </w:rPr>
            </w:pPr>
          </w:p>
        </w:tc>
      </w:tr>
      <w:tr>
        <w:trPr>
          <w:trHeight w:val="34"/>
        </w:trPr>
        <w:tc>
          <w:tcPr>
            <w:tcW w:w="4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04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(108,814)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(51,531)</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(101,640)</w:t>
            </w: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(9,558)</w:t>
            </w:r>
          </w:p>
        </w:tc>
      </w:tr>
      <w:tr>
        <w:trPr>
          <w:trHeight w:val="2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32.54 %</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9.40 %</w:t>
            </w: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 and tax benefit resulting from an acquisition in 2024.</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Included in this legislation are provisions that allow for the immediate expensing of domestic United States research and development expenses and acceleration of tax deductions for qualified capital expenditures acquired and placed into service after January 19, 2025, and other changes to the U.S. taxation of profits derived from foreign operations. The legislation has multiple effective dates, with various effective dates between 2025 and 2027. During the three and nine months ended September 30, 2025, the enactment of the OBBBA resulted in an immaterial impact to the consolidated financial statements. The Company will continue to assess the full impact of these legislative changes as additional guidance becomes available.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financial instruments that are measured or disclosed at fair value on a recurring basis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7"/>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 (Current)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 (Non-current)</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214,858</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218,258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37"/>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6"/>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holdback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acquisition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Contingent earnout consideration</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286,898</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290,974</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Escrow Consideration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derivative measured at fair value on a recurring basis using unobservable inputs (Level 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43"/>
        </w:trPr>
        <w:tc>
          <w:tcPr>
            <w:tcW w:w="9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the fair value of derivative</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accounted for the Escrow Consideration under Amelia acquisition as equity-classified shares issued as part of the consideration transferred. Upon the settlement of any valid indemnification claims against the selling shareholders, the escrow agent will return a number of shares to the Company equal to the dollar value of the indemnified loss divided by the reference price of $5.35 as stipulated in the purchase agreement. The Company concluded that this variability in settlement value is a derivative that is required to be remeasured to fair value due to changes in stock price. During the three and nine months ended September 30, 2025, the Company recognized a gain of $5.1 million and $7.3 million, respectively, related to the change in fair value of derivative under other income in the condensed consolidated statement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Acquisition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Holdback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Contingent SYNQ3 Holdback Consideration measured at fair value, including the effect of measurement period adjustments, on a recurring basis using unobservable inputs (Level 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9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SYNQ3</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9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cash portion of the Contingent SYNQ3 Holdback Consideration was estimated based upon the holdback period of 15 months, and discounted using the risk-free interest rate based on the U.S. Treasury zero-coupon yield curve on the valuation date for a maturity similar to the 15-month holdback period. The fair value of the equity portion of the Contingent SYNQ3 Holdback Consideration was estimated based upon the value of the Company’s Class A</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price. The fair value of the Contingent SYNQ3 Holdback Consideration was initially measured on January 3, 2024, the date on which the Company completed the acquisition of SYNQ3.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recognized a loss of less than $0.1 million, related to the Contingent SYNQ3 Holdback Consideration. For the three and nine months ended September 30, 2024, the Company recognized a loss of $0.2 million and $0.5 million, respectively, related to the Contingent SYNQ3 Holdback Consideration.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SYNQ3 Holdback Consideration has been estimated as of the Closing Date and September 30, 2024, under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60" w:type="dxa"/>
            <w:vAlign w:val="bottom"/>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4.6 %</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7"/>
        </w:trPr>
        <w:tc>
          <w:tcPr>
            <w:tcW w:w="6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Holdback period</w:t>
            </w:r>
          </w:p>
        </w:tc>
        <w:tc>
          <w:tcPr>
            <w:tcW w:w="2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7"/>
        </w:trPr>
        <w:tc>
          <w:tcPr>
            <w:tcW w:w="66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of the Company's contingent earnout consideration measured at fair value on a recurring basis using unobservable inputs (Level 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286,898</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(173,751)</w:t>
            </w:r>
          </w:p>
        </w:tc>
      </w:tr>
      <w:tr>
        <w:trPr>
          <w:trHeight w:val="27"/>
        </w:trPr>
        <w:tc>
          <w:tcPr>
            <w:tcW w:w="9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113,147</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28,966</w:t>
            </w:r>
          </w:p>
        </w:tc>
      </w:tr>
      <w:tr>
        <w:trPr>
          <w:trHeight w:val="27"/>
        </w:trPr>
        <w:tc>
          <w:tcPr>
            <w:tcW w:w="9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142,113</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Interactions</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7"/>
        </w:trPr>
        <w:tc>
          <w:tcPr>
            <w:tcW w:w="9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66,245</w:t>
            </w:r>
          </w:p>
        </w:tc>
      </w:tr>
      <w:tr>
        <w:trPr>
          <w:trHeight w:val="26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218,258</w:t>
            </w:r>
          </w:p>
        </w:tc>
      </w:tr>
      <w:tr>
        <w:trPr>
          <w:trHeight w:val="20"/>
        </w:trPr>
        <w:tc>
          <w:tcPr>
            <w:tcW w:w="9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8"/>
        </w:trPr>
        <w:tc>
          <w:tcPr>
            <w:tcW w:w="9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SYNQ3</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7"/>
        </w:trPr>
        <w:tc>
          <w:tcPr>
            <w:tcW w:w="9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7"/>
        </w:trPr>
        <w:tc>
          <w:tcPr>
            <w:tcW w:w="9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7"/>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7"/>
        </w:trPr>
        <w:tc>
          <w:tcPr>
            <w:tcW w:w="9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Amelia</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71,560</w:t>
            </w:r>
          </w:p>
        </w:tc>
      </w:tr>
      <w:tr>
        <w:trPr>
          <w:trHeight w:val="243"/>
        </w:trPr>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the fair value of liability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7"/>
        </w:trPr>
        <w:tc>
          <w:tcPr>
            <w:tcW w:w="9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a loss of $66.2 million and a gain of $78.5 million, respectively, related to the Contingent Earnout Consideration. For the three and nine months ended September 30, 2024, the Company recognized a gain of $1.5 million and a loss of $1.2 million, respectively, related to the Contingent Earnout Consideration. These gains and losses are reflected in the change in fair value of contingent acquisition liabilities in the condensed consolidated statement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Monte Carlo simulation to value the contingent earnout consideration. The Company selected this model as it believes it is reflective of all significant assumptions that market participants would likely consider in negotiating the transfer of the contingent earnout consideration. Such assumptions include, among other inputs, expected stock price volatility, risk-free rates, and change in control assumptions. The Company estimates the expected volatility of</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its common stock based on historical volatility of a peer group, considering the remaining term of the contingent earnout consideration. The risk-free interest rate is based on the U.S. Treasury zero-coupon yield curve on the valuation date for a maturity similar to the expected remaining life of the contingent earnout consideration. The expected life of the contingent earnout consideration is assumed to be equivalent to their remaining contractual term. The dividend rate is based on the historical rate, which the Company anticipates to remain at zero.</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SYNQ3 Earnout Consideration acquired from SYNQ3 Acquisition has been estimated as of the Closing Date, September 30, 2024 and September 30, 2025, with the following assumptions for the unobservable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 2024</w:t>
            </w:r>
          </w:p>
        </w:tc>
        <w:tc>
          <w:tcPr>
            <w:tcW w:w="1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4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12.6 %</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7"/>
        </w:trPr>
        <w:tc>
          <w:tcPr>
            <w:tcW w:w="5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115.3 %</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5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0.5 - 2.5 years</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0.13 - 1.75 years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0.13 - 0.75 years</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Amelia Earnout Consideration acquired from Amelia Acquisition has been estimated as of the Closing Date, September 30, 2024 and September 30, 2025, with the following assumptions for the unobservable inputs: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40" w:type="dxa"/>
            <w:vAlign w:val="bottom"/>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August 6, 2024</w:t>
            </w: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4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8.0 %</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5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73.0 %</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111.0 %</w:t>
            </w:r>
          </w:p>
        </w:tc>
      </w:tr>
      <w:tr>
        <w:trPr>
          <w:trHeight w:val="27"/>
        </w:trPr>
        <w:tc>
          <w:tcPr>
            <w:tcW w:w="5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11.0 %</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4.0 %</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5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stock price</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3.8 %</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7"/>
        </w:trPr>
        <w:tc>
          <w:tcPr>
            <w:tcW w:w="5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1.4 - 2.4 years</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1.25 - 2.25 years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0.25 - 1.25 years</w:t>
            </w:r>
          </w:p>
        </w:tc>
      </w:tr>
      <w:tr>
        <w:trPr>
          <w:trHeight w:val="27"/>
        </w:trPr>
        <w:tc>
          <w:tcPr>
            <w:tcW w:w="57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Interactions Earnout Consideration acquired from Interactions Acquisition has been estimated as of the Closing Date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with the following assumptions for the unobservable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500" w:type="dxa"/>
            <w:vAlign w:val="bottom"/>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 2025</w:t>
            </w: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42"/>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Metric specific discount rate</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7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for target revenue</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metric volatility</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15.0 %</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7"/>
        </w:trPr>
        <w:tc>
          <w:tcPr>
            <w:tcW w:w="7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payment discount rate</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6.8 %</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1.3 - 2.3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1.25 - 2.25 years</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three and nine months ended September 30, 2025 and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organized its operations into a single reportable segment, managed on a consolidated basis. The Company has determined that the Chief Executive Officer is its chief operating decision maker ("CODM"). The CODM assesses performance for the segment and decides how to allocate resources based on net loss that also is reported on the income statement as consolidated net loss. The CODM compares net loss from budget to actual result to assess segment performance and adjust resource allocations as necessary.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adoption of ASU 2023-07 in 2024, the Company determined to disclose personnel costs which requires retrospective application to all prior periods presented in the financial statements. The personnel-related costs are the significant segment expenses included in the net loss that are regularly provided to the CODM. Personnel-related costs were $51.5 million and $149.2 million, respectively, and represented 61.7% and 63.6%, respectively, of total operating expenses during the three and nine months ended September 30, 2025. Personnel-related costs were $31.5 million and $76.4 million, respectively, and represented 57.1% and 60.9%, respectively, of total operating expenses during the three and nine months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2025, the Company entered into an Equity Distribution Agreement with Guggenheim Securities, LLC and other Sales Managers with respect to an at-the-market equity program. Under this program, the Company may offer and sell up to $250.0 million of shares of its Class A Common Stock from time to time through the Sales Managers. Refer to Note 11 to the unaudited condensed consolidated financial statements for more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brother of one of our Board of Directors is a Senior Advisor to Guggenheim Securities, LLC and a member of the Guggenheim Securities investment banking team. Our board member did not participate in the Company’s decision to engage Guggenheim Securities, LLC to sell the Company's Class A Common Stock under at-the-market equity program and disclosed the fact that his brother would be involved in the services to be provided by Guggenheim Securities, LLC to the Company in advance of the determination by the Company to engage Guggenheim Securities, LLC. During the three and nine months ended September 30, 2025, the Company paid commissions of $0.1 million and $0.4 million, respectively, to Guggenheim Securities, LLC for the Class A Common Stock sold through it as a Sales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24"/>
        <w:spacing w:after="0" w:line="205"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SoundHound should be read together with our unaudited interim condensed consolidated financial statements and the related notes thereto included elsewhere in this Quarterly Report on Form 10-Q ("Form 10-Q") and the audited consolidated financial statements and notes thereto and Management’s Discussion and Analysis of Financial Condition and Results of Operation as of and for the year ended December 31, 2024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2024 filed with the SEC on March 11, 2025 ("Form 10-K" or the "Annual Report). Some of the information contained in this discussion and analysis or set forth elsewhere in this report and in our Form 10-K, including information with respect to SoundHound’s plans and strategy for its business and related financing, includes forward-looking statements that involve risks and uncertainties. As a result of many factors, including those factors set forth in the “Risk Factors” and “Cautionary Statement Regarding Forward Looking Statements” section of this report,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SoundHound AI,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market position is strengthened by the technical barriers to entry in the Voice AI space, which tend to discourage new market participants. Furthermore, our technology is backed by significant investments in intellectual property, with over 223 patents granted and over 108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three pillars to our revenue model. The first pillar is Product Royalties, where we voice enable a product and the product creator pays us a royalty based on volume, usage or duration. SoundHound collects royalty revenue when our technology is placed in a car, smart speaker or an appliance, for example.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second pillar is Service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third pillar seeks to create a monetization ecosystem that brings the services from pillar two to the products in pillar one. When the users of a voice-enabled product in pillar one access the voice-enabled services of pillar two, these services generate new leads and transactions. SoundHound will generate monetization revenue from the services for generating these leads and transactions, and we will share the revenue with the product creators of pillar one.</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example, when the driver of a voice-enabled car places an order to a restaurant that is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we have not generated revenue from leads and transactions on voice-enabled products from voice-enabled services other than from the SoundHound music identification app. Going forward, SoundHound expects monetization revenue to be generated through a combination of advertising revenue from the music identification app and, over time, from leads and transactions on voice-enabled products from voice-enabled services, which we expect will provide much more seamless opportunities for consumers to access goods and services that they covet as we further build out and scale the voice-enabled ecosystem.</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While all three pillars contribute to our revenues today, the majority of the contribution is currently from our first and second pillar with only a small contribution from pillar three from our music identification app. Over time, we expect our revenues from the monetization pillar to increase meaningfully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combination also introduces major new powerhouse brands to the SoundHound customer portfolio, including global consumer icons, large technology device brands, insurers, automakers, and other preeminent Fortune 100 companies across industries.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section for discussion on the purchase price and the Acquisition's impact on SoundHound's liquidity.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Demands, Commitments, Events or Uncertainties Impacting Our Business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the following:</w:t>
      </w:r>
    </w:p>
    <w:p>
      <w:pPr>
        <w:spacing w:after="0" w:line="158" w:lineRule="exact"/>
        <w:rPr>
          <w:sz w:val="20"/>
          <w:szCs w:val="20"/>
          <w:color w:val="auto"/>
        </w:rPr>
      </w:pPr>
    </w:p>
    <w:p>
      <w:pPr>
        <w:jc w:val="both"/>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Technology. </w:t>
      </w:r>
      <w:r>
        <w:rPr>
          <w:rFonts w:ascii="Times New Roman" w:cs="Times New Roman" w:eastAsia="Times New Roman" w:hAnsi="Times New Roman"/>
          <w:sz w:val="18"/>
          <w:szCs w:val="18"/>
          <w:color w:val="auto"/>
        </w:rPr>
        <w:t>Our business model since inception has been to invest in our technology in the form of dedicated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We will continue to invest in the development of our software platform to deliver consumers with continually improving value and delight. Our investments include continuous enhancements to our technology we've developed over the last two decades or acquired from acquisitions, investments in data to help refine and improve our underlying algorithms and other costs to attract and retain a world-class technical workforce.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 Growth. </w:t>
      </w:r>
      <w:r>
        <w:rPr>
          <w:rFonts w:ascii="Times New Roman" w:cs="Times New Roman" w:eastAsia="Times New Roman" w:hAnsi="Times New Roman"/>
          <w:sz w:val="18"/>
          <w:szCs w:val="18"/>
          <w:color w:val="auto"/>
        </w:rPr>
        <w:t>Our commercial success, including acceptance and use of our applications, will depend on a number of factors, some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beyond our control, such as size of the market opportunity, successful integration with original equipment manufacturers (“OEM”), competition and demand from the public and members of the conversational AI community. Our product offerings, including those offerings that we have acquired, have disruptive effects in the ways human interact with computers and we are developing new, innovative economic models and acquiring companies such as SYNQ3, Amelia and Interactions which have synergistic businesses to ours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As we build new customer relationships, we continually focus on maintaining and growing our existing relationships through long-term partnerships through significant upfront investment in customer specific engineering projects. Additionally, in addition to our acquisitions of SYNQ3, Amelia and Interactions, we may look to acquire other companies in the industry to develop synergies with our existing business.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The results of our business will depend in part on our ability to establish and increase our gross margins by scaling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Seasonality. </w:t>
      </w:r>
      <w:r>
        <w:rPr>
          <w:rFonts w:ascii="Times New Roman" w:cs="Times New Roman" w:eastAsia="Times New Roman" w:hAnsi="Times New Roman"/>
          <w:sz w:val="18"/>
          <w:szCs w:val="18"/>
          <w:color w:val="auto"/>
        </w:rPr>
        <w:t>Our ability to accurately forecast demand for our technology could be negatively affected by many factors, including seasonal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We anticipate that we will experience fluctuations in customer and user demand based on seasonality. For example, in the past, we have seen approximately one third of our revenue in the first half of the year with the remaining two thirds in the second half. Additionally, given that we address markets across several different industry verticals, the associated overall seasonality impact to us may not be consistent year-to-year.</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of International Markets. </w:t>
      </w:r>
      <w:r>
        <w:rPr>
          <w:rFonts w:ascii="Times New Roman" w:cs="Times New Roman" w:eastAsia="Times New Roman" w:hAnsi="Times New Roman"/>
          <w:sz w:val="18"/>
          <w:szCs w:val="18"/>
          <w:color w:val="auto"/>
        </w:rPr>
        <w:t>We have rapidly expanded our capabilities and global reach. For example, we have globalized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to include 25 languages. We view opportunities for conversational Voice AI to be global in reach, and we expect our growth to be fueled across multiple geographies.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SoundHound generates revenues through: (1) “Product Royalties,” meaning royalties from voice-enabled products which are driven by volume, usage or life of applicable products and are affected by number of devices, users and units of usage, (2) “Service Subscriptions,” meaning subscription revenues, derived from fixed monthly fees or fees based on usage-based revenue, revenue per query or revenue per user, and (3) “Monetization,” meaning revenues generated from focused ad targeting to users of products and services that employ our technologies. Currently, our monetization revenue is derived only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“Houndified Products,” meaning products of our customers that employ SoundHound technology, and “Houndified Services,” meaning services provided to customers related to SoundHound technology, provide our customers with access to our Houndify platform over a contractual period without taking possession of the software. This generally includes revenues derived from implementation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“Amelia Software Platform” meaning our AI-based digital resource solution that enables AI in our customers’ services, ranging across multiple industries. This generally includes revenue from hosted services if the customer elects our SaaS offering, or from licensing revenue if the customer requires an on-premise solution. Professional services are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offered and included within professional services revenue. The revenues from Amelia Software Platform are included within Service Subscriptions, and are recognized point in time or over time depending on the arrangement.</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and may continue to experience volatility for our remaining performance obligations and deferred revenue as a result of the timing for completing our performance obligations. We had remaining performance obligations in the amount of $70.6 million as of September 30, 2025. Given the applicable contract terms, $41.3 million is expected to be recognized as revenue within one year, $27.6 million is expected to be recognized between 2 to 5 years and the remainder of $1.7 million is expected to be recognized after 5 years.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classify our operating expenses into the following seven categories, which are cost of revenues, sales and marketing, research and development, general and administrative, change in fair value of contingent acquisition liabilities, amortization of intangible assets and restructuring. With respect to sales and marketing, research and development, and general and administrative, each expense category includes overhead, including rent and related occupancy costs, which is allocated based on headcount. We plan to continue investing to support our go-to-market strategies and customer engagement, develop our current and future applications and support our operations as a public company. While our gross margin may continue to fluctuate in the near-term due to revenue contributions from varying product mixes, as well as acquisitions, we expect it will stabilize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SoundHound’s cost of revenues are comprised of direct costs associated directly with SoundHound’s revenue streams as described above. This primarily includes costs and depreciation related to hosting for cloud-based services, such as data centers, electricity charges, content fees and certain personnel-related expenses including personnel costs under call centers that are directly related to these revenue streams. Additionally, our cost of revenues also includes the amortization of developed technology acquired from SYNQ3, Amelia and other acquisition as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personnel-related costs of the sales and marketing team, promotional campaigns, advertising fees and other marketing related costs. Advertising costs are expensed to sales and marketing when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our largest operating expense as we continue to develop our software platforms and produce new technological capabilities.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associated with the design and development of new products in the periods in which they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accounting and legal expenses, third-party consulting costs, insurance and allocated overhead including rent, depreciation and utilities.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acquisition liabilities is related to contingent consideration from the SYNQ3, Amelia and Interactions acquisitions. The contingent consideration was determined to be liability classified and is remeasured as of each reporting period with a corresponding change in fair value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Amortization of acquired customer relationships, tradename and conversation data is included within operating expenses and arises from the amortization of assets acquired through the acquisitions. We review intangible assets for impairment at least annually, or whenever events or changes in circumstances indicate that the carrying amount may not be recoverable. If an evaluation of recoverability is required, the estimated undiscounted future cash flows directly associated with the asset are compared with the asset’s carrying amount. If the estimated future cash flows from the use of the asset are less than the carrying value, an impairment charge would be recorded to write down the asset to its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consists of stated interest incurred on our formerly outstanding convertible notes and term debt during the relevant periods, as well as the amortization of debt discounts and issuance costs over the life of the instruments or a shorter period if a lender can demand payment in the event certain events occur that are outside of our control.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issuance of debt instruments with direct transaction costs, embedded derivatives and warrant instruments has resulted in debt discounts. Direct transaction costs consist of various transaction fees and third-party costs, such as bank and legal fees, that are incurred upon issuance. No interest expense was incurred during the three and nine months ended September 30, 2025 due to the repayment of Amelia Debt in December 2024 and the repayment of Term Loan in June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of the change in fair value related to our derivative liability, interest income and other income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includes federal, state and foreign taxes and is based on reported income before income taxes. We are in a cumulative loss position for tax purposes based on historical earnings. As of December 31, 2024, we had $548.4 million of U.S. federal and $208.1 million of state net operating loss carryforwards available to reduce future taxable income. The federal and state net operating loss carryforwards will start to expire in 2025 and 2028, respectively, with the exception of $403.3 million federal net operating loss carryforwards and $11.0 million state net operating loss carryforwards, which can be carried forward indefinitely.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federal and state research and development credit carryforwards of $21.4 million and $13.3 million, respectively, as of December 31, 2024. The federal credits will expire starting in 2029 if not utilized. The state credits can be carried forward indefinitely. We also had Canadian SR&amp;ED tax credits of $1.6 million, which expire starting in 2038 if not utilized.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and similar state tax laws, utilization of net operating loss carryforwards and tax credits may be subject to annual limitations due to certain ownership changes. Our net operating loss carryforwards and tax credits could expire before utilization if subject to annual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significant components of our results of operations for the three and nine months ended September 30, 2025 and 2024 ($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157,940</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(115,891)</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6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3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(108,814)</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(109,271)</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acquisition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(78,496)</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(65,845)</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(51,531)</w:t>
            </w: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is mainly driven by the movements in our stock price during the reporting period and changes in the assessed probability of achieving certain future revenue targets defined as part of the acquisition agreements. See Note 16 to our unaudited condensed consolidated financial statements included within this report for more information.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gross profit and gross margin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12,901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12,193</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6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113,861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50,150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68,660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22,550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7"/>
        </w:trPr>
        <w:tc>
          <w:tcPr>
            <w:tcW w:w="6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27,600</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revenues by type and geographic regions for the three and nine months ended September 30, 2025 and 2024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6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subscriptions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Monetization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6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42,049</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1"/>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77,759</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6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113,861</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1"/>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revenues increased by $17.0 million, or 68%, in the three months ended September 30, 2025 compared to the same period in 2024. The increase of $14.9 million in service subscription revenue, primarily based in the Americas, was mainly driven from the contribution of acquisitions. Product royalties increased by $2.0 million, primarily due to licensing revenue in Asia .</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revenues increased by $63.7 million, or 127%, in the nine months ended September 30, 2025 compared to the same period in 2024. The increase of $64.3 million in service subscription revenue, primarily based in the Americas, was driven by the contribution of acquisitions, This was offset by a decrease in product royalty professional service revenue in the EMEA region.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Cost of revenues increased by $11.2 million and $46.1 million, or 87% and 204% in the three and nine months ended September 30, 2025, respectively, compared to the same period in 2024. Gross margin decreased to 43% and 40% during the three and nine months ended September 30, 2025, respectively, compared to 49% and 55%, respectively, during the same period in 2024 primarily due to the acquisition of Amelia in 2024, which included a amortization of acquired intangible assets in the amount of $3.6 million and $10.6 million for the three and nine months ended September 30, 2025, respectively, and the acquisition of Interactions in 2025, which included a amortization of acquired intangible assets in the amount of $0.2 million for the three and nine months ended September 30, 2025. In the past, our gross margin has fluctuated and may continue to fluctuate from quarter to quarter due to revenue contributions from varying product mixes. However, we expect to gradually improve gross margins in the mid-term, especially as it relates the integration of Amelia, Interactions and SYNQ3.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$8.0 million, or 96%, in the three months ended September 30, 2025 compared to the same period in 2024, primarily due to increases in 2025 of $6.9 million in personnel-related costs caused by Amelia and Interactions acquisitions, $0.7 million in office expense, $0.3 million in advertising expenses, $0.3 million in consulting fees, $0.2 million in travel expenses, and $0.1 million in legal and professional fees, which were partially offset by a decrease of $0.4 million incurred for information technology and facility allocations.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$24.7 million, or 126%, in the nine months ended September 30, 2025 compared to the same period in 2024, primarily due to increases in 2025 of $20.9 million in personnel-related costs caused by Amelia and Interactions acquisitions, $2.1 million in office expense, $1.1 million in advertising expenses, $0.9 million in consulting fees, and $0.6 million in travel expenses, and $0.4 million in legal and professional fees, which were partially offset by a decrease of $1.2 million incurred for information technology and facility allocations.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sales and marketing expenses to remain stable in the short term. However, in the long term, we expect sales and marketing expenses to grow at a rate below that of our revenue, aligning with our strategic emphasis on cost effectiveness and sustainable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$3.3 million, or 17%, in the three months ended September 30, 2025 compared to the same period in 2024. The increase in research and development expenses was primarily due to increases in 2025 of $3.6 million in personnel-related costs caused by Amelia and Interactions acquisitions, $1.0 million in legal and professional fees, $0.8 million in office expense, $0.5 million in consulting fees, $0.1 million in utilities, and $0.1 million in travel expense, which were partially offset by a decrease of $1.5 million in cloud computing services, $1.1 million incurred for information technology and facility allocations, and $0.2 million in rent expense.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$23.2 million, or 46%, in the nine months ended September 30, 2025 compared to the same period in 2024. The increase in research and development expenses was primarily due to increases in 2025 of $22.7 million in personnel-related costs caused by Amelia and Interactions acquisitions, $1.5 million in legal and professional fees, $1.2 million in consulting fees, $1.1 million in office expense, $0.2 million in cloud computing services, $0.2 million in utilities, $0.2 million in travel expense, and $0.1 million in hardware cost, which were partially offset by a decrease of $3.4 million incurred for information technology and facility allocations and $0.4 million in rent expense.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remain stable in the short term. However, in the long term, we expect research and development expenses to grow at a rate below that of our revenue, aligning with our strategic emphasis on cost effectiveness and sustainable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$7.3 million, or 43%, in the three months ended September 30, 2025 compared to the same period in 2024. The increase in general and administrative expenses was primarily due to increases in 2025 of $4.6 million in personnel-related costs caused by Amelia and Interactions acquisitions, $1.4 million in information technology and facility allocations, $1.0 million in bad debt expense, $0.3 million in legal and professional fees, $0.2 million in taxes and license fees, $0.2 million in payroll fees, and $0.1 million in insurance expense, which were partially offset by a decrease of $0.2 million in consulting fees, $0.2 million in cloud computing fees, and $0.1 million in office expense.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$24.2 million, or 66%, in the nine months ended September 30, 2025 compared to the same period in 2024. The increase in general and administrative expenses was primarily due to increases in 2025 of $13.7 million in personnel-related costs caused by Amelia and Interactions acquisitions, $4.6 million in information technology and facility allocations, $2.5 million in bad debt expense, $1.1 million in office expense, $1.5 million in legal and professional fees, $0.4 million in insurance expense, $0.3 million in taxes and licenses, $0.1 million in tax and payroll processing fees, $0.1 million in cloud computing services, $0.1 million in software cost, $0.1 million in hardware cost. and $0.1 million in utilities, which were partially offset by a decrease of $0.5 million in rent expense.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the short term as we invest in our control environment. However, in the long term, we expect general and administrative expenses to grow at a rate below that of our revenue, aligning with our strategic emphasis on cost effectiveness and sustainable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Acquisition Liabilities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fair value of acquisition related liabilities, which is marked-to-market based on the movements in our stock price and changes in the assessed probability of achieving certain future revenue targets, was a loss of $66.2 million and a gain of $78.5 million for the three and nine months ended September 30, 2025. The increase of the Company's stock price as of September 30, 2025 compared to the stock price as of June 30, 2025, resulted in an increase in its fair value of contingent acquisition liabilities during the three months ended September 30, 2025. The fluctuation is non-operating and non-cash in nature. We will continue to review our estimates on the quarterly basis over the remaining earnout period until 2026. See Note 16 to our unaudited condensed consolidated financial statements included within this report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acquired developed technology is included within cost of revenues, while the amortization of other intangible assets, including acquired customer relationships, tradename and conversation data, are included within operating expenses. All intangible assets are amortized on a straight-line basis over their estimated useful lives.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amortization of intangible assets by operating expense category ($ in thousands):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7"/>
        </w:trPr>
        <w:tc>
          <w:tcPr>
            <w:tcW w:w="4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7"/>
        </w:trPr>
        <w:tc>
          <w:tcPr>
            <w:tcW w:w="4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intangibles increased by $3.2 million and $16.2 million, or 64% and 226% in the three and nine months ended September 30, 2025 compared to the same period in 2024. The increase in amortization of intangibles was primarily attributable to the Amelia Acquisition that was closed during the third quarter of 2024 and Interaction Acquisition that was closed during the third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by $1.0 million and $10.3 million, or 86% and 95% in the three and nine months ended September 30, 2025 compared to the same period in 2024. The decrease in interest expense was primarily attributable to the early repayment of Term Loan in June, 2024 and Amelia Debt in December, 2024, resulting in the decrease in interest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our other income, net, by type ($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6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0"/>
        </w:trPr>
        <w:tc>
          <w:tcPr>
            <w:tcW w:w="4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8"/>
        </w:trPr>
        <w:tc>
          <w:tcPr>
            <w:tcW w:w="498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increased by $0.5 million or 23% and $0.5 million or 7% for the three and nine months ended September 30, 2025, respectively, compared to the same period in 2024. The increase was primarily attributable to interest earned on greater money market and treasury bond balances during the three months ended September 30, 2024, as we engaged in significant transactions that increased our liquidity. Refer to "Liquidity and Capital Resources" for a discussion of the changes in our business that led to an increase in cash for the period ended September 30,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loss on extinguishment of debt of $15.6 million recorded in the nine months ended September 30, 2024 was attributable to a loss on repayment of Term Loan in June 2024. See Note 9 to our unaudited condensed consolidated financial statements included within this report for more information.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gain on bargain purchase of $1.2 million was recorded within other income, net in the condensed consolidated statements of operations and comprehensive loss in the nine months ended September 30, 2024 as a result of a favorable fair value of identifiable net assets acquired from an immaterial acquisition at the date of acquisition as compared with the purchase price. See Note 3 to our unaudited condensed consolidated financial statements included within this report for more information.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derivative increased by $5.1 million and $7.3 million, or 100% in the three and nine months ended September 30, 2025 compared to the same period in 2024. The increase was primarily attributable to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remeasurement gain from the change in fair value of a derivative assumed from Amelia acquisition. See Note 16 to our unaudited condensed consolidated financial statements included within this report for more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provision (benefit) for income taxes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0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64"/>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4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Provision (benefit) for income taxes increased by $10.9 million and $12.1 million, or 104% and 126% in the three and nine months ended September 30, 2025, respectively, compared to the same period in 2024. This increase was primarily attributable to decreased tax benefit from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Total unrestricted cash and cash equivalents on hand as of September 30, 2025 was $268.9 million. Although we have incurred recurring losses each year since our inception, except for a net income of $129.9 million reported for the three months ended March 31 2025 and $55.2 million reported for the six months ended June 30, 2025, primarily due to the change in fair value of acquisition related liabilities, we expect we will be able to fund our operations for at least the next twelve months. We believe we will meet longer-term expected future cash requirements and obligations through a combination of cash flows from operating activities and, available cash balances and expected cash proceeds from the on-going at-the-market equity program. Our condensed consolidated financial statements have been prepared assuming that we will continue as a going concern, which contemplates, among other things, the realization of assets and satisfaction of liabilities in the normal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Cash and Material Cash Requirements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which are sourced primarily from the sale of marketable securities. The primary uses of cash include the funding of operating expenses. There were no material changes to our material cash requirements as disclosed in our audited consolidated financial statements for the fiscal year ended December 31, 2024 in our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Equity Distribution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24, 2025, we entered into an Equity Distribution Agreement (the "Second Equity Distribution Agreement") with Cantor Fitzgerald &amp; Co., Guggenheim Securities, LLC, Oppenheimer &amp; Co. Inc., Wedbush Securities Inc., Ladenburg Thalmann &amp; Co. Inc. and Northland Securities, Inc. with respect to an at-the-market equity program. Under this program, we may offer and sell up to $250.0 million of shares of its Class A Common Stock from time to time through the sales managers. Sales of our Class A Common Stock, if any, under the Second Equity Distribution Agreement will be made at market prices by any method that is deemed to be an “at the market offering” as defined in Rule 415 under the Securities Act. The sales managers will be entitled to commission at a fixed rate of 2.0% of the gross sales price per share for their services in acting as agent in the sale of our Class A Common Stock. During the three and nine months ended September 30, 2025, we sold 9,018,114 shares and 13,913,014 shares, respectively, of our common stock under the Second Equity Distribution Agreement, at an average price of $13.97 and $14.48 per share, respectively, and raised $126.0 million and $201.5 million of gross proceeds, respectively. The commissions and offering costs borne by us were approximately $2.5 million and $4.0 million, respectively. As of September 30, 2025, the Company had a remaining capacity to sell up to an additional $48.5 million of our common stock under the Second Equity Distribution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SYNQ3 Acquisition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3, 2024 (the "SYNQ3 Acquisition Date"), we acquired all of the issued and outstanding equity of SYNQ3, a leading provider of voice AI and other technology solutions to the restaurant industry, for total purchase consideration of $15.8 million (the “SYNQ3 Acquisition”).</w:t>
      </w:r>
    </w:p>
    <w:p>
      <w:pPr>
        <w:spacing w:after="0" w:line="189"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The total purchase consideration includes $3.9 million in cash paid and 5,755,910 in shares of our Class A Common Stock issued as of the SYNQ3 Acquisition Date. We also withheld purchase consideration of $0.5 million in cash and 1,179,514 shares of our Class A Common Stock, subject to customary net working capital adjustments, to partially secure the indemnification obligations of SYNQ3's former stockholders under the merger agreement and agreed to pay up to $0.8 million in cash and 1,434,936 in shares of our Class A Common Stock to certain former stockholders of SYNQ3 based upon the achievement of specified future milestones. On the SYNQ3 Acquisition Date, we also issued 2,033,156 restricted shares of our Class A Common Stock subject to time and performance-based vesting conditions. The fair value of the purchase consideration was $15.8 million.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incurred $2.2 million in acquisition related expenses, of which less than an immaterial amount and $0.1 million were incurred during the three and nine months ended September 30, 2025, respectively. We incurred zero and $0.8 million acquisition related expenses during the three and nine months ended September 30, 2024, respectively. These acquisition related expenses were recorded as general and administration expenses in our condensed consolidated statements of operations and comprehensive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SYNQ3 Holdback</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$0.5 million in cash and 1,179,514 shares of our Class A Common Stock were withheld for a period of 15 months (the “SYNQ3 Holdback Amount”). We determined that there are two components to the SYNQ3 Holdback Amount related to deferred consideration and contingent consideration, each comprised of cash and shares.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deferred cash holdback consideration of $0.1 million and the deferred share holdback consideration of 361,145 shares of our Class A Common Stock (collectively, the “Deferred Consideration”) were not recognized as of the SYNQ3 Acquisition Date as such amounts were offset by the indemnification obligations of SYNQ3's former stockholders.</w:t>
      </w:r>
    </w:p>
    <w:p>
      <w:pPr>
        <w:spacing w:after="0" w:line="2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contingent cash and share holdback consideration to be issued is variable (“Contingent SYNQ3 Holdback Consideration”). Final amounts to be issued will be reduced based upon future actions and settlements with third parties to resolve assumed contingent sales tax liabilities and certain other assumed contingent liabilities of SYNQ3 in connection with the SYNQ3 Acquisition. We accounted for the Contingent SYNQ3 Holdback Consideration as a liability on the condensed consolidated balance sheet. As of the SYNQ3 Acquisition Date, the Contingent SYNQ3 Holdback Consideration was estimated to be $0.6 million in aggregate and to be settled in $0.1 million cash and the remainder in shares of our Class A Common Stock. During the year ended December 31, 2024, we issued 38,277 shares of our Class A Common Stock and paid an immaterial amount in cash from the Contingent SYNQ3 Holdback Consideration to SYNQ3's former stockholders as a result of the net working capital adjustments settled during the year. The Contingent SYNQ3 Holdback Consideration will be subsequently remeasured at each reporting date with changes in fair value recognized as a component of operating expense on our condensed consolidated statement of operations and comprehensive loss.</w:t>
      </w:r>
    </w:p>
    <w:p>
      <w:pPr>
        <w:spacing w:after="0" w:line="2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2025, the Contingent SYNQ3 Holdback Consideration was settled by issuing 472,501 shares of the Company’s Class A Common Stock and paying $0.2 million in cash. After the holdback settlement, any remaining indemnifications by the sellers to cover unsettled claims was offset against the Contingent SYNQ3 Earnout Consideration to the extent of its fair value as of June 30, 2025. See Note 16 to our unaudited condensed consolidated financial statements included within this report for more information on the fair value measurement of Contingent SYNQ3 Holdback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SYNQ3 Earnout Consideration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agreed to pay in aggregate up to $0.8 million in cash and 1,434,936 in shares of Class A Common Stock, to certain stockholders of SYNQ3 based on tiered annual revenue targets for each fiscal year 2024, 2025 and 2026 (the “Contingent SYNQ3 Earnout Consideration”). We accounted for the Contingent SYNQ3 Earnout Consideration as a liability within contingent acquisition liabilities on our condensed consolidated balance sheets and will subsequently remeasure the liability at each reporting date with changes in fair value recognized as a component of operating expense in our condensed consolidated statement of operations and comprehensive loss. As of the SYNQ3 Acquisition Date, the Contingent SYNQ3 Earnout Consideration was estimated to be $1.7 million in aggregate and to be settled in $0.2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the remainder in shares of our Class A Common Stock. See Note 16 to our unaudited condensed consolidated financial statements included within this report for more information on the fair value measurement of Contingent SYNQ3 Earnout Consideration. As of September 30, 2025, the 2024 revenue target was not met. The Company assessed the 2025 revenue target was not probable of being met but the 2026 revenue target was probable of being met. No earnout consideration was issued as of September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2,033,156 restricted shares of our Class A Common Stock issued at the SYNQ3 Acquisition Date to certain continuing employees of SYNQ3 subject to time and performance-based vesting conditions was determined to be a separate transaction from the SYNQ3 Acquisition and therefore is excluded from purchase consideration.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condition of the SYNQ3 Acquisition, we additionally granted certain employees awards with future vesting conditions. As a result, we determined that these awards should be accounted for separately from the SYNQ3 Acquisition and therefore are excluded from purchase consideration.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purchase price allocation has been finalized as of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Amelia Acquisition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6, 2024 (the “Amelia Acquisition Date”), we completed the acquisition of Amelia Holdings, Inc. (the “Amelia Acquisition”), a privately-held conversational AI software company involved in the development and delivery of AI and automation solutions and related services to improve customer experience and optimize business outcomes.</w:t>
      </w:r>
    </w:p>
    <w:p>
      <w:pPr>
        <w:spacing w:after="0" w:line="18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the Amelia Acquisition Date, we issued a total of 3,809,520 shares of the SoundHound Class A common stock to the sellers. Pursuant to the terms of the purchase agreement, we also issued and deposited 2,149,530 shares of the SoundHound Class A common stock into an escrow account in order to partially secure the indemnification obligations of the selling shareholders under the purchase agreement. We also paid $8.4 million of cash for seller transaction expenses in connection with the closing of the Amelia Acquisition. We agreed to issue up to 16,822,429 shares to the selling shareholders based on achievement of certain revenue targets in fiscal years 2025 and 2026. The fair value of the purchase consideration was $98.6 million.</w:t>
      </w:r>
    </w:p>
    <w:p>
      <w:pPr>
        <w:spacing w:after="0" w:line="21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In connection with the Amelia Acquisition, we assumed the amended senior secured term loan facility from Amelia in an aggregate principal amount of $121.5 million (“Amelia Debt”). On December 3, 2024, we entered into a letter agreement (the “Amelia Debt Payoff Letter”) to prepay in full all indebtedness and other amounts outstanding and owing under the Amelia Debt Credit Agreement and the Amelia Debt was subsequently paid in full.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Consideration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the Amelia Acquisition Date, we issued and deposited 2,149,530 shares of our Class A Common Stock into an escrow account in order to partially secure the indemnification obligations of the selling shareholders under the purchase agreement. We accounted for the escrow consideration as equity issued as part of consideration transferred. Upon the settlement of any valid indemnification claims against the sellers, the escrow agent will return a number of shares to us equal to the dollar value of the indemnified loss divided by the reference price of $5.35 as stipulated in the purchase agreement. We concluded that this variability in settlement value is a derivative that is requirement to be remeasured to fair value due to changes in stock price. For the three and nine months ended September 30, 2025, we recognized a gain of $5.1 million and $7.3 million, respectively, related to remeasurement of the derivative, reflected in the other income, net in the condensed consolidated statement of operations and comprehensive loss. Upon the expiration of the escrow period, any remaining shares in the escrow account will be released to the selling shareholders. See Note 16 to our unaudited condensed consolidated financial statements included within this report for more information on the fair value measurement of the derivative related to indemnification rights. Upon the expiration of the escrow period, any remaining shares within the escrow account will be released to the selling shareholders.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Amelia Earnout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agreed to pay up to 16,822,429 in shares of Class A Common Stock to the selling shareholders based on achievement of certain revenue targets in fiscal years 2025 and 2026 (the “Contingent Amelia Earnout Consideration”). We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accounted for the Contingent Amelia Earnout Consideration as a liability within contingent acquisition liabilities on the our condensed consolidated balance sheet and will subsequently remeasure the liability at each reporting date with changes in fair value recognized as a component of operating expense in our condensed consolidated statement of operations and comprehensive loss. As of the Amelia Acquisition Date, the Contingent Amelia Earnout Consideration had an estimated fair value of $66.3 million and will be settled in shares of our Class A Common Stock. For the three and nine months ended September 30, 2025, we recognized a loss of $65,945,000 and a gain of $70.1 million, respectively, related to the Contingent Amelia Earnout Consideration, reflected in the change in fair value of contingent acquisition liabilities in the condensed consolidated statement of operations and comprehensive loss. As of September 30, 2025, the Company assessed the 2025 and 2026 revenue targets were probable of being met.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measurement period adjustments to decrease the accrued liabilities by $0.1 million and other current liabilities by $0.4 million due to true-up of the accrued payroll taxes and sales taxes subsequent to the acquisition. As a result of the adjusted acquisition-date fair value of liabilities assumed, we recorded a decrease of $0.5 million to the goodwill recognized. The measurement period adjustments were recorded in the condensed consolidated financial statements as of and for the nine months ended September 30, 2025 and were made to reflect facts and circumstances that existed as of the Amelia Acquisition Date.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purchase price allocation has been finalized as of September 30,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incurred $6.7 million in acquisition related expenses, of which $0.1 million and $0.9 million was incurred during the three and nine months ended September 30, 2025 and recorded as general and administration expenses in its condensed consolidated statements of operat</w:t>
      </w:r>
      <w:r>
        <w:rPr>
          <w:rFonts w:ascii="Times New Roman" w:cs="Times New Roman" w:eastAsia="Times New Roman" w:hAnsi="Times New Roman"/>
          <w:sz w:val="18"/>
          <w:szCs w:val="18"/>
          <w:color w:val="232323"/>
        </w:rPr>
        <w: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Acquisition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3, 2025 (the “Interactions Acquisition Date”), we acquired all of the issued and outstanding equity of Interactions Corporation (the “Interactions Acquisition”), a pioneer in AI for customer service and workflow orchestration. This strategic deal is expected to strengthen and extend SoundHound’s growing leadership in Agentic AI and accelerate its market penetration in customer service across enterprise businesses. The transaction also expands SoundHound’s customer portfolio across various industries, including global consumer icons, large technology device brands, insurers, automakers, and other preeminent Fortune 100 companies across industries.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preliminary purchase consideration was $76.1 million. The preliminary purchase consideration includes $19.4 million of cash paid to the selling shareholders. We also paid $4.1 million of cash for seller transaction expenses in connection with the closing of the Interactions Acquisition.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Interactions Acquisition, we paid the debt held by Interactions (the “Interactions Debt”) on the Interactions Acquisition Date in an aggregate principal amount of $41.5 million as part of the purchase consideration under the merger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has also withheld purchase consideration of $1.2 million in cash, subject to customary net working capital adjustments, to partially secure the indemnification obligations of Interactions' former stockholders under the merger agreement and agreed to pay up to $25.0 million in cash to certain former stockholders of Interactions based upon the achievement of specified future milestones in fiscal years 2026 and 2027 (the "Contingent Interactions Earnout Consideration).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Interactions Holdback</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Interactions Acquisition Date, the $1.2 million in cash withheld (the "Deferred Interactions Holdback Consideration") consisted of two components, adjustment holdback consideration and indemnity holdback consideration.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adjustment holdback consideration of $1.0 million was recorded within other current liabilities at fair value as of the Interactions Acquisition Date (the "Interactions Adjustment Holdback Consideration"), and is estimated to be paid within 120 days subsequent to the Interactions Acquisition Date to Interactions' former stockholders for the settlement of net working capital adjustments.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indemnity holdback consideration of $0.2 million was recorded within other current liabilities, which was withheld for a period of 12 months subsequent to the Interactions Acquisition Date (the "Interactions Indemnity Holdback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Consideration"). Payment will occur after the sellers complete their review of the closing statement which must be submitted by the acquirer within 120 days of the Interactions Acquisition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Interactions Earnout Consideration</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agreed to pay up to $25.0 million in cash to the selling shareholders based on achievement of certain annual revenue targets in fiscal years 2025 and 2026 and renewal or extension of an existing contract with a specific customer on or before March 31, 2026. We accounted for the Contingent Interactions Earnout Consideration as a liability within contingent acquisition liabilities on the condensed consolidated balance sheets and will subsequently remeasure the liability at each reporting date with changes in fair value recognized as a component of operating expense in the condensed consolidated statement of operations and comprehensive loss. As of the Interactions Acquisition Date, the Contingent Interactions Earnout Consideration had an estimated fair value of $9.9 million. For the three months ended September 30, 2025, we recognized a loss of $0.3 million related to the Contingent Interactions Earnout Consideration, reflected in the change in fair value of contingent acquisition liabilities in the condensed consolidated statement of operations and comprehensive loss. As of September 30, 2025, we assessed the 2026 and 2027 revenue targets were probable of being met, and an existing contract with a specific customer was probable of being renewed or extended on or before March 31, 2026.</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purchase accounting is not yet complete as of September 30, 2025 and as such, the final allocation among purchase consideration, intangible assets, net assets acquired and goodwill may be subject to change. Any adjustments to the preliminary purchase price allocation will be made in the periods in which the adjustments are determined, and the cumulative effect of such adjustments will be calculated as if the adjustments had been completed as of the acquisition date. The Company expects to finalize the purchase price allocation within 12 months from the acquisition date.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32323"/>
        </w:rPr>
        <w:t>incurred</w:t>
      </w:r>
      <w:r>
        <w:rPr>
          <w:rFonts w:ascii="Times New Roman" w:cs="Times New Roman" w:eastAsia="Times New Roman" w:hAnsi="Times New Roman"/>
          <w:sz w:val="18"/>
          <w:szCs w:val="18"/>
          <w:color w:val="auto"/>
        </w:rPr>
        <w:t xml:space="preserve"> $3.8 million </w:t>
      </w:r>
      <w:r>
        <w:rPr>
          <w:rFonts w:ascii="Times New Roman" w:cs="Times New Roman" w:eastAsia="Times New Roman" w:hAnsi="Times New Roman"/>
          <w:sz w:val="18"/>
          <w:szCs w:val="18"/>
          <w:color w:val="232323"/>
        </w:rPr>
        <w:t>in acquisition related expenses during the</w:t>
      </w:r>
      <w:r>
        <w:rPr>
          <w:rFonts w:ascii="Times New Roman" w:cs="Times New Roman" w:eastAsia="Times New Roman" w:hAnsi="Times New Roman"/>
          <w:sz w:val="18"/>
          <w:szCs w:val="18"/>
          <w:color w:val="auto"/>
        </w:rPr>
        <w:t xml:space="preserve"> three and nine months ended September 30, 2025 </w:t>
      </w:r>
      <w:r>
        <w:rPr>
          <w:rFonts w:ascii="Times New Roman" w:cs="Times New Roman" w:eastAsia="Times New Roman" w:hAnsi="Times New Roman"/>
          <w:sz w:val="18"/>
          <w:szCs w:val="18"/>
          <w:color w:val="232323"/>
        </w:rPr>
        <w:t>and recorded as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2323"/>
        </w:rPr>
        <w:t xml:space="preserve">administration expenses in its condensed consolidated statements of operations and comprehensive </w:t>
      </w:r>
      <w:r>
        <w:rPr>
          <w:rFonts w:ascii="Times New Roman" w:cs="Times New Roman" w:eastAsia="Times New Roman" w:hAnsi="Times New Roman"/>
          <w:sz w:val="18"/>
          <w:szCs w:val="18"/>
          <w:color w:val="000000"/>
        </w:rPr>
        <w:t>loss</w:t>
      </w:r>
      <w:r>
        <w:rPr>
          <w:rFonts w:ascii="Times New Roman" w:cs="Times New Roman" w:eastAsia="Times New Roman" w:hAnsi="Times New Roman"/>
          <w:sz w:val="18"/>
          <w:szCs w:val="18"/>
          <w:color w:val="232323"/>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2024, we completed an immaterial acquisition for total purchase consideration of $1.0 million. As part of the acquisition, we acquired net assets of $2.2 million, including intangible assets of $2.6 million, and recognized a gain on bargain purchase of $1.2 million within other income, net in the condensed consolidated statements of operations and comprehensive loss during the quarter of the acquisition, resulting from a favorable fair value of identifiable net assets acquired at the date of acquisition as compared with the purchase price. We were able to negotiate a bargain purchase price as a result of the recurring losses and pre-filing bankruptcy status of the selling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has been finalized as of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we expect to continue investing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Refer to Note 7 and Note 9 to the unaudited condensed consolidated financial statements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4"/>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$76.3 million during the nine months ended September 30, 2025 compared to $75.8 million during the nine months ended September 30, 2024. The $0.6 million increase in cash used in operating activities was primarily due to decreases of $38.0 million in net loss and $11.5 million in deferred income taxes, and increases of $37.7 million in stock-based compensation, $16.0 million in depreciation and amortization, $2.5 million in other non-cash loss and $1.0 million in amortization of capitalized commissions, which were partially offset by the movement of $80.2 million from change in the fair value of contingent acquisition liabilities, decrease of $15.6 million in loss on early extinguishment of debt, $7.3 million in change in fair value of derivative, $2.0 million in changes in operating assets and liabilities, $1.6 million in amortization of debt issuance cost, $0.5 million in foreign currency gain from remeasurement, and non-cash lease amortization of $0.1 million. Within the increase of $37.7 million in stock-based compensation, $3.8 million was related to accelerated vesting of RSAs during the nine months ended September 30, 2025 as part of our integration plan of SYNQ3.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$57.0 million during the nine months ended September 30, 2025 compared to $12.3 million during the nine months ended September 30, 2024. The $44.7 million increase in cash used in investing activities was primarily driven by the increases of payments related to acquisitions of $42.9 million and software development costs of $1.8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$204.5 million during the nine months ended September 30, 2025 compared to $115.4 million during the nine months ended September 30, 2024. The $89.1 million increase in cash provided by financing activities was primarily due to decreases of $175.6 million in the payment of notes payable, and $3.2 million in the payment of financing costs associated with the Sales Agreement and Second Equity Distribution Agreement, which is partially offset by decreases of $85.8 million in net proceeds from sales of Class A Common Stock under the Sales Agreement and Second Equity Distribution Agreement and $3.8 million in proceeds from exercise of stock options and employee stock purchase plan, and an increase of $0.2 million in the payment to settle contingent holdback liabilities from SYNQ3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time after the execution of the agreement. The maximum potential amount of future payments we could be required to make under these arrangements is not determinable. Additionally, we have, and may in the future, indemnify third parties in connection with our issuance of securities (including pursuant to our at-the-market offering program) and in connection with acquisitions of other companies. Our liability is generally limited to the aggregate amount of consideration actually received in these instances. We have never incurred costs to defend lawsuits or settle claims related to these indemnification agreements. As a result, we believe the fair value of these agreements is minimal.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condensed consolidated financial statements included elsewhere in this report that have been prepared in accordance with U.S. GAAP. The preparation of these financial statements requires us to make estimates and assumptions that affect the reported amounts of assets and liabilities and the disclosures of contingent assets and liabilities at the date of the financial statements, as well as the reported loss generated and expenses incurred during the reporting periods. Our estimates are based on our historical experience and on various other factors that we believe are reasonable under the circumstances, the results of which form the basis for making judgment about the carrying value of assets and liabilities that are not readily apparent from other sources. Actual results may differ from these estimates under different assumptions or conditions and any such differences may be material. Historically, our assumptions, judgments and estimates relative to our critical accounting policies have not differed materially from actual results.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critical accounting policies, see “Management’s discussion and analysis of financial condition and results of operations” and the notes to the condensed consolidated financial statements included in our Form 10-K, which was filed with the SEC on March 11,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the information presented in Part II, Item 7A. “Quantitative and Qualitative Disclosures About Market Risk” in our Form 10-K, except as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presented in U.S. dollars, which is also the functional currency for our foreign operations. Where transactions may be denominated in foreign currencies, we are subject to market risk with respect to fluctuations in the relative value of currencies. We recorded exchange rate losses of $0.5 million and $1.0 million during the three and nine months ended September 30, 2025, respectively, and $0.1 million and $0.5 million during the three and nine months ended September 30, 2024, respectively. We do not believe that an immediate 10% increase or decrease in the relative value of the U.S. dollar to other currencies would have a material effect on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disclosure controls and procedures (as such term is defined in Rules 13a-15(e) and 15d-15(e) under the Exchange Act) as of the end of the period covered by this Quarterly Report on Form 10-Q. Based on this evaluation, our Chief Executive Officer and Chief Financial Officer have concluded that our disclosure controls and procedures were not effective as of September 30, 2025 due to the material weaknesses in the Company’s internal control over financial reporting described below. However, after giving full consideration to the material weaknesses described below, and the additional analyses and other procedures management performed to ensure that its consolidated financial statements included in this Quarterly Report on Form 10-Q were prepared in accordance with U.S. GAAP, the Company’s management has concluded that its consolidated financial statements present fairly, in all material respects, its financial position, results of operations and cash flows for the periods presented in conformity with U.S.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Compliance and Disclosure Interpretations issued by SEC staff, companies are allowed to exclude acquired businesses from the assessment of internal control over financial reporting during the first year after completion of an acquisition and from the assessment of disclosure controls and procedures that are subsumed in internal control over financial reporting. Based on this guidance, our assessment of the effectiveness of the Company’s disclosure controls and procedures as of September 30, 2025 excluded the portion of disclosure controls and procedures that are subsumed by internal control over financial reporting related to Interactions LLC (Interactions), which was acquired by the Company during the quarter in an acquisition accounted for as a business combination. Interactions’ total assets represented approximately 13.83% of the Company's consolidated total assets as of September 30, 2025, excluding the effects of purchase accounting, and its revenues represented approximately 13.08% and 4.83%, respectively, of the Company's consolidated total revenues for the three and nine months ended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a company’s annual or interim financial statements may not be prevented or detected on a timely basis. As of September 30, 2025, the material weaknesses were as follows: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did not maintain an effective control environment as it lacked sufficient oversight of activities related to its internal control over financial reporting due to a lack of appropriate level of experience and training commensurate with its financial reporting requirements. Further, due to rapid business growth, changes to existing controls or the implementation of new controls have not been sufficient to respond to changes to the risks of material misstatement to financial reporting, which resulted in the Company, including the SYNQ3 and Amelia entities which were acquired during 2024, not designing and maintaining effective controls related to substantially all accounts and disclosures. These material weaknesses contributed to the following additional material weaknesses:</w:t>
      </w:r>
    </w:p>
    <w:p>
      <w:pPr>
        <w:spacing w:after="0" w:line="187" w:lineRule="exact"/>
        <w:rPr>
          <w:sz w:val="20"/>
          <w:szCs w:val="20"/>
          <w:color w:val="auto"/>
        </w:rPr>
      </w:pPr>
    </w:p>
    <w:p>
      <w:pPr>
        <w:ind w:firstLine="332"/>
        <w:spacing w:after="0" w:line="282"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identification of and accounting for certain non-routine, unusual or complex transactions, including the accounting for complex financing transactions and acquisitions.</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 including assessment of incompatible duties, identification of instances where incompatible duties were assigned to an individual, and addressing conflicts on a timely basis.</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certain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and (iii) computer operations controls to ensure that processing and transfer of data, and data backups and recovery are monitored.</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material weaknesses related to the control environment, risk assessment and the accounting for certain non-routine, unusual or complex transactions resulted in the revision of the consolidated financial statements as of and for the periods ended September 30, 2022, December 31, 2022, March 31, 2023, June 30, 2023, immaterial errors related to SYNQ3 and Amelia acquisitions during the year ended December 31, 2024 and immaterial errors in various accounts during the interim and annual periods during 2023, 2024, first quarter, second quarter and third quarter of 2025. The material weaknesses related to segregation of duties and IT general controls did not result in a misstatement to our annual or interim consolidated financial statements. Additionally, the material weaknesses could result in misstatements to substantially all of our accounts and disclosures that would result in a material misstatement of the annual or interim consolidated financial statements that would not be prevented or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the Material Weaknesses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continues to make significant progress towards completion of the remediation activities as disclosed in Item 9A of the 2024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remediation actions were completed during the third quarter:</w:t>
      </w:r>
    </w:p>
    <w:p>
      <w:pPr>
        <w:spacing w:after="0" w:line="207" w:lineRule="exact"/>
        <w:rPr>
          <w:sz w:val="20"/>
          <w:szCs w:val="20"/>
          <w:color w:val="auto"/>
        </w:rPr>
      </w:pPr>
    </w:p>
    <w:p>
      <w:pPr>
        <w:ind w:firstLine="332"/>
        <w:spacing w:after="0" w:line="282" w:lineRule="auto"/>
        <w:tabs>
          <w:tab w:leader="none" w:pos="6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process to consolidate all disparate international (non-US) payroll systems into one centralized payroll system for international (non-US) entities.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process to consolidate multiple Customer Relationship Management (CRM) systems into one CRM system.</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 activities and enhanced the design of existing control activities related to the Revenue and Business Combination processes.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process to automate quarterly user access reviews and the segregation of duties analysis.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progress was made during the third quarter, management continues to execute the activities needed to implement its remediation plan. The material weaknesses will not be considered remediated until management completes the design and implementation of the necessary controls, the controls operate for a sufficient period of time, and management has concluded, through testing, that the controls are operating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07" w:lineRule="auto"/>
        <w:rPr>
          <w:sz w:val="20"/>
          <w:szCs w:val="20"/>
          <w:color w:val="auto"/>
        </w:rPr>
      </w:pPr>
      <w:r>
        <w:rPr>
          <w:rFonts w:ascii="Times New Roman" w:cs="Times New Roman" w:eastAsia="Times New Roman" w:hAnsi="Times New Roman"/>
          <w:sz w:val="18"/>
          <w:szCs w:val="18"/>
          <w:color w:val="auto"/>
        </w:rPr>
        <w:t>As noted above, there were changes in the Company’s internal control over financial reporting (as defined in Rule 13a-15(f) of the Exchange Act) during the quarterly period ended September 30, 2025 that materially affected, or are reasonably likely to materially affect, the Company’s internal control</w:t>
      </w:r>
    </w:p>
    <w:p>
      <w:pPr>
        <w:spacing w:after="0"/>
        <w:rPr>
          <w:sz w:val="20"/>
          <w:szCs w:val="20"/>
          <w:color w:val="auto"/>
        </w:rPr>
      </w:pPr>
      <w:r>
        <w:rPr>
          <w:rFonts w:ascii="Times New Roman" w:cs="Times New Roman" w:eastAsia="Times New Roman" w:hAnsi="Times New Roman"/>
          <w:sz w:val="18"/>
          <w:szCs w:val="18"/>
          <w:color w:val="auto"/>
        </w:rPr>
        <w:t>over financial reporting.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material set forth in the section titled “Legal Proceedings” in Note 7 of our Notes to condensed consolidated Financial Statements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Annual Report on Form 10-K for the year ended December 31, 2024, as updated in our Quarterly Report on Form 10-Q for the quarters ended March 31, 2025 and June 30, 2025, which could adversely affect our business, financial condition, results of operations, cash flows, and the trading price of our stock. There have been no material changes from these risk factors during the quarter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2025, the following Section 16 officers and directors adopted, modified or terminated a “Rule 10b5-1 trading arrangement” (as defined in Item 408 of Regulation S-K of the Exchange Act):</w:t>
      </w:r>
    </w:p>
    <w:p>
      <w:pPr>
        <w:spacing w:after="0" w:line="162"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Keyvan Mohajer, Chief Executive Officer and Director, adopted a new trading plan on August 19, 2025 (with the first trade under the new plan not to be made prior to December 1, 2025). The trading plan will be effective until February 28, 2026 and provides for the sale of up to 2,400,000 shares of Dr. Mohajer's 14,139,064 shares of Class B common stock and up to 904,045 shares of Class A common stock issuable upon vesting and settlement of certain RSUs and PSUs, provided that certain conditions are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May 20, 2025 (with the first trade under the new plan not to be made prior to October 1, 2025). The trading plan will be effective until December 31, 2025 and provides for the sale of up to 800,000 shares of Mr. Hom's 1,812,588 shares of Class B common stock and up to 108,683 shares of Class A common stock issuable upon vesting and settlement of certain RSUs, provided that certain conditions are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Hom, Chief Product Officer and Director, adopted a new trading plan on August 19, 2025 (with the first trade under the new plan not to be made prior to January 2, 2026). The trading plan will be effective until March 31, 2026 and provides for the sale of up to 750,000 shares of Mr. Hom's 1,812,588 shares of Class B common stock and up to 159,879 shares of Class A common stock issuable upon vesting and settlement of certain RSUs, provided that certain conditions are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Majid Emami, Chief Science Officer and Senior Vice President, adopted a new trading plan on September 23, 2025 (with the first trade under the new plan not to be made prior to January 2, 2026). The trading plan will be effective until March 31, 2026 and provides for the sale of up to 2,400,000 shares of Mr. Emami's 16,583,756 shares of Class B common stock and up to 301,297 shares of Class A common stock issuable upon vesting and settlement of certain RSUs and PSUs, provided that certain conditions are met.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Diana Sroka, Director, adopted a new trading plan on August 12, 2025 (with the first trade under the new plan not to be made prior to November 11, 2025). The trading plan will be effective until May 31, 2026 and provides for the sale of up to 5,370 shares of Ms. Sroka's Class A common stock issuable upon vesting and settlement of certain RSUs, provided that certain conditions are met.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quarter ended September 30, 2025 by our directors and Section 16 officers. Each of the Rule 10b5-1 trading arrangements is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No.</w:t>
            </w:r>
          </w:p>
        </w:tc>
        <w:tc>
          <w:tcPr>
            <w:tcW w:w="2060" w:type="dxa"/>
            <w:vAlign w:val="bottom"/>
          </w:tcPr>
          <w:p>
            <w:pPr>
              <w:spacing w:after="0"/>
              <w:rPr>
                <w:sz w:val="20"/>
                <w:szCs w:val="20"/>
                <w:color w:val="auto"/>
              </w:rPr>
            </w:pPr>
          </w:p>
        </w:tc>
        <w:tc>
          <w:tcPr>
            <w:tcW w:w="7420" w:type="dxa"/>
            <w:vAlign w:val="bottom"/>
            <w:gridSpan w:val="4"/>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76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9460" w:type="dxa"/>
            <w:vAlign w:val="bottom"/>
            <w:tcBorders>
              <w:bottom w:val="single" w:sz="8" w:color="0000FF"/>
            </w:tcBorders>
            <w:gridSpan w:val="4"/>
            <w:shd w:val="clear" w:color="auto" w:fill="CCEEFF"/>
          </w:tcPr>
          <w:p>
            <w:pPr>
              <w:spacing w:after="0" w:line="20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Agreement and Plan of Merger, dated September 3, 2025, by and among SoundHound, Inc., Iris Merger Sub, Inc., Shareholder</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760" w:type="dxa"/>
            <w:vAlign w:val="bottom"/>
            <w:shd w:val="clear" w:color="auto" w:fill="CCEEFF"/>
          </w:tcPr>
          <w:p>
            <w:pPr>
              <w:spacing w:after="0"/>
              <w:rPr>
                <w:sz w:val="17"/>
                <w:szCs w:val="17"/>
                <w:color w:val="auto"/>
              </w:rPr>
            </w:pPr>
          </w:p>
        </w:tc>
        <w:tc>
          <w:tcPr>
            <w:tcW w:w="9480" w:type="dxa"/>
            <w:vAlign w:val="bottom"/>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Representative Services LLC, Interactions Corporation and SoundHound AI, Inc.</w:t>
              </w:r>
            </w:hyperlink>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7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4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 Exchange Act Rules 13a-14(a) and 15(d)-14(a), as adopted</w:t>
            </w:r>
          </w:p>
        </w:tc>
        <w:tc>
          <w:tcPr>
            <w:tcW w:w="20" w:type="dxa"/>
            <w:vAlign w:val="bottom"/>
          </w:tcPr>
          <w:p>
            <w:pPr>
              <w:spacing w:after="0"/>
              <w:rPr>
                <w:sz w:val="17"/>
                <w:szCs w:val="17"/>
                <w:color w:val="auto"/>
              </w:rPr>
            </w:pPr>
          </w:p>
        </w:tc>
      </w:tr>
      <w:tr>
        <w:trPr>
          <w:trHeight w:val="196"/>
        </w:trPr>
        <w:tc>
          <w:tcPr>
            <w:tcW w:w="1760" w:type="dxa"/>
            <w:vAlign w:val="bottom"/>
          </w:tcPr>
          <w:p>
            <w:pPr>
              <w:spacing w:after="0"/>
              <w:rPr>
                <w:sz w:val="17"/>
                <w:szCs w:val="17"/>
                <w:color w:val="auto"/>
              </w:rPr>
            </w:pPr>
          </w:p>
        </w:tc>
        <w:tc>
          <w:tcPr>
            <w:tcW w:w="9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48"/>
        </w:trPr>
        <w:tc>
          <w:tcPr>
            <w:tcW w:w="176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15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76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Securities Exchange Act Rules 13a-14(a) and 15(d)-14(a), as adopted</w:t>
            </w:r>
          </w:p>
        </w:tc>
      </w:tr>
      <w:tr>
        <w:trPr>
          <w:trHeight w:val="244"/>
        </w:trPr>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428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51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7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9460" w:type="dxa"/>
            <w:vAlign w:val="bottom"/>
            <w:tcBorders>
              <w:bottom w:val="single" w:sz="8" w:color="0000FF"/>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c>
          <w:tcPr>
            <w:tcW w:w="20" w:type="dxa"/>
            <w:vAlign w:val="bottom"/>
          </w:tcPr>
          <w:p>
            <w:pPr>
              <w:spacing w:after="0"/>
              <w:rPr>
                <w:sz w:val="17"/>
                <w:szCs w:val="17"/>
                <w:color w:val="auto"/>
              </w:rPr>
            </w:pPr>
          </w:p>
        </w:tc>
      </w:tr>
      <w:tr>
        <w:trPr>
          <w:trHeight w:val="196"/>
        </w:trPr>
        <w:tc>
          <w:tcPr>
            <w:tcW w:w="1760" w:type="dxa"/>
            <w:vAlign w:val="bottom"/>
          </w:tcPr>
          <w:p>
            <w:pPr>
              <w:spacing w:after="0"/>
              <w:rPr>
                <w:sz w:val="17"/>
                <w:szCs w:val="17"/>
                <w:color w:val="auto"/>
              </w:rPr>
            </w:pPr>
          </w:p>
        </w:tc>
        <w:tc>
          <w:tcPr>
            <w:tcW w:w="94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48"/>
        </w:trPr>
        <w:tc>
          <w:tcPr>
            <w:tcW w:w="176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2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760" w:type="dxa"/>
            <w:vAlign w:val="bottom"/>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94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760" w:type="dxa"/>
            <w:vAlign w:val="bottom"/>
            <w:tcBorders>
              <w:top w:val="single" w:sz="8" w:color="CCEEFF"/>
            </w:tcBorders>
            <w:shd w:val="clear" w:color="auto" w:fill="CCEEFF"/>
          </w:tcPr>
          <w:p>
            <w:pPr>
              <w:spacing w:after="0"/>
              <w:rPr>
                <w:sz w:val="17"/>
                <w:szCs w:val="17"/>
                <w:color w:val="auto"/>
              </w:rPr>
            </w:pPr>
          </w:p>
        </w:tc>
        <w:tc>
          <w:tcPr>
            <w:tcW w:w="9460" w:type="dxa"/>
            <w:vAlign w:val="bottom"/>
            <w:tcBorders>
              <w:top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3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 w:lineRule="exact"/>
        <w:rPr>
          <w:sz w:val="20"/>
          <w:szCs w:val="20"/>
          <w:color w:val="auto"/>
        </w:rPr>
      </w:pPr>
    </w:p>
    <w:p>
      <w:pPr>
        <w:jc w:val="both"/>
        <w:ind w:left="1760" w:right="20" w:hanging="1064"/>
        <w:spacing w:after="0" w:line="258"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SoundHound AI, Inc.'s Quarterly Report on Form 10-Q for the quarter ended September 30, 2025 formatted in Inline XBRL (Extensible Business Reporting Language) includes: (i) the condensed consolidated balance sheets, (ii) the condensed consolidated statements of operations and comprehensive loss, (iii) the condensed consolidated statements of stockholders' equity, (iv) the condensed consolidated statements of cash flows,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or filed in other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54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27"/>
        </w:trPr>
        <w:tc>
          <w:tcPr>
            <w:tcW w:w="3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r>
      <w:tr>
        <w:trPr>
          <w:trHeight w:val="270"/>
        </w:trPr>
        <w:tc>
          <w:tcPr>
            <w:tcW w:w="3700" w:type="dxa"/>
            <w:vAlign w:val="bottom"/>
          </w:tcPr>
          <w:p>
            <w:pPr>
              <w:spacing w:after="0"/>
              <w:rPr>
                <w:sz w:val="23"/>
                <w:szCs w:val="23"/>
                <w:color w:val="auto"/>
              </w:rPr>
            </w:pPr>
          </w:p>
        </w:tc>
        <w:tc>
          <w:tcPr>
            <w:tcW w:w="29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7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31"/>
        </w:trPr>
        <w:tc>
          <w:tcPr>
            <w:tcW w:w="3700" w:type="dxa"/>
            <w:vAlign w:val="bottom"/>
          </w:tcPr>
          <w:p>
            <w:pPr>
              <w:spacing w:after="0"/>
              <w:rPr>
                <w:sz w:val="24"/>
                <w:szCs w:val="24"/>
                <w:color w:val="auto"/>
              </w:rPr>
            </w:pPr>
          </w:p>
        </w:tc>
        <w:tc>
          <w:tcPr>
            <w:tcW w:w="29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68</w:t>
            </w:r>
          </w:p>
        </w:tc>
        <w:tc>
          <w:tcPr>
            <w:tcW w:w="454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Keyvan Mohajer</w:t>
            </w:r>
          </w:p>
        </w:tc>
      </w:tr>
      <w:tr>
        <w:trPr>
          <w:trHeight w:val="257"/>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tc>
      </w:tr>
      <w:tr>
        <w:trPr>
          <w:trHeight w:val="243"/>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Nitesh Sharan</w:t>
            </w:r>
          </w:p>
        </w:tc>
      </w:tr>
      <w:tr>
        <w:trPr>
          <w:trHeight w:val="257"/>
        </w:trPr>
        <w:tc>
          <w:tcPr>
            <w:tcW w:w="67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674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September 30, 2025, as filed with the Securities and Exchange Commission on the date hereof (the “Report”), Dr. Keyvan Mohajer,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3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43"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“Company’s Quarterly Report”) on Form 10-Q for the period ended September 30, 2025, as filed with the Securities and Exchange Commission on the date hereof (the “Report”), Nitesh Sharan,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26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Nitesh Sharan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10, 2025</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3"/>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3" Type="http://schemas.openxmlformats.org/officeDocument/2006/relationships/hyperlink" Target="https://www.sec.gov/Archives/edgar/data/1840856/000121390025086243/ea025660401ex2-1_s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2025-11-10T15:34:59Z</dcterms:created>
  <dcterms:modified xsi:type="dcterms:W3CDTF">2025-11-10T15:34:59Z</dcterms:modified>
</cp:coreProperties>
</file>