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333-273393</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Prospectus dated August 4, 2023)</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$150,000,000 of Class A Common Stock</w:t>
      </w:r>
    </w:p>
    <w:p>
      <w:pPr>
        <w:spacing w:after="0" w:line="207"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SoundHound AI, Inc. (“SoundHound AI,” the “Company,” “we,” “us” or “our”) has entered into an Equity Distribution Agreement (the “Agreement”) by and among Citigroup Global Markets Inc., Barclays Capital Inc., Wedbush Securities Inc., Northland Securities, Inc., and Ladenburg Thalmann &amp; Co. Inc. (each a “Manager” and collectively, the “Managers”) relating to the sale of our Class A common stock, par value $0.0001 per share (the “common stock” or the “Class A Common Stock”), offered by this prospectus supplement and the accompanying prospectus. In accordance with the</w:t>
      </w:r>
    </w:p>
    <w:p>
      <w:pPr>
        <w:spacing w:after="0" w:line="4"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terms of the Agreement, we may offer and sell up to $150,000,000 of shares of our common stock from time to time through or to the Managers acting as agent or principal.</w:t>
      </w:r>
    </w:p>
    <w:p>
      <w:pPr>
        <w:spacing w:after="0" w:line="162"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the Global Market of The Nasdaq Stock Market LLC (“Nasdaq”) under the symbol “SOUN.” On April 8, 2024, the last reported sale price of our common stock on Nasdaq was $5.00 per share.</w:t>
      </w:r>
    </w:p>
    <w:p>
      <w:pPr>
        <w:spacing w:after="0" w:line="162" w:lineRule="exact"/>
        <w:rPr>
          <w:sz w:val="24"/>
          <w:szCs w:val="24"/>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Sales of our common stock, if any, under this prospectus supplement and the accompanying prospectus may be made in negotiated transactions, including block trades, or transactions that are deemed to be ‘‘at the market’’ offerings as defined in Rule 415 under the Securities Act of 1933, as amended, or the Securities Act, including sales made by means of ordinary brokers’ transactions, including directly on Nasdaq or sales made to or through a market maker other than on an exchange at prevailing market prices, at prices related to prevailing market prices or at negotiated prices or by any other method permitted by law. The Managers are not required to sell any specific dollar amount of shares, but will use commercially reasonable efforts to sell on our behalf all of the shares of common stock requested to be sold by us, consistent with their normal trading and sales practices, on mutually agreed terms between us and the Managers. There is no arrangement for funds to be received in any escrow, trust or similar arrangement. The Managers may also purchase shares of our common stock as principal.</w:t>
      </w:r>
    </w:p>
    <w:p>
      <w:pPr>
        <w:spacing w:after="0" w:line="192" w:lineRule="exact"/>
        <w:rPr>
          <w:sz w:val="24"/>
          <w:szCs w:val="24"/>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Managers will be entitled to aggregate compensation at a fixed commission rate of 2.5% of the gross sales price per share sold. In connection with the sale of our common stock on our behalf, the Managers may be deemed to be “underwriters” within the meaning of the Securities Act and the compensation of the Managers may be deemed to be underwriting commissions or discounts. See “Plan of Distribution” beginning on page 7 for additional information regarding underwriting compensation. We have also agreed to provide indemnification and contribution to the Managers with respect to certain liabilities, including liabilities under the Securities Act.</w:t>
      </w:r>
    </w:p>
    <w:p>
      <w:pPr>
        <w:spacing w:after="0" w:line="179" w:lineRule="exact"/>
        <w:rPr>
          <w:sz w:val="24"/>
          <w:szCs w:val="24"/>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review carefully the risks and uncertainties described under the heading “Risk Factors” beginning on page S-7 of this prospectus supplement and in the documents incorporated by reference into this prospectus supplement.</w:t>
      </w:r>
    </w:p>
    <w:p>
      <w:pPr>
        <w:spacing w:after="0" w:line="171" w:lineRule="exact"/>
        <w:rPr>
          <w:sz w:val="24"/>
          <w:szCs w:val="24"/>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(“SEC”)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164" w:lineRule="exact"/>
        <w:rPr>
          <w:sz w:val="24"/>
          <w:szCs w:val="24"/>
          <w:color w:val="auto"/>
        </w:rPr>
      </w:pPr>
    </w:p>
    <w:tbl>
      <w:tblPr>
        <w:tblLayout w:type="fixed"/>
        <w:tblInd w:w="0" w:type="dxa"/>
        <w:tblCellMar>
          <w:top w:w="0" w:type="dxa"/>
          <w:left w:w="0" w:type="dxa"/>
          <w:bottom w:w="0" w:type="dxa"/>
          <w:right w:w="0" w:type="dxa"/>
        </w:tblCellMar>
      </w:tblPr>
      <w:tr>
        <w:trPr>
          <w:trHeight w:val="334"/>
        </w:trPr>
        <w:tc>
          <w:tcPr>
            <w:tcW w:w="3420" w:type="dxa"/>
            <w:vAlign w:val="bottom"/>
          </w:tcPr>
          <w:p>
            <w:pPr>
              <w:ind w:left="2300"/>
              <w:spacing w:after="0"/>
              <w:rPr>
                <w:sz w:val="20"/>
                <w:szCs w:val="20"/>
                <w:color w:val="auto"/>
              </w:rPr>
            </w:pPr>
            <w:r>
              <w:rPr>
                <w:rFonts w:ascii="Times New Roman" w:cs="Times New Roman" w:eastAsia="Times New Roman" w:hAnsi="Times New Roman"/>
                <w:sz w:val="25"/>
                <w:szCs w:val="25"/>
                <w:b w:val="1"/>
                <w:bCs w:val="1"/>
                <w:color w:val="auto"/>
              </w:rPr>
              <w:t>Citigroup</w:t>
            </w:r>
          </w:p>
        </w:tc>
        <w:tc>
          <w:tcPr>
            <w:tcW w:w="4420" w:type="dxa"/>
            <w:vAlign w:val="bottom"/>
          </w:tcPr>
          <w:p>
            <w:pPr>
              <w:spacing w:after="0"/>
              <w:rPr>
                <w:sz w:val="24"/>
                <w:szCs w:val="24"/>
                <w:color w:val="auto"/>
              </w:rPr>
            </w:pPr>
          </w:p>
        </w:tc>
        <w:tc>
          <w:tcPr>
            <w:tcW w:w="3400" w:type="dxa"/>
            <w:vAlign w:val="bottom"/>
          </w:tcPr>
          <w:p>
            <w:pPr>
              <w:ind w:left="120"/>
              <w:spacing w:after="0"/>
              <w:rPr>
                <w:sz w:val="20"/>
                <w:szCs w:val="20"/>
                <w:color w:val="auto"/>
              </w:rPr>
            </w:pPr>
            <w:r>
              <w:rPr>
                <w:rFonts w:ascii="Times New Roman" w:cs="Times New Roman" w:eastAsia="Times New Roman" w:hAnsi="Times New Roman"/>
                <w:sz w:val="25"/>
                <w:szCs w:val="25"/>
                <w:b w:val="1"/>
                <w:bCs w:val="1"/>
                <w:color w:val="auto"/>
              </w:rPr>
              <w:t>Barclays</w:t>
            </w:r>
          </w:p>
        </w:tc>
      </w:tr>
      <w:tr>
        <w:trPr>
          <w:trHeight w:val="490"/>
        </w:trPr>
        <w:tc>
          <w:tcPr>
            <w:tcW w:w="3420" w:type="dxa"/>
            <w:vAlign w:val="bottom"/>
          </w:tcPr>
          <w:p>
            <w:pPr>
              <w:ind w:left="960"/>
              <w:spacing w:after="0"/>
              <w:rPr>
                <w:sz w:val="20"/>
                <w:szCs w:val="20"/>
                <w:color w:val="auto"/>
              </w:rPr>
            </w:pPr>
            <w:r>
              <w:rPr>
                <w:rFonts w:ascii="Times New Roman" w:cs="Times New Roman" w:eastAsia="Times New Roman" w:hAnsi="Times New Roman"/>
                <w:sz w:val="22"/>
                <w:szCs w:val="22"/>
                <w:b w:val="1"/>
                <w:bCs w:val="1"/>
                <w:color w:val="auto"/>
              </w:rPr>
              <w:t>Wedbush Securities</w:t>
            </w:r>
          </w:p>
        </w:tc>
        <w:tc>
          <w:tcPr>
            <w:tcW w:w="4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Northland Capital Markets</w:t>
            </w:r>
          </w:p>
        </w:tc>
        <w:tc>
          <w:tcPr>
            <w:tcW w:w="3400" w:type="dxa"/>
            <w:vAlign w:val="bottom"/>
          </w:tcPr>
          <w:p>
            <w:pPr>
              <w:ind w:left="520"/>
              <w:spacing w:after="0"/>
              <w:rPr>
                <w:sz w:val="20"/>
                <w:szCs w:val="20"/>
                <w:color w:val="auto"/>
              </w:rPr>
            </w:pPr>
            <w:r>
              <w:rPr>
                <w:rFonts w:ascii="Times New Roman" w:cs="Times New Roman" w:eastAsia="Times New Roman" w:hAnsi="Times New Roman"/>
                <w:sz w:val="22"/>
                <w:szCs w:val="22"/>
                <w:b w:val="1"/>
                <w:bCs w:val="1"/>
                <w:color w:val="auto"/>
              </w:rPr>
              <w:t>Ladenburg Thalmann</w:t>
            </w:r>
          </w:p>
        </w:tc>
      </w:tr>
      <w:tr>
        <w:trPr>
          <w:trHeight w:val="447"/>
        </w:trPr>
        <w:tc>
          <w:tcPr>
            <w:tcW w:w="3420" w:type="dxa"/>
            <w:vAlign w:val="bottom"/>
          </w:tcPr>
          <w:p>
            <w:pPr>
              <w:spacing w:after="0"/>
              <w:rPr>
                <w:sz w:val="24"/>
                <w:szCs w:val="24"/>
                <w:color w:val="auto"/>
              </w:rPr>
            </w:pPr>
          </w:p>
        </w:tc>
        <w:tc>
          <w:tcPr>
            <w:tcW w:w="4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date of this prospectus supplement is April 9, 2024</w:t>
            </w:r>
          </w:p>
        </w:tc>
        <w:tc>
          <w:tcPr>
            <w:tcW w:w="3400" w:type="dxa"/>
            <w:vAlign w:val="bottom"/>
          </w:tcPr>
          <w:p>
            <w:pPr>
              <w:spacing w:after="0"/>
              <w:rPr>
                <w:sz w:val="24"/>
                <w:szCs w:val="24"/>
                <w:color w:val="auto"/>
              </w:rPr>
            </w:pPr>
          </w:p>
        </w:tc>
      </w:tr>
      <w:tr>
        <w:trPr>
          <w:trHeight w:val="682"/>
        </w:trPr>
        <w:tc>
          <w:tcPr>
            <w:tcW w:w="342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53"/>
        </w:trPr>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09"/>
        </w:trPr>
        <w:tc>
          <w:tcPr>
            <w:tcW w:w="4400" w:type="dxa"/>
            <w:vAlign w:val="bottom"/>
            <w:gridSpan w:val="14"/>
          </w:tcPr>
          <w:p>
            <w:pPr>
              <w:spacing w:after="0" w:line="202" w:lineRule="exact"/>
              <w:rPr>
                <w:sz w:val="20"/>
                <w:szCs w:val="20"/>
                <w:color w:val="auto"/>
              </w:rPr>
            </w:pPr>
            <w:r>
              <w:rPr>
                <w:rFonts w:ascii="Times New Roman" w:cs="Times New Roman" w:eastAsia="Times New Roman" w:hAnsi="Times New Roman"/>
                <w:sz w:val="18"/>
                <w:szCs w:val="18"/>
                <w:color w:val="auto"/>
              </w:rPr>
              <w:t>PROSPECTUS SUPPLEMENT</w:t>
            </w:r>
          </w:p>
        </w:tc>
        <w:tc>
          <w:tcPr>
            <w:tcW w:w="57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3"/>
        </w:trPr>
        <w:tc>
          <w:tcPr>
            <w:tcW w:w="2560" w:type="dxa"/>
            <w:vAlign w:val="bottom"/>
            <w:tcBorders>
              <w:bottom w:val="single" w:sz="8" w:color="0000EE"/>
            </w:tcBorders>
            <w:gridSpan w:val="9"/>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1840" w:type="dxa"/>
            <w:vAlign w:val="bottom"/>
            <w:tcBorders>
              <w:bottom w:val="single" w:sz="8" w:color="CCEEFF"/>
            </w:tcBorders>
            <w:gridSpan w:val="5"/>
            <w:shd w:val="clear" w:color="auto" w:fill="CCEEFF"/>
          </w:tcPr>
          <w:p>
            <w:pPr>
              <w:spacing w:after="0"/>
              <w:rPr>
                <w:sz w:val="17"/>
                <w:szCs w:val="17"/>
                <w:color w:val="auto"/>
              </w:rPr>
            </w:pPr>
          </w:p>
        </w:tc>
        <w:tc>
          <w:tcPr>
            <w:tcW w:w="57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S-ii</w:t>
            </w:r>
          </w:p>
        </w:tc>
      </w:tr>
      <w:tr>
        <w:trPr>
          <w:trHeight w:val="176"/>
        </w:trPr>
        <w:tc>
          <w:tcPr>
            <w:tcW w:w="440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572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S-iii</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44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Supplement Summary</w:t>
            </w:r>
          </w:p>
        </w:tc>
        <w:tc>
          <w:tcPr>
            <w:tcW w:w="1960" w:type="dxa"/>
            <w:vAlign w:val="bottom"/>
            <w:tcBorders>
              <w:bottom w:val="single" w:sz="8" w:color="CCEEFF"/>
            </w:tcBorders>
            <w:gridSpan w:val="6"/>
            <w:shd w:val="clear" w:color="auto" w:fill="CCEEFF"/>
          </w:tcPr>
          <w:p>
            <w:pPr>
              <w:spacing w:after="0"/>
              <w:rPr>
                <w:sz w:val="17"/>
                <w:szCs w:val="17"/>
                <w:color w:val="auto"/>
              </w:rPr>
            </w:pPr>
          </w:p>
        </w:tc>
        <w:tc>
          <w:tcPr>
            <w:tcW w:w="57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S-1</w:t>
            </w:r>
          </w:p>
        </w:tc>
      </w:tr>
      <w:tr>
        <w:trPr>
          <w:trHeight w:val="175"/>
        </w:trPr>
        <w:tc>
          <w:tcPr>
            <w:tcW w:w="440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572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S-6</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92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3480" w:type="dxa"/>
            <w:vAlign w:val="bottom"/>
            <w:tcBorders>
              <w:bottom w:val="single" w:sz="8" w:color="CCEEFF"/>
            </w:tcBorders>
            <w:gridSpan w:val="11"/>
            <w:shd w:val="clear" w:color="auto" w:fill="CCEEFF"/>
          </w:tcPr>
          <w:p>
            <w:pPr>
              <w:spacing w:after="0"/>
              <w:rPr>
                <w:sz w:val="17"/>
                <w:szCs w:val="17"/>
                <w:color w:val="auto"/>
              </w:rPr>
            </w:pPr>
          </w:p>
        </w:tc>
        <w:tc>
          <w:tcPr>
            <w:tcW w:w="57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S-7</w:t>
            </w:r>
          </w:p>
        </w:tc>
      </w:tr>
      <w:tr>
        <w:trPr>
          <w:trHeight w:val="176"/>
        </w:trPr>
        <w:tc>
          <w:tcPr>
            <w:tcW w:w="440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572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S-10</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440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572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3"/>
              </w:rPr>
              <w:t>S-11</w:t>
            </w:r>
          </w:p>
        </w:tc>
      </w:tr>
      <w:tr>
        <w:trPr>
          <w:trHeight w:val="20"/>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7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40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We Are Offering</w:t>
            </w:r>
          </w:p>
        </w:tc>
        <w:tc>
          <w:tcPr>
            <w:tcW w:w="572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S-12</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44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2960" w:type="dxa"/>
            <w:vAlign w:val="bottom"/>
            <w:tcBorders>
              <w:bottom w:val="single" w:sz="8" w:color="CCEEFF"/>
            </w:tcBorders>
            <w:gridSpan w:val="7"/>
            <w:shd w:val="clear" w:color="auto" w:fill="CCEEFF"/>
          </w:tcPr>
          <w:p>
            <w:pPr>
              <w:spacing w:after="0"/>
              <w:rPr>
                <w:sz w:val="17"/>
                <w:szCs w:val="17"/>
                <w:color w:val="auto"/>
              </w:rPr>
            </w:pPr>
          </w:p>
        </w:tc>
        <w:tc>
          <w:tcPr>
            <w:tcW w:w="57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S-13</w:t>
            </w:r>
          </w:p>
        </w:tc>
      </w:tr>
      <w:tr>
        <w:trPr>
          <w:trHeight w:val="175"/>
        </w:trPr>
        <w:tc>
          <w:tcPr>
            <w:tcW w:w="440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572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S-14</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56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Experts</w:t>
            </w:r>
          </w:p>
        </w:tc>
        <w:tc>
          <w:tcPr>
            <w:tcW w:w="3840" w:type="dxa"/>
            <w:vAlign w:val="bottom"/>
            <w:tcBorders>
              <w:bottom w:val="single" w:sz="8" w:color="CCEEFF"/>
            </w:tcBorders>
            <w:gridSpan w:val="13"/>
            <w:shd w:val="clear" w:color="auto" w:fill="CCEEFF"/>
          </w:tcPr>
          <w:p>
            <w:pPr>
              <w:spacing w:after="0"/>
              <w:rPr>
                <w:sz w:val="17"/>
                <w:szCs w:val="17"/>
                <w:color w:val="auto"/>
              </w:rPr>
            </w:pPr>
          </w:p>
        </w:tc>
        <w:tc>
          <w:tcPr>
            <w:tcW w:w="57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S-14</w:t>
            </w:r>
          </w:p>
        </w:tc>
      </w:tr>
      <w:tr>
        <w:trPr>
          <w:trHeight w:val="176"/>
        </w:trPr>
        <w:tc>
          <w:tcPr>
            <w:tcW w:w="440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572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S-14</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440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572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S-15</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7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12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auto"/>
              </w:rPr>
              <w:t>PROSPECTUS</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09"/>
        </w:trPr>
        <w:tc>
          <w:tcPr>
            <w:tcW w:w="10120" w:type="dxa"/>
            <w:vAlign w:val="bottom"/>
            <w:gridSpan w:val="12"/>
            <w:vMerge w:val="continue"/>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0120" w:type="dxa"/>
            <w:vAlign w:val="bottom"/>
            <w:gridSpan w:val="1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About this Prospectus</w:t>
            </w:r>
          </w:p>
        </w:tc>
        <w:tc>
          <w:tcPr>
            <w:tcW w:w="11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ii</w:t>
            </w:r>
          </w:p>
        </w:tc>
        <w:tc>
          <w:tcPr>
            <w:tcW w:w="0" w:type="dxa"/>
            <w:vAlign w:val="bottom"/>
          </w:tcPr>
          <w:p>
            <w:pPr>
              <w:spacing w:after="0"/>
              <w:rPr>
                <w:sz w:val="1"/>
                <w:szCs w:val="1"/>
                <w:color w:val="auto"/>
              </w:rPr>
            </w:pP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59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12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iii</w:t>
            </w:r>
          </w:p>
        </w:tc>
        <w:tc>
          <w:tcPr>
            <w:tcW w:w="0" w:type="dxa"/>
            <w:vAlign w:val="bottom"/>
          </w:tcPr>
          <w:p>
            <w:pPr>
              <w:spacing w:after="0"/>
              <w:rPr>
                <w:sz w:val="1"/>
                <w:szCs w:val="1"/>
                <w:color w:val="auto"/>
              </w:rPr>
            </w:pP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4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8580" w:type="dxa"/>
            <w:vAlign w:val="bottom"/>
            <w:tcBorders>
              <w:bottom w:val="single" w:sz="8" w:color="CCEEFF"/>
            </w:tcBorders>
            <w:gridSpan w:val="5"/>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176"/>
        </w:trPr>
        <w:tc>
          <w:tcPr>
            <w:tcW w:w="1012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8940" w:type="dxa"/>
            <w:vAlign w:val="bottom"/>
            <w:tcBorders>
              <w:bottom w:val="single" w:sz="8" w:color="CCEEFF"/>
            </w:tcBorders>
            <w:gridSpan w:val="8"/>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175"/>
        </w:trPr>
        <w:tc>
          <w:tcPr>
            <w:tcW w:w="1012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12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We May Offer</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175"/>
        </w:trPr>
        <w:tc>
          <w:tcPr>
            <w:tcW w:w="288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Forms of Securities</w:t>
            </w:r>
          </w:p>
        </w:tc>
        <w:tc>
          <w:tcPr>
            <w:tcW w:w="7240" w:type="dxa"/>
            <w:vAlign w:val="bottom"/>
            <w:tcBorders>
              <w:top w:val="single" w:sz="8" w:color="CCEEFF"/>
            </w:tcBorders>
            <w:gridSpan w:val="3"/>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Legal Matters</w:t>
            </w:r>
          </w:p>
        </w:tc>
        <w:tc>
          <w:tcPr>
            <w:tcW w:w="9100" w:type="dxa"/>
            <w:vAlign w:val="bottom"/>
            <w:tcBorders>
              <w:bottom w:val="single" w:sz="8" w:color="CCEEFF"/>
            </w:tcBorders>
            <w:gridSpan w:val="9"/>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175"/>
        </w:trPr>
        <w:tc>
          <w:tcPr>
            <w:tcW w:w="1012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Where You Can Find More Information</w:t>
            </w:r>
          </w:p>
        </w:tc>
        <w:tc>
          <w:tcPr>
            <w:tcW w:w="7240" w:type="dxa"/>
            <w:vAlign w:val="bottom"/>
            <w:tcBorders>
              <w:bottom w:val="single" w:sz="8" w:color="CCEEFF"/>
            </w:tcBorders>
            <w:gridSpan w:val="3"/>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176"/>
        </w:trPr>
        <w:tc>
          <w:tcPr>
            <w:tcW w:w="1012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Information by Reference</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We have not authorized anyone to provide you with any information or to make any representations other than those contained in, or incorporated by reference into, this prospectus supplement and the accompanying prospectus.</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supplement and any later prospectus supplement is an offer to sell only the securities offered hereby, but only under circumstances and in jurisdictions where it is lawful to do so.</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You should assume that the information contained in this prospectus supplement and the accompanying prospectus and the documents incorporated by reference into this prospectus supplement and the accompanying prospectus is accurate only as of the date of those respective documents.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document contains two parts. The first part is the prospectus supplement, which describes the specific terms of this offering and also updates information contained in the accompanying prospectus and the documents incorporated by reference into this prospectus supplement and the accompanying prospectus. Under this prospectus supplement, we may offer and sell shares of our common stock having an aggregate offering price of up to $150,000,000 from time to time at prices and on terms to be determined by market conditions at the time of offering. The second part is the accompanying prospectus, which provides more general information, some of which may not apply to this offering. This prospectus supplement and the accompanying prospectus are part of a “shelf” registration statement on Form S-3 (File No. 333-273393) that we initially filed with the SEC, on July 24, 2023, and that was declared effective by the SEC on August 4, 2023.</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supplement, on the one hand, and the information contained in the accompanying prospectus or any document incorporated by reference into this prospectus supplement that was filed with the SEC before the date of this prospectus supplement, on the other hand, you should rely on the information in this prospectus supplement. If any statement in one of these documents is inconsistent with a statement in another document having a later date — for example, a document incorporated by reference into this prospectus supplement — the statement in the document having the later date modifies or supersedes the earlier statement.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You should assume that the information appearing in this prospectus supplement and the accompanying prospectus and the documents incorporated by reference into this prospectus supplement and the accompanying prospectus is accurate only as of the date of those respective documents. Our business, financial condition, results of operations and prospects may have changed since those dates. You should read this prospectus supplement and the accompanying prospectus, as well as the documents incorporated by reference into this prospectus supplement and the accompanying prospectus in their entirety before making an investment decision. You should also read and consider the information in the sections of this prospectus supplement entitled “Where You Can Find More Information” and “Incorporation of Certain Information by Reference.”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not, and the Managers have not, authorized any other person to provide you with information that is in addition to or different from the information included or incorporated by reference into this prospectus supplement. We are offering to sell, and seeking offers to buy, shares of common stock only in jurisdictions where offers and sales are permitted. The distribution of this prospectus supplement and the offering of the common stock in certain jurisdictions may be restricted by law. Persons outside the United States who come into possession of this prospectus supplement must inform themselves about, and observe any restrictions relating to, the offering of the common stock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192" w:lineRule="exact"/>
        <w:rPr>
          <w:sz w:val="20"/>
          <w:szCs w:val="20"/>
          <w:color w:val="auto"/>
        </w:rPr>
      </w:pPr>
    </w:p>
    <w:p>
      <w:pPr>
        <w:jc w:val="both"/>
        <w:ind w:firstLine="660"/>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into the prospectus supplement and accompanying prospectus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ind w:firstLine="660"/>
        <w:spacing w:after="0" w:line="261" w:lineRule="auto"/>
        <w:rPr>
          <w:sz w:val="20"/>
          <w:szCs w:val="20"/>
          <w:color w:val="auto"/>
        </w:rPr>
      </w:pPr>
      <w:r>
        <w:rPr>
          <w:rFonts w:ascii="Times New Roman" w:cs="Times New Roman" w:eastAsia="Times New Roman" w:hAnsi="Times New Roman"/>
          <w:sz w:val="18"/>
          <w:szCs w:val="18"/>
          <w:color w:val="auto"/>
        </w:rPr>
        <w:t>This prospectus supplement and accompanying prospectus contain, or incorporate by reference, trademarks, tradenames, service marks and service names of SoundHound AI, Inc. and its subsidiaries. This prospectus supplement and the accompanying prospectus and the documents incorporated by reference into this prospectus supplement and the accompanying prospectus may also contain trademarks and trade names that are the property of their respective owners.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herein and therein and any free writing prospectus that we have authorized for use in connection with this offering may contain forward-looking statements that involve risks and uncertainties. All statements other than statements of historical fact contained in this prospectus supplement, the accompanying prospectus and the documents incorporated by reference herein and therein, including statements regarding future events, our future financial performance, business strategy, including our acquisition strategy, and plans and objectives of management for future operations, are forward-looking statements. We have attempted to identify forward-looking statements by terminology including “anticipates,” “believes,” “can,” “continue,” “could,” “estimates,” “expects,” “intends,” “may,” “plans,” “potential,” “predicts,” “should,” or “will” or the negative of these terms or other comparable terminology. Although we do not make forward-looking statements unless we believe we have a reasonable basis for doing so, we cannot guarantee their accuracy. These statements are only predictions and involve known and unknown risks, uncertainties and other factors, including the risks outlined under “Risk Factors” or elsewhere in this prospectus supplement, the accompanying prospectus and the documents incorporated by reference herein or therein, which may cause our or our industry’s actual results, levels of activity, performance or achievements to vary materially from those expressed or implied by these forward-looking statements. Moreover, we operate in a regulated and rapidly changing environment. New risks emerge from time to time and it is not possible for us to predict all risk factors, nor can we address the impact of all factors on our business or the extent to which any factor, or combination of factors, may cause our actual results to differ materially from those contained in any forward-looking statements.</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financial trends that we believe may affect our financial condition, results of operations, business strategy, short term and long term business operations, and financial needs. 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prospectus supplement and the documents incorporated by reference herein, and in particular, the risks discussed below and under the heading “Risk Factors” and those discussed in other documents we file with the SEC. The following discussion should be read in conjunction with the financial statements for the fiscal years ended December 31, 2023, 2022 and 2021 and notes incorporated by reference therein. We undertake no obligation to revise or publicly release the results of any revision to these forward-looking statements, except as required by law. In light of these risks, uncertainties and assumptions, the forward-looking events and circumstances discussed in this prospectus supplement may not occur and actual results could differ materially and adversely from those anticipated or implied in the forward-looking statement.</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should not place undue reliance on any forward-looking statement, each of which applies only as of the date of this prospectus supplement. Except as required by law, we undertake no obligation to update or revise publicly any of the forward-looking statements after the date of this prospectus supplement to conform our statements to actual results or changed expectations.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forward-looking statement you read in this prospectus supplement, the accompanying prospectus or any document incorporated by reference herein or therein reflects our views at the time the forward-looking statement was made with respect to future events and is subject to these and other risks, uncertainties and assumptions relating to our operations, operating results, growth strategy and liquidity. You should not place undue reliance on these forward-looking statements because such statements speak only as to the date when made. We assume no obligation to publicly update or revise these forward-looking statements for any reason, or to update the reasons actual results could differ materially from those anticipated in these forward-looking statements, even if new information becomes available in the future, except as otherwise required by applicable law. You are advised, however, to consult any further disclosures we make on related subjects in our reports on Forms 10-Q, 8-K and 10-K filed with the SEC. You should understand that it is not possible to predict or identify all risk factors. Consequently, you should not consider any such list to be a complete set of all potential risks or uncertainties.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45020" cy="6202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5020" cy="6202045"/>
                    </a:xfrm>
                    <a:prstGeom prst="rect">
                      <a:avLst/>
                    </a:prstGeom>
                    <a:noFill/>
                  </pic:spPr>
                </pic:pic>
              </a:graphicData>
            </a:graphic>
          </wp:anchor>
        </w:drawing>
        <w:t>PROSPECTUS SUPPLEMENT SUMMARY</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supplement. This summary does not contain all the information that you should consider before investing in our Company. You should carefully read this entire prospectus supplement and the accompanying prospectus, including all documents incorporated by reference herein and therein. In particular, attention should be directed to our “Risk Factors,” “Management’s Discussion and Analysis of Financial Condition and Results of Operations” and the financial statements and related notes thereto contained herein or otherwise incorporated by reference hereto, before making an investment decision.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 global leader in conversational intelligence, offering independent Voice AI solutions that enable businesses to deliver high-quality conversational experiences to their customers. Built on proprietary technology, SoundHound’s voice AI delivers best-in-class speed and accuracy in numerous languages to product creators across automotive, TV, and IoT, and to customer service industries via groundbreaking AI-driven products like Smart Answering, Smart Ordering, and Dynamic Interaction™, a real-time, multimodal customer service interface. Along with SoundHound Chat AI, a powerful voice assistant with integrated Generative AI, SoundHound powers millions of products and services, and processes billions of interactions each year for world class businesses.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voice-enabled conversational user interface is a more natural interface for nearly all use cases, and product creators should have the ability to design, customize, differentiate, innovate and monetize the interface to their own product, as opposed to outsourcing it to a third-party assistant. For example, using SoundHound,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IoT devices. Additionally, SoundHound’s technology can address complex user queries such as, “Show me all restaurants within half a mile of the Space Needle that are open past 9 pm on Wednesdays and have outdoor seating,” and follow-on qualifications such as “Okay, don’t show me anything with less than 3 stars or fast food.”</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SoundHound developer platform, Houndify, is an open-access platform that allows developers to leverage SoundHound’s Voice AI technology and a library of over 100 content domains, including commonly used domains for points of interest, weather, flight status, sports and more. SoundHound’s Collective AI is an architecture for connecting domain knowledge that encourages collaboration and contribution among developers. The architecture is based on proprietary software engineering technology, CaiLAN (Conversational AI Language), and machine learning technology, CaiNET (Conversational AI Network) to ensure fast, accurate and appropriate responses.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market position is strengthened by the technical barriers to entry in the Voice AI space, which tend to discourage new market participants. Furthermore, our technology is backed by significant investments in intellectual property, with over 155 patents granted and over 115 patents pending, spanning multiple fields including speech recognition, natural language understanding, machine learning, monetization and more. We have achieved this critical momentum in part thanks to a long-tenured leadership team with deep expertise and proven ability to attract and retain talent. We believe that SoundHound has extensive technical expertise and a proven track record of innovation and value creation for us to continue to attract customers in the growing market for Voice AI transactions, which is estimated to grow to over $140 billion per year by 2024.</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SoundHound is well-positioned to fill the growing void and demand for an independent Voice AI platform. The Voice AI offerings from big tech companies are primarily an extension of their more core services and offerings. Rather than strengthening a customer’s product, it can take over the entire experience, thus disintermediating the company’s brand, users and data. As a result, brands relying on big tech may lose their ability to innovate, differentiate and customize. In some cases, these providers even compete with the products they support, making them increasingly less attractive as a choice for a voice interface.</w:t>
      </w: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27" w:right="439" w:bottom="1440" w:gutter="0" w:footer="0" w:header="0"/>
        </w:sectPr>
      </w:pPr>
    </w:p>
    <w:bookmarkStart w:id="5" w:name="page6"/>
    <w:bookmarkEnd w:id="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45020" cy="63392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5020" cy="6339205"/>
                    </a:xfrm>
                    <a:prstGeom prst="rect">
                      <a:avLst/>
                    </a:prstGeom>
                    <a:noFill/>
                  </pic:spPr>
                </pic:pic>
              </a:graphicData>
            </a:graphic>
          </wp:anchor>
        </w:drawing>
        <w:t>The alternative options are generally legacy vendors tending to use what we consider to be dated technologies at a high price. Furthermore, many of these technologies still require significant effort by the product creators to turn them into solutions that can compete with the quality of the big tech offering, which in many cases is not practical. Due to the high barrier to entry in Voice AI, there are not many independent players.</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This creates a great opportunity for SoundHound: we believe that we provide disruptive technologies that are superior to the alternatives, with better terms, allowing customers to maintain their brand, control the user experience, get access to the data and define their own privacy policies, while being able to customize, differentiate, innovate and monetize.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 it comes to criteria for adoption, our goal is to win on every dimension. We believe that the first two criteria customers typically consider are technology and brand control. We strive to provide our customers with the best technology, and we provide a white label solution giving our customers control of their brands. In some industries you may have to choose between technology and brand control. In our case, we offer our customers the best of both, enabling them to offer disruptive technologies to their users while maintaining control of their brand and user experience.</w:t>
      </w:r>
    </w:p>
    <w:p>
      <w:pPr>
        <w:spacing w:after="0" w:line="180" w:lineRule="exact"/>
        <w:rPr>
          <w:sz w:val="20"/>
          <w:szCs w:val="20"/>
          <w:color w:val="auto"/>
        </w:rPr>
      </w:pPr>
    </w:p>
    <w:p>
      <w:pPr>
        <w:jc w:val="both"/>
        <w:ind w:right="20" w:firstLine="648"/>
        <w:spacing w:after="0" w:line="312" w:lineRule="auto"/>
        <w:rPr>
          <w:sz w:val="20"/>
          <w:szCs w:val="20"/>
          <w:color w:val="auto"/>
        </w:rPr>
      </w:pPr>
      <w:r>
        <w:rPr>
          <w:rFonts w:ascii="Times New Roman" w:cs="Times New Roman" w:eastAsia="Times New Roman" w:hAnsi="Times New Roman"/>
          <w:sz w:val="17"/>
          <w:szCs w:val="17"/>
          <w:color w:val="auto"/>
        </w:rPr>
        <w:t>With our disruptive monetization strategy, we also provide an additional path to monetization for our customer base. By choosing our platform, product creators can generate additional revenue while making their product better using Voice AI, providing further incentive to choose our platform.</w:t>
      </w:r>
    </w:p>
    <w:p>
      <w:pPr>
        <w:spacing w:after="0" w:line="14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we offer a superior ecosystem, benefiting from our Collective AI product architecture along with offering customers definable privacy controls, which are becoming increasingly important in the industry of Voice AI. Additionally, there is no conflict of interest between us and our partners and customers as we do not compete with them (as some other Voice AI vendors do). We also offer edge and hybrid solutions. This means our technology can optionally run without a cloud connection for increased flexibility and privacy. Our focus is on delivering the most advanced Voice AI in the world and thus allowing our partners to differentiate and innovate their overall experiences for their brands.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strongly believe that product creators know their product and users best. The idea of a single third-party assistant taking over their product is not reflective of our anticipated future. We envision that every product will have its own identity, and will have Voice AI customized in different ways. Product creators can each tap into a single Collective AI to access the ever-growing set of domains, but the product creators can innovate on top of Collective AI and create value for the end users in their own way. This is the future that we are focusing on enabling.</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When a product is voice enabled, we see three stages of integration and value propositions. The first stage is to enable the core use cases of the product. For example, the product could be a TV, a coffee machine, a car, a wearable device, a robot, a smart speaker or an appliance, and with your voice you can control the functionality of the device and the product. On a TV, you can ask it to change the channel, increase the volume, rewind by 30 seconds, search for movies and even add personalization by adding a TV show to your favorites. Note that this is different from adding a third-party voice assistant to the product. Our view is that every product needs to have an interface, and voice-AI is a natural and compelling interface that unlocks new use cases and potential. Consider just the simple example of rewinding or fast forwarding by a specific duration. That is a command that can be done with voice within a few seconds, but it can take many steps to do using alternative interfaces such as a remote control or a companion app.</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Once the core features of a product are voice-enabled, it can be further enhanced in the second stage of integration: the addition of third-party content and domains. SoundHound has extensive partnerships with content providers and, through these partnerships, can fulfill many needs of our customers. For example, your TV, car or even a coffee machine can answer questions about weather, sports scores, stock prices or flight status, and even search for local businesses. The addition of these public domains further enhances the value proposition of the product.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Finally, as the third step, you enter the world of monetization where you can add features that deliver value to the end user, and also generate revenues that we share with the product creators. To summarize with an example, imagine walking up to your coffee machine and asking for a triple shot extra hot latte. While you are waiting for your drink, you can ask for weather and sports scores, and if you desire, you can even order bagels from your favorite nearby bakery.</w:t>
      </w: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31"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45020" cy="60648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5020" cy="6064885"/>
                    </a:xfrm>
                    <a:prstGeom prst="rect">
                      <a:avLst/>
                    </a:prstGeom>
                    <a:noFill/>
                  </pic:spPr>
                </pic:pic>
              </a:graphicData>
            </a:graphic>
          </wp:anchor>
        </w:drawing>
        <w:t>Our Products and Technology</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Houndify platform, SoundHound AI’s Voice AI platform, </w:t>
      </w:r>
      <w:r>
        <w:rPr>
          <w:rFonts w:ascii="Times New Roman" w:cs="Times New Roman" w:eastAsia="Times New Roman" w:hAnsi="Times New Roman"/>
          <w:sz w:val="18"/>
          <w:szCs w:val="18"/>
          <w:color w:val="auto"/>
        </w:rPr>
        <w:t>combines advanced AI with engineering expertise to help brands build conversational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voice assistants. From proprietary components to customizable and scalable solutions, we offer tools to build a highly accurate and responsive voice user interface. The suite of Houndify tools includes Application Programming Interfaces (“API”) for text and voice queries, support for custom commands, extensive library of content domains, inclusive Software Development Kit platforms, collaboration capabilities, diagnostic tools, and built-in analytics. Houndify provides a web API that takes in text queries or audio and returns actionable JavaScript Object Notation to anyone with an internet connection wanting to add Voice AI to any product or application.</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CaiNET and CaiLAN Expert Domain Selections. </w:t>
      </w:r>
      <w:r>
        <w:rPr>
          <w:rFonts w:ascii="Times New Roman" w:cs="Times New Roman" w:eastAsia="Times New Roman" w:hAnsi="Times New Roman"/>
          <w:sz w:val="18"/>
          <w:szCs w:val="18"/>
          <w:color w:val="auto"/>
        </w:rPr>
        <w:t>SoundHound’s CaiNET software uses machine learning to enhance how domains work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together to better handle complex queries including natural language processing, predictive analytics, and building language models, or translation of speech. SoundHound’s proprietary CaiLAN software expertly arbitrates responses so users get better answers from the right domain such as for use with natural language processing, predictive analytics, and building language models, or translation of speech.</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Automatic Speech Recognition, </w:t>
      </w:r>
      <w:r>
        <w:rPr>
          <w:rFonts w:ascii="Times New Roman" w:cs="Times New Roman" w:eastAsia="Times New Roman" w:hAnsi="Times New Roman"/>
          <w:sz w:val="18"/>
          <w:szCs w:val="18"/>
          <w:color w:val="auto"/>
        </w:rPr>
        <w:t>our highly optimized, tunable, and scalable ASR engine, supports vocabulary sizes containing millions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words. Houndify’s machine learning infrastructure allows us to tune the engine to achieve optimal Computer Processing Unit (“CPU”) performance while delivering high accuracy rates. Houndify’s language and acoustic modelling architecture also uses machine learning to increase word recognition accuracy. Rapid iteration is possible due to our accelerated training pipeline and architecture that improves as data is collected. Highly accurate transcriptions result from advanced acoustic models trained to perform in a variety of scenarios — including in severely noisy environments and when accented language is spoken.</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Natural Language Understanding (“NLU”)</w:t>
      </w:r>
      <w:r>
        <w:rPr>
          <w:rFonts w:ascii="Times New Roman" w:cs="Times New Roman" w:eastAsia="Times New Roman" w:hAnsi="Times New Roman"/>
          <w:sz w:val="18"/>
          <w:szCs w:val="18"/>
          <w:color w:val="auto"/>
        </w:rPr>
        <w:t>, our proprietary Speech-to-Meaning technology, tracks speech in real-time and understands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context, even before the user has finished speaking. Instead of the typical two-step process of transcribing speech into text and then passing the text into an NLU model, Houndify can accomplish both of these tasks in one step, delivering faster and more accurate results. Houndify’s ability to process and understand speech the instant a user stops speaking gives voice assistants the ability to respond faster. Understanding speech in real-time without requiring additional processing or waiting for the user to finish speaking creates responsive and natural conversations between people and products. By understanding context, Houndify responds accurately to users by distinguishing between similar words and names. Our NLU can discern the difference between words that sound the same, but have different spellings and meanings. For example, if users want to navigate to 272 Hoch Street in Dayton, Ohio, it won’t look for Hawk Street. Using our proprietary Deep Meaning Understanding technology, a custom voice assistant can handle complex queries with compound criteria including conversational follow up, address multiple questions and filter results simultaneously — accurately and quickly answering users’ most complex questions.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These technologies are anchored by three important innovations: Speech-to-Meaning, Deep Meaning Understanding and Collective AI.</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Speech-to-Meaning </w:t>
      </w:r>
      <w:r>
        <w:rPr>
          <w:rFonts w:ascii="Times New Roman" w:cs="Times New Roman" w:eastAsia="Times New Roman" w:hAnsi="Times New Roman"/>
          <w:sz w:val="18"/>
          <w:szCs w:val="18"/>
          <w:color w:val="auto"/>
        </w:rPr>
        <w:t>refers to SoundHound’s ability to convert speech to meaning simultaneously and in real time. Most traditional approaches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convert speech to text, and then convert text to meaning. This approach can be both slower and less accurate. It’s slower because the two steps are done in sequence, and the additional processing time of the second step can be noticeable by the end user. It can also be less accurate because if the first step of speech to text makes a mistake, the resulting incorrect text is then sent to the second step, and the error further propagates. Our development of Speech to Meaning technology was inspired by the human brain. As we listen to someone speaking, our brain does not convert speech to text, and then text to meaning. Instead, our brain converts speech to meaning simultaneously and in real time. With Speech-to-Meaning, as you speak to SoundHound’s technology, it performs both speech recognition and language understanding simultaneously, which results in faster response time and higher accuracy, because real-time language understanding can feed into the real-time speech recognizer as additional information to reduce errors.</w:t>
      </w: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27" w:right="439" w:bottom="1440" w:gutter="0" w:footer="0" w:header="0"/>
        </w:sectPr>
      </w:pPr>
    </w:p>
    <w:bookmarkStart w:id="7" w:name="page8"/>
    <w:bookmarkEnd w:id="7"/>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45020" cy="5104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5020" cy="5104765"/>
                    </a:xfrm>
                    <a:prstGeom prst="rect">
                      <a:avLst/>
                    </a:prstGeom>
                    <a:noFill/>
                  </pic:spPr>
                </pic:pic>
              </a:graphicData>
            </a:graphic>
          </wp:anchor>
        </w:drawing>
        <w:t xml:space="preserve">Deep Meaning Understanding </w:t>
      </w:r>
      <w:r>
        <w:rPr>
          <w:rFonts w:ascii="Times New Roman" w:cs="Times New Roman" w:eastAsia="Times New Roman" w:hAnsi="Times New Roman"/>
          <w:sz w:val="18"/>
          <w:szCs w:val="18"/>
          <w:color w:val="auto"/>
        </w:rPr>
        <w:t>is our innovative approach to language understanding that allows our Voice AI platform to understand highly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complex conversation. For example, it can understand: “Show me hotels in San Francisco that are less than $600, but not less than $300, are pet friendly, have a gym and a pool with at least three stars staying for two nights, and don’t include anything that doesn’t have Wi-Fi.” A complex search like this will take many minutes to perform on a website with complex forms, but it can be done within a few seconds using SoundHound technology, which we believe to be unique in its ability to handle complex queries of this nature at scale.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Collective AI </w:t>
      </w:r>
      <w:r>
        <w:rPr>
          <w:rFonts w:ascii="Times New Roman" w:cs="Times New Roman" w:eastAsia="Times New Roman" w:hAnsi="Times New Roman"/>
          <w:sz w:val="18"/>
          <w:szCs w:val="18"/>
          <w:color w:val="auto"/>
        </w:rPr>
        <w:t>is an architecture that gives potential to SoundHound to improve the understanding capability of its platform exponentially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linear contributions. Most other platforms add skills or domains that are separate and don’t interact with each other. For them, linear contribution results in linear growth in understanding, which is less scalable. With the Collective AI architecture, SoundHound domains can be interconnected and learn from each other. As developers contribute to the platform, the platform’s understanding capability can grow exponentially.</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Smart Ordering </w:t>
      </w:r>
      <w:r>
        <w:rPr>
          <w:rFonts w:ascii="Times New Roman" w:cs="Times New Roman" w:eastAsia="Times New Roman" w:hAnsi="Times New Roman"/>
          <w:sz w:val="18"/>
          <w:szCs w:val="18"/>
          <w:color w:val="auto"/>
        </w:rPr>
        <w:t>offers an easy-to-understand voice assistant for restaurants that takes phone orders and automatically processes them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seamlessly integrating with multiple POS systems. For enterprises, we also offer a flexible Gateway to integrate with custom POSs.</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Dynamic Interaction </w:t>
      </w:r>
      <w:r>
        <w:rPr>
          <w:rFonts w:ascii="Times New Roman" w:cs="Times New Roman" w:eastAsia="Times New Roman" w:hAnsi="Times New Roman"/>
          <w:sz w:val="18"/>
          <w:szCs w:val="18"/>
          <w:color w:val="auto"/>
        </w:rPr>
        <w:t>is a category-level breakthrough in conversational AI that we believe raises the bar for human-computer interaction by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recognizing and understanding speech, but also responding and acting in real-time. Where existing voice technology requires wake words and relies on turn-taking with awkward pauses to process requests, Dynamic Interaction uses the twin technologies of fragment parsing – which breaks speech down to partial-utterances and processes them in real-time – and full-duplex audio-visual integration to create an instantaneous, next-generation experience in human-computer interaction.</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SoundHound Chat AI. </w:t>
      </w:r>
      <w:r>
        <w:rPr>
          <w:rFonts w:ascii="Times New Roman" w:cs="Times New Roman" w:eastAsia="Times New Roman" w:hAnsi="Times New Roman"/>
          <w:sz w:val="18"/>
          <w:szCs w:val="18"/>
          <w:color w:val="auto"/>
        </w:rPr>
        <w:t>We launched SoundHound Chat AI, which we believe will usher in a new phase of voice-enabled, conversational AI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combining the power of software engineering and machine learning generative AI. SoundHound Chat AI integrates with dozens of knowledge domains, pulling real-time data like weather, sports, stocks, flight status, restaurants and many more. We combine this with the most cutting-edge large language models like OpenAI’s ChatGPT to deliver the most accurate, timely and comprehensive responses. There is no need for awkward search queries since you can speak to SoundHound Chat AI naturally, like another person. You can also follow-up questions and commands without awkward pauses to filter, sort or add more information to the original request.</w:t>
      </w:r>
    </w:p>
    <w:p>
      <w:pPr>
        <w:spacing w:after="0" w:line="18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Smart Answering </w:t>
      </w:r>
      <w:r>
        <w:rPr>
          <w:rFonts w:ascii="Times New Roman" w:cs="Times New Roman" w:eastAsia="Times New Roman" w:hAnsi="Times New Roman"/>
          <w:sz w:val="18"/>
          <w:szCs w:val="18"/>
          <w:color w:val="auto"/>
        </w:rPr>
        <w:t>is built to offer all customer establishments, including restaurants, the option to build an easy to use, custom AI-powered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voice assistant that can handle 100% of phone calls including, greetings, hours, menu, location, delivery, wait time, policies, promotions, including SMS functionality for reservations and appointments, and many more standard and custom options.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Wake Words </w:t>
      </w:r>
      <w:r>
        <w:rPr>
          <w:rFonts w:ascii="Times New Roman" w:cs="Times New Roman" w:eastAsia="Times New Roman" w:hAnsi="Times New Roman"/>
          <w:sz w:val="18"/>
          <w:szCs w:val="18"/>
          <w:color w:val="auto"/>
        </w:rPr>
        <w:t>are the entry point into branded voice experiences, allowing users to invoke the assistant by literally speaking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 Examples range from “Hey Pandora” in a mobile app to “Hey Peugeot” within a vehicle. Rigorous development and testing enable our wake words to perform in noisy environments and minimize false-positives or false-negatives. We use advanced machine learning algorithms and Deep Neural Networks to provide broad robustness to our high-volume training data, resulting in high accuracy.</w:t>
      </w: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29" w:right="439" w:bottom="1440" w:gutter="0" w:footer="0" w:header="0"/>
        </w:sectPr>
      </w:pPr>
    </w:p>
    <w:bookmarkStart w:id="8" w:name="page9"/>
    <w:bookmarkEnd w:id="8"/>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45020" cy="38703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5020" cy="3870325"/>
                    </a:xfrm>
                    <a:prstGeom prst="rect">
                      <a:avLst/>
                    </a:prstGeom>
                    <a:noFill/>
                  </pic:spPr>
                </pic:pic>
              </a:graphicData>
            </a:graphic>
          </wp:anchor>
        </w:drawing>
        <w:t>Custom Domains</w:t>
      </w:r>
      <w:r>
        <w:rPr>
          <w:rFonts w:ascii="Times New Roman" w:cs="Times New Roman" w:eastAsia="Times New Roman" w:hAnsi="Times New Roman"/>
          <w:sz w:val="18"/>
          <w:szCs w:val="18"/>
          <w:color w:val="auto"/>
        </w:rPr>
        <w:t>. Our library of over 100 public domains is available to give developers instant access to a broad range of content to fit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unique use cases. This includes multi-category content intended to appeal to broad range of audiences, including, for instance, sports scores, weather, podcasts, travel information, recipes and stock prices, among many others. Companies can enhance product functionality or proprietary operations with Houndify Private Domains, allowing customization and development of more specific content. Customers who subscribe for this service have full access to their private domains securely on our platform while retaining the ability to iterate and update content. For example, an automotive manufacturer can make helpful updates about the car’s user manual over time. In this way, SoundHound becomes a long-term “partner” to its customers, helping companies create the domains that they need in order to improve brand value for their own customers or end users.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Text-to-speech (“TTS”)</w:t>
      </w:r>
      <w:r>
        <w:rPr>
          <w:rFonts w:ascii="Times New Roman" w:cs="Times New Roman" w:eastAsia="Times New Roman" w:hAnsi="Times New Roman"/>
          <w:sz w:val="18"/>
          <w:szCs w:val="18"/>
          <w:color w:val="auto"/>
        </w:rPr>
        <w:t>. A high quality TTS helps companies create a unique voice that differentiates them from the competition. Brands 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fully express their personality by choosing the gender, tone and personality that will become their vocal identity. Our machine learning algorithms transform recorded voices into large databases of spoken sounds to form entire vocabularies of natural language — adapted to the user’s environment. We can transform any voice to generate a high-quality TTS with a small CPU footprint.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Edge and Cloud Connectivity. </w:t>
      </w:r>
      <w:r>
        <w:rPr>
          <w:rFonts w:ascii="Times New Roman" w:cs="Times New Roman" w:eastAsia="Times New Roman" w:hAnsi="Times New Roman"/>
          <w:sz w:val="18"/>
          <w:szCs w:val="18"/>
          <w:color w:val="auto"/>
        </w:rPr>
        <w:t>With edge (embedded) we offer a fully-embedded voice solution for brands seeking the convenience of a voice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user interface without the privacy or connectivity concerns of the internet. Includes full access to custom commands and the ability to instantly update commands during development. With Cloud we equip your voice assistant with real-time data from the cloud, deliver the most relevant responses with no CPU or memory restrictions, and retain ownership of customer relationships with access to data and analytics. To harness the capabilities of full cloud connectivity with the reliability of embedded edge voice technology. Houndify Edge Hybrid solutions are designed to ensure that devices are always-on and responsive to commands. Allows for over-the-air product updates and a broader voice experience with the level of cloud-connectivity that best matches the product and its users.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5400 Betsy Ross Drive, Santa Clara, CA 95054, and our telephone number is (408) 441-3200. Our corporate website address is </w:t>
      </w:r>
      <w:r>
        <w:rPr>
          <w:rFonts w:ascii="Times New Roman" w:cs="Times New Roman" w:eastAsia="Times New Roman" w:hAnsi="Times New Roman"/>
          <w:sz w:val="18"/>
          <w:szCs w:val="18"/>
          <w:i w:val="1"/>
          <w:iCs w:val="1"/>
          <w:color w:val="auto"/>
        </w:rPr>
        <w:t>www.soundhound.com</w:t>
      </w:r>
      <w:r>
        <w:rPr>
          <w:rFonts w:ascii="Times New Roman" w:cs="Times New Roman" w:eastAsia="Times New Roman" w:hAnsi="Times New Roman"/>
          <w:sz w:val="18"/>
          <w:szCs w:val="18"/>
          <w:color w:val="auto"/>
        </w:rPr>
        <w:t>. The information contained on or accessible through our website is not a part of, and is not incorporated by reference into, this prospectus supplement.</w:t>
      </w: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29" w:right="439" w:bottom="1440" w:gutter="0" w:footer="0" w:header="0"/>
        </w:sectPr>
      </w:pPr>
    </w:p>
    <w:bookmarkStart w:id="9" w:name="page10"/>
    <w:bookmarkEnd w:id="9"/>
    <w:p>
      <w:pPr>
        <w:spacing w:after="0" w:line="200" w:lineRule="exact"/>
        <w:rPr>
          <w:sz w:val="20"/>
          <w:szCs w:val="20"/>
          <w:color w:val="auto"/>
        </w:rPr>
      </w:pPr>
    </w:p>
    <w:p>
      <w:pPr>
        <w:spacing w:after="0" w:line="2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color w:val="auto"/>
        </w:rPr>
        <w:t>Common stock offered by us:</w:t>
      </w:r>
    </w:p>
    <w:p>
      <w:pPr>
        <w:spacing w:after="0" w:line="23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Manner of offering</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 w:lineRule="exact"/>
        <w:rPr>
          <w:sz w:val="20"/>
          <w:szCs w:val="20"/>
          <w:color w:val="auto"/>
        </w:rPr>
      </w:pPr>
      <w:r>
        <w:rPr>
          <w:sz w:val="20"/>
          <w:szCs w:val="20"/>
          <w:color w:val="auto"/>
        </w:rPr>
        <w:br w:type="column"/>
      </w:r>
    </w:p>
    <w:p>
      <w:pPr>
        <w:ind w:left="150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-2176780</wp:posOffset>
            </wp:positionH>
            <wp:positionV relativeFrom="paragraph">
              <wp:posOffset>-268605</wp:posOffset>
            </wp:positionV>
            <wp:extent cx="7145020" cy="2910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5020" cy="29102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our common stock having an aggregate offering price of up to $150,000,000.</w:t>
      </w:r>
    </w:p>
    <w:p>
      <w:pPr>
        <w:spacing w:after="0" w:line="225"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“At the market offering” that may be made from time to time through our Managers. See “Plan of Distribution” on page S-13 of this prospectus supplement.</w:t>
      </w:r>
    </w:p>
    <w:p>
      <w:pPr>
        <w:spacing w:after="0" w:line="162"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from these sales, if any, for general corporate purposes and working capital, which may include investing in or acquiring synergistic or complementary businesses, assets or technologies. At such time, if at all, that we raise in excess of $55 million of net proceeds, we will use the additional net proceeds from these sales, if any, to repay certain of our long term indebtedness. See “Use of Proceeds” on page S-10 of this prospectus supplement.</w:t>
      </w:r>
    </w:p>
    <w:p>
      <w:pPr>
        <w:spacing w:after="0" w:line="179" w:lineRule="exact"/>
        <w:rPr>
          <w:sz w:val="20"/>
          <w:szCs w:val="20"/>
          <w:color w:val="auto"/>
        </w:rPr>
      </w:pPr>
    </w:p>
    <w:p>
      <w:pPr>
        <w:sectPr>
          <w:pgSz w:w="11900" w:h="16838" w:orient="portrait"/>
          <w:cols w:equalWidth="0" w:num="2">
            <w:col w:w="2720" w:space="720"/>
            <w:col w:w="7820"/>
          </w:cols>
          <w:pgMar w:left="320" w:top="927" w:right="319" w:bottom="1440" w:gutter="0" w:footer="0" w:header="0"/>
        </w:sect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83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Your investment in our securities involves substantial risks. See “Risk Factors” beginning on page S-7 of</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3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this prospectus supplement and the accompanying prospectus and in the documents incorporated by</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3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reference herein and therein for a discussion of factors you should consider carefully before deciding to</w:t>
            </w:r>
          </w:p>
        </w:tc>
      </w:tr>
      <w:tr>
        <w:trPr>
          <w:trHeight w:val="234"/>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83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invest in our common stock.</w:t>
            </w:r>
          </w:p>
        </w:tc>
      </w:tr>
      <w:tr>
        <w:trPr>
          <w:trHeight w:val="432"/>
        </w:trPr>
        <w:tc>
          <w:tcPr>
            <w:tcW w:w="20" w:type="dxa"/>
            <w:vAlign w:val="bottom"/>
          </w:tcPr>
          <w:p>
            <w:pPr>
              <w:spacing w:after="0"/>
              <w:rPr>
                <w:sz w:val="24"/>
                <w:szCs w:val="24"/>
                <w:color w:val="auto"/>
              </w:rPr>
            </w:pPr>
          </w:p>
        </w:tc>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Nasdaq Global Market symbol</w:t>
            </w:r>
          </w:p>
        </w:tc>
        <w:tc>
          <w:tcPr>
            <w:tcW w:w="83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“SOUN”</w:t>
            </w:r>
          </w:p>
        </w:tc>
      </w:tr>
      <w:tr>
        <w:trPr>
          <w:trHeight w:val="219"/>
        </w:trPr>
        <w:tc>
          <w:tcPr>
            <w:tcW w:w="20" w:type="dxa"/>
            <w:vAlign w:val="bottom"/>
          </w:tcPr>
          <w:p>
            <w:pPr>
              <w:spacing w:after="0"/>
              <w:rPr>
                <w:sz w:val="19"/>
                <w:szCs w:val="19"/>
                <w:color w:val="auto"/>
              </w:rPr>
            </w:pPr>
          </w:p>
        </w:tc>
        <w:tc>
          <w:tcPr>
            <w:tcW w:w="2940" w:type="dxa"/>
            <w:vAlign w:val="bottom"/>
            <w:tcBorders>
              <w:bottom w:val="single" w:sz="8" w:color="auto"/>
            </w:tcBorders>
          </w:tcPr>
          <w:p>
            <w:pPr>
              <w:spacing w:after="0"/>
              <w:rPr>
                <w:sz w:val="19"/>
                <w:szCs w:val="19"/>
                <w:color w:val="auto"/>
              </w:rPr>
            </w:pPr>
          </w:p>
        </w:tc>
        <w:tc>
          <w:tcPr>
            <w:tcW w:w="8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443"/>
        </w:trPr>
        <w:tc>
          <w:tcPr>
            <w:tcW w:w="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8280" w:type="dxa"/>
            <w:vAlign w:val="bottom"/>
            <w:tcBorders>
              <w:bottom w:val="single" w:sz="8" w:color="auto"/>
            </w:tcBorders>
          </w:tcPr>
          <w:p>
            <w:pPr>
              <w:ind w:left="2540"/>
              <w:spacing w:after="0"/>
              <w:rPr>
                <w:sz w:val="20"/>
                <w:szCs w:val="20"/>
                <w:color w:val="auto"/>
              </w:rPr>
            </w:pPr>
            <w:r>
              <w:rPr>
                <w:rFonts w:ascii="Times New Roman" w:cs="Times New Roman" w:eastAsia="Times New Roman" w:hAnsi="Times New Roman"/>
                <w:sz w:val="18"/>
                <w:szCs w:val="18"/>
                <w:color w:val="auto"/>
              </w:rPr>
              <w:t>S-6</w:t>
            </w:r>
          </w:p>
        </w:tc>
        <w:tc>
          <w:tcPr>
            <w:tcW w:w="20" w:type="dxa"/>
            <w:vAlign w:val="bottom"/>
          </w:tcPr>
          <w:p>
            <w:pPr>
              <w:spacing w:after="0"/>
              <w:rPr>
                <w:sz w:val="24"/>
                <w:szCs w:val="24"/>
                <w:color w:val="auto"/>
              </w:rPr>
            </w:pPr>
          </w:p>
        </w:tc>
      </w:tr>
    </w:tbl>
    <w:p>
      <w:pPr>
        <w:sectPr>
          <w:pgSz w:w="11900" w:h="16838" w:orient="portrait"/>
          <w:cols w:equalWidth="0" w:num="1">
            <w:col w:w="11260"/>
          </w:cols>
          <w:pgMar w:left="320" w:top="927" w:right="31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Before deciding whether to invest in our securities, you should carefully consider the risk factors we describe in this prospectus supplement in addition to the risks and uncertainties discussed above under “Special Note Regarding Forward-Looking Statements,” together with the risk factors described in our Annual Report on Form 10-K for the year ended December 31, 2023, or any Annual Report on Form 10-K or Quarterly Report on Form 10-Q, that is incorporated by reference into this prospectus supplement after the date of this prospectus supplement. Although we discuss key risks in those risk factor descriptions, additional risks not currently known to us or that we currently deem immaterial also may impair our business or financial condition.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we will sell under the Agreement, nor the gross proceeds resulting from those sales.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certain limitations in the Agreement and compliance with applicable law, we have the discretion to deliver a placement notice to the Managers at any time throughout the term of the Agreement. The number of shares that are sold through the Managers after delivering a placement notice will fluctuate based on a number of factors, including the market price of the common stock during the sales period, the limits we set with the Selling Manager (as defined below) in any applicable placement notice and the demand for our common stock during the sales period. Because the price per share of each share sold will fluctuate during the sales period, it is not currently possible to predict the number of shares that will be sold or the gross proceeds to be raised in connection with those sales, if any.</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common stock offered hereby will be sold 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at the market offerings,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and investors who buy shares at different times will likely pay different prices.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so they may experience different levels of dilution and different outcomes in their investment results. We will have discretion, subject to market demand, to vary the timing, prices and numbers of shares sold in this offering. In addition, there is no minimum or maximum sales price for shares to be sold in this offering. Investors may experience a decline in the value of the shares they purchase in this offering as a result of sales made at prices lower than the prices they paid.</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our existing cash and may invest or spend the proceeds in ways with which you do not agree and in ways that may not yield a return on your investment.</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including for any of the purposes described in the section entitled “Use of Proceeds,” and you will be relying on the judgment of our management regarding such application. You will not have the opportunity, as part of your investment decision, to assess whether the net proceeds are being used appropriately. In addition, our Credit Agreement (as defined below) contains certain restrictive covenants requiring mandatory prepayment of the loan with 100% of the net proceeds from equity offerings in excess of $200 million. Our management might not apply the net proceeds or our existing cash in ways that ultimately increase the value of your investment. If we do not invest or apply the net proceeds from this offering or our existing cash and cash equivalents in ways that enhance stockholder value, we may fail to achieve expected business and financial results, which could cause our stock price to decline. Pending their use, we may invest the net proceeds from this offering in short-term, investment-grade, interest-bearing securities. These investments may not yield a favorable return to our stockholders.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our common stock in this offering, you may experience immediate and substantial dilution.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offering price per share in this offering may exceed the net tangible book value per share of our Class A common stock and Class B common stock outstanding prior to this offering. Assuming that an aggregate of $150,000,000 of shares of our common stock are sold in this offering at a price of $5.89 per share, the last reported sale price of our common stock on Nasdaq on March 28, 2024, for aggregate net proceeds of approximately $146 million after deducting commissions and estimated aggregate offering expenses payable by us, and after giving effect to our sales in the Prior ATM Program (as defined below), you will experience immediate dilution of $4.92 per share. The actual amount of dilution to investors in this offering will depend on the sales price at which we sell stock and our net tangible book value per share at the of any sale. See the section entitled “Dilution” below for a more detailed illustration of the dilution you may incur if you participate in this offering.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If we issue equity securities in the future, your ownership in us could be diluted.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issuance of equity we may undertake in the future to raise additional capital could cause the price of our common stock to decline and result in significant dilution for holders of our common stock. For example, from January 1, 2024 through March 31, 2024, we issued 37,757,219 shares of common stock through our completed Prior ATM Program (as defined below) and in January 2024, we issued 8,968,610 shares of our common stock related to our acquisition of SYNQ3, Inc. In addition, the conversion of our shares of Series A preferred stock, the vesting of restricted stock units and the exercise of outstanding stock options and warrants may result in further dilution of your investment.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declaring any cash dividends on our common stock which may adversely impact the market price of our stock.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and do not plan to pay any cash dividends in the near future. Our current policy is to retain all funds and any earnings for use in the operation and expansion of our business. In addition, our Credit Agreement (as defined below) restricts our ability to pay dividends on our capital stock. If we do not pay dividends, our stock may be less valuable to you because a return on your investment will only occur if our stock price appreciates.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significant number of shares of our common stock in the public markets, or the perception that such sales could occur, could depress the market price of our common stock.</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of a significant number of shares of our common stock in the public markets, or the perception that such sales could occur as a result of our utilization of a universal shelf registration statement, our Agreement with the Managers or otherwise could depress the market price of our common stock and impair our ability to raise capital through the sale of additional equity securities. We cannot predict the effect that future sales of our common stock or the market perception that we are permitted to sell a significant number of our securities would have on the market price of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AI</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and provision of AI-powered solutions could lead to operational or reputational damage, competitive harm, legal and regulatory risk and additional costs.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Use and provision of AI, including generative AI, is a core part of our business. The use of generative AI, a relatively new and emerging technology in the early stages of commercial use, exposes us to additional risks, such as damage to our reputation, competitive position and business, legal and regulatory risks and additional costs. For example, generative AI has been known to produce false or “hallucinatory” inferences or output, and certain generative AI uses machine learning and predictive analytics, which can create inaccurate, incomplete or misleading output, unintended biases and other discriminatory or unexpected results, errors or inadequacies, any of which may not be easily detectable. Accordingly, while AI-powered applications may help provide more tailored or personalized user experiences, if the content, analyses or recommendations that AI-powered solutions assist in producing on our products and services are, or are perceived to be, deficient, inaccurate, biased, unethical or otherwise flawed, our reputation, competitive position and business may be materially and adversely affected.</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Additionally, if any of our employees, contractors, vendors or service providers use any third-party AI-powered software in connection with our business or the services they provide to us, it may lead to the inadvertent disclosure of our confidential information, including inadvertent disclosure of our confidential information into publicly available third-party training sets, which may impact our ability to realize the benefit of, or adequately maintain, protect and enforce our intellectual property or confidential information, harming our competitive position and business. Our ability to mitigate risks associated with disclosure of our confidential information, including in connection with AI-powered software, will depend on our implementation, maintenance, monitoring and enforcement of appropriate technical and administrative safeguards, policies and procedures governing the use of AI in our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Additionally, any content created by us using generative AI tools may not be subject to copyright protection which may adversely affect our intellectual property rights in, or ability to commercialize or use, any such content. In the United States, a number of civil lawsuits have been initiated related to the foregoing and other concerns, the outcome of any one of which may, amongst other things, require us to limit the ways in which we use AI in our business and may affect our ability to develop our AI-powered platform innovations and features. For example, the output produced by generative AI tools may include information subject to certain rights of publicity or privacy laws or constitute an unauthorized derivative work of the copyrighted material used in training the underlying AI model, any of which could also create a risk of liability for us, or adversely affect our business or operations. In addition, the use of AI has resulted in, and may in the future result in, cybersecurity breaches or incidents that implicate the personal data of users of AI-powered applications. To the extent that we do not have sufficient rights to use the data or other material or content used in or produced by the generative AI tools used in our business, or if we experience cybersecurity breaches or incidents in connection with our use of AI, it could adversely affect our reputation and expose us to legal liability or regulatory risk, including with respect to third-party intellectual property, privacy, publicity, contractual or other rights. Further, our competitors or other third parties may incorporate AI into their products more quickly or more successfully than us, which could impair our ability to compete effectively.</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the utilization of AI becomes more prevalent, we anticipate that it will continue to present new or unanticipated ethical, reputational, technical, operational, legal, competitive and regulatory issues, among others. We expect that such utilization of AI will require additional resources, including the incurrence of additional costs, to develop and maintain our platform offerings, services and features to minimize potentially harmful or unintended consequences, to comply with applicable and emerging laws and regulations, to maintain or extend our competitive position and to address any ethical, reputational, technical, operational, legal, competitive or regulatory issues which may arise as a result of any of the foregoing. As a result, the challenges presented with our use of AI could adversely affect our business, financial condition and results of operations.</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and legislative developments related to the use of AI could adversely affect our use and provision of AI-powered solutions in our products, services and business.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the regulatory framework for machine learning technology, generative AI and automated decision making evolves, our business, financial condition and results of operations may be adversely affected. The regulatory framework for AI and similar technologies, and automated decision making, is changing rapidly. It is possible that new laws and regulations will be adopted in the United States and in non-U.S. jurisdictions, or that existing laws and regulations may be interpreted in ways that would affect our use and provision of AI-powered solutions in our products, services and business. We may not be able to adequately anticipate or respond to these evolving laws and regulations, and we may need to expend additional resources to adjust our offerings in certain jurisdictions if applicable legal frameworks are inconsistent across jurisdictions. In addition, because these technologies are themselves highly complex and rapidly developing, it is not possible to predict all of the legal or regulatory risks that may arise relating to our use of such technologies. Further, the cost to comply with such laws or regulations could be significant and would increase our operating expenses, which could adversely affect our business, financial condition and results of operations.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example, in Europe, on March 13, 2024, the European Parliament formally adopted a draft of the European Union’s Artificial Intelligence Act (the “AI Act”) which is currently expected to be enacted in mid-2024, pending formal endorsement by the Council of the European Union and publication in the Official Journal of the European Union. The current draft of the AI Act, if enacted, would establish, among other things, a risk-based governance framework for regulating AI systems operating in the European Union. This framework would categorize AI systems, based on the risks associated with such AI systems’ intended purposes, as creating unacceptable or high risks, with all other AI systems being considered low risk. While the AI Act has not yet been enacted or enforced, there is a risk that our current or future AI-powered software or applications may obligate us to comply with the applicable requirements of the AI Act, which may impose additional costs on us, increase our risk of liability or adversely affect our business. For example, the AI Act would prohibit certain uses of AI systems and place numerous obligations on providers and deployers of permitted AI systems, with heightened requirements based on AI systems that are considered high risk. If enacted in this form or a similar form, this regulatory framework is expected to have a material impact on the way AI is regulated in the European Union and beyond, and, together with developing regulatory guidance and judicial decisions in this area, may affect our use of AI and our ability to provide and to improve our services, require additional compliance measures and changes to our operations and processes, result in increased compliance costs and potential increases in civil claims against us and could adversely affect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Use of Proceeds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amount of proceeds from this offering will depend on the number of shares of our common stock sold in this offering and the price at which they are sold. There can be no assurance that we will be able to sell any shares under or fully utilize the Agreement with the Managers as a source of financing. We intend to use the net proceeds of this offering, if any, as follows. As to the first approximately $55 million of net proceeds received, we intend to use the proceeds for general corporate purposes and working capital, which may include investing in or acquiring synergistic or complementary businesses, assets or technologies. At such time, if at all, that we raise in excess of $55 million of net proceeds, then any additional net proceeds received in this offering will be utilized to prepay our term loan in accordance with that certain Senior Secured Term Loan Credit Agreement (the “Credit Agreement”) with ACP Post OAK Credit II LLC, as Administrative Agent and Collateral Agent for the lenders (the “Term Loan”). Pending use of the net proceeds, we intend to invest the net proceeds in short-term, interest-bearing, investment-grade securities or in cash or money market funds.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the Term Loan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April 14, 2023, we entered into the Credit Agreement which provides for a term loan facility in an aggregate principal amount of up to $100.0 million, the entirety of which was funded on the closing date of the arrangement. The Credit Agreement obligates us to pay incremental lender fees, beginning after the closing date, equal to 3.5% of the principal amount of the Term Loan (decreasing to 2.5% after the 18-month anniversary of the closing date), semi-annually to provide a collateral protection insurance policy on behalf of the lenders. The outstanding principal balance of the Term Loan bears interest at the applicable margin plus, at our election, either (i) the secured overnight financing rate (“SOFR”) plus 0.15% or (ii) the alternate base rate (“ABR”), which is a per annum rate equal to the greatest of (a) the Prime Rate (as defined in the Credit Agreement), (b) the NYFRB Rate (as defined in the Credit Agreement) plus 0.50% and (c) the Adjustable Rate (as defined in the Credit Agreement) plus 1.00%. The applicable margin under the Credit Agreement is 8.50% per annum with respect to SOFR loans, and 7.50% per annum with respect to ABR loans. As of December 31, 2023, the interest rate was approximately 14.0%. Subject to certain exceptions as set forth in the Credit Agreement, interest on the Term Loan is payable quarterly in arrears on the last business day of each fiscal quarter. The Term Loan is set to mature on April 14, 2027. The Credit Agreement provides for no scheduled principal payments prior to the maturity date.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you invest in our Class A common stock, your interest will be diluted immediately to the extent of the difference between the public offering price per share and the adjusted net tangible book value per share of our common stock (inclusive of our Class A common stock and Class B common stock) after this offering. “Net tangible book value” is total assets minus the sum of liabilities and intangible assets. “Net tangible book value per share” is net tangible book value divided by the total number of shares of Class A common stock and Class B common stock outstanding.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net tangible book value on December 31, 2023 was approximately $28.2 million, or $0.11 per share. After giving effect to the issuance of 37,757,219 shares of our Class A common stock for net proceeds of approximately $133.5 million in our recently completed at-the-market offering program from the period beginning on January 1, 2024 through March 31, 2024 (the “Prior ATM Program”), our pro forma net tangible book value as of December 31, 2023 was $161.7 million, or $0.55 per share.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After giving effect to the sale of shares of our common stock in the aggregate amount of $150,000,000 in this offering at an assumed offering price of $5.89 per share, which was the last reported sale price of our common stock on Nasdaq on March 28, 2024, and after deducting estimated offering commissions and expenses payable by us, our pro forma as adjusted net tangible book value as of December 31, 2023 would have been approximately $307.7 million, or $0.97 per share of common stock. This represents an immediate increase in net tangible book value of $0.42 per share to our existing stockholders and an immediate dilution in net tangible book value of $4.92 per share to investors participating in this offering. The following table illustrates this dilution per share to investors participating in this offering: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offering price per share</w:t>
            </w:r>
          </w:p>
        </w:tc>
        <w:tc>
          <w:tcPr>
            <w:tcW w:w="4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per share as of December 31, 2023</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0.11</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increase in net tangible book value per share attributable to the Prior ATM Program</w:t>
            </w: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0.44</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Increase in pro forma net tangible book value per share attributable to new investors</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0.42</w:t>
            </w: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after giving effect to this offering</w:t>
            </w: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CCEEFF"/>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Dilution per share to new investors</w:t>
            </w:r>
          </w:p>
        </w:tc>
        <w:tc>
          <w:tcPr>
            <w:tcW w:w="440" w:type="dxa"/>
            <w:vAlign w:val="bottom"/>
          </w:tcPr>
          <w:p>
            <w:pPr>
              <w:spacing w:after="0"/>
              <w:rPr>
                <w:sz w:val="20"/>
                <w:szCs w:val="20"/>
                <w:color w:val="auto"/>
              </w:rPr>
            </w:pPr>
          </w:p>
        </w:tc>
        <w:tc>
          <w:tcPr>
            <w:tcW w:w="134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table above assumes, for illustrative purposes, that an aggregate of 25,466,893 shares of our Class A common stock are sold at a price of $5.89 per share, the last reported sale price of our common stock on Nasdaq on March 28, 2024, for aggregate gross proceeds of $150,000,000. The shares sold in this offering, if any, will be sold from time to time at various prices.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number of shares of our common stock that will be outstanding immediately after this offering as shown above is based on 254,428,757 shares outstanding as of December 31, 2023 consisting of 216,943,349 shares of Class A common stock and 37,485,408 shares of Class B common stock. The number of shares outstanding excludes the following as of December 31, 2023:</w:t>
      </w:r>
    </w:p>
    <w:p>
      <w:pPr>
        <w:spacing w:after="0" w:line="176" w:lineRule="exact"/>
        <w:rPr>
          <w:sz w:val="20"/>
          <w:szCs w:val="20"/>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16,226,645 shares of our Class A common stock issuable upon conversion of Series A preferred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16,343,591 shares of our common stock issuable upon vesting of restricted stock units outstanding under our stock incentive plans;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16,841,367 shares of our common stock issuable upon exercise of stock options outstanding under our stock incentive plans, 15,084,586 of which are currently exercisable, which have a weighted average exercise price of $3.26 per share;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3,665,996 shares of our common stock issuable upon exercise of our outstanding warrants which have an exercise price of $11.50 and 3,301,536 shares of our common stock issuable upon exercise of our outstanding warrants which have an exercise price of $2.59.</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dilution table above also excludes any securities, other than the securities issued in the Prior ATM Program, after December 31, 2023, including the 8,968,610 shares of Class A common stock issued in our recently completed acquisition of SYNQ3, Inc. and any shares issued upon vesting of any restricted stock units, exercise of any stock options or conversion of any shares of Series A preferred stock. The dilution table further excludes the pro forma impact of the acquisition of SYNQ3, Inc. on net tangible book value.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the extent that any of our outstanding shares of Series A preferred stock are converted into common stock, any of our outstanding options or warrants are exercised or restricted stock units vest, we grant additional options or other awards under our stock incentive plan or issue additional warrants or we issue additional shares of common stock in the future, investors may experience further dilution.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 WE ARE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description is not complete and may not contain all the information you should consider before investing in our common stock. For a more detailed description of these securities, you should read the applicable provisions of Delaware law and our certificate of incorporation, as amended, referred to herein as our certificate of incorporation, and our bylaws.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authorized capital stock consists of 500,000,000 shares, par value $0.0001 per share, consisting of: 499,000,000 shares of common stock, of which, 455,000,000 shares are designated as Class A Common Stock and 44,000,000 shares are designated as Class B common stock (“Class B Common Stock”), and 1,000,000 shares of preferred stock, all of which are designated as Series A preferred stock. Our authorized but unissued shares of common stock and preferred stock are available for issuance without further action by our stockholders, unless such action is required by applicable law or the rules of any stock exchange or automated quotation system on which our securities may be listed or traded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there were 216,943,349 shares of the Company’s Class A Common Stock issued and outstanding. In addition, there were 6,967,532 shares of Class A Common Stock issuable upon exercise of outstanding warrants, 16,841,367 shares of Class A Common Stock issuable upon exercise of outstanding stock options, and 16,343,591 shares of Class A Common Stock issuable upon vesting of restricted stock units.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charter provides for two classes of common stock, and provides that, subject to the rights of any holders of any series of preferred stock, each holder of Class A Common Stock shall have the right to one (1) vote per share of Class A Common Stock held of record by such holder as of the applicable record date on all matters submitted to a vote at any meeting of stockholders and each holder of Class B Common Stock shall have the right to ten votes per share of Class B Common Stock held of record by such holder as of the applicable record date on all matters properly submitted to stockholders entitled to vote thereon. Our charter provides for mandatory or optional conversion of the Class B Common Stock upon the occurrence of circumstances described in the charter. The holders of outstanding shares of Class A Common Stock and Class B Common Stock are entitled to receive dividends out of assets or funds legally available for the payment of dividends of such times and in such amounts as our board of directors from time to time may determine. Our Class A Common Stock and Class B are not entitled to pre-emptive rights and are not subject to redemption. Upon liquidation, dissolution or winding up of our company, the assets legally available for distribution to stockholders are distributable ratably among the holders of our Class A Common Stock and Class B Common Stock after payment of liquidation preferences, if any, on any outstanding payment of other claims of creditors. The rights, preferences and privileges of holders of Class A Common Stock and Class B Common Stock are subject to and may be adversely affected by the rights of the holders of shares of any series of preferred stock, including any series of preferred stock that we may designate and issue in the future. Our Class A Common Stock are listed on the Nasdaq Global Market under the trading symbol “SOUN”. The transfer agent and registrar for our Class A Common Stock is Continental Stock Transfer &amp; Trust Company. The Transfer Agent’s address is 1 State Street,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10004.</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entered into the Equity Distribution Agreement (the “Agreement”) with Citigroup Global Markets Inc., Barclays Capital Inc., Wedbush Securities Inc., Northland Securities, Inc. and Ladenburg Thalmann &amp; Co. Inc. (the “Managers”), under which we are permitted to offer and sell shares of our Class A common stock (the “common stock”) having an aggregate gross sales price of up to $150,000,000 from time to time through the Managers, or directly to the Managers acting as principal, in each case severally and not jointly.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Sales of our common stock, if any, under this prospectus supplement and the accompanying prospectus may be made in negotiated transactions, including block trades, or transactions that are deemed to be ‘‘at the market’’ offerings as defined in Rule 415 under the Securities Act of 1933, as amended, or the Securities Act, including sales made by means of ordinary brokers’ transactions, including directly on Nasdaq or sales made to or through a market maker other than on an exchange at prevailing market prices, at prices related to prevailing market prices or at negotiated prices or by any other method permitted by law. Subject to the terms and conditions of the Agreement, the Managers will act as our sales agents using their commercially reasonable efforts consistent with their normal trading and sales practices. The Managers are not required to sell any specific amount. As our agents, the Managers will not engage in any transactions that stabilize the price of our common stock.</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designate the maximum amount of common stock to be sold through the applicable Manager (in the case of each sale, the “Selling Manager”) on a daily basis or otherwise as we and the Managers agree and the minimum price per share at which such common stock may be sold. Subject to the terms and conditions of the Agreement, the Selling Manager will use its commercially reasonable efforts to sell on our behalf all of the designated common stock on such day. We or the Managers may suspend the offering of our common stock at any time and from time to time by notifying the other party.</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Selling Manager will provide to us written confirmation following the close of trading on Nasdaq each day in which shares of our common stock are sold under the Agreement. Each confirmation will include (i) the amount of shares sold on such day, (ii) the aggregate gross offering proceeds received from such sale and the net proceeds to the Company and (iii) the compensation payable by us to the Selling Manager with respect to such sales. Such compensation shall be set forth and invoiced in periodic statements from each Manager to the Company, with payment to be made by the Company promptly after its receipt thereof. We will report at least quarterly the number of shares of common stock sold through the Managers under the Agreement, the net proceeds to us (before expenses) and the compensation paid by us with respect to sales of the common stock.</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will pay the Managers compensation for sales of our common stock at a fixed commission rate of 2.5% of the gross sales price of the shares sold under the Agreement. We have also agreed to provide indemnification and contribution to the Managers with respect to certain liabilities, including civil liabilities under the Securities Act. Because there is no minimum offering amount required as a condition to close this offering, the actual total public offering amount, commissions and proceeds to us, if any, are not determinable at this time. Except as we and the Managers otherwise agree, we will reimburse the Managers for the fees and disbursements of its counsel, in an amount not to exceed $75,000. We estimate that the total expenses for the offering, excluding any commissions or expense reimbursement payable to the Managers under the terms of the Agreement, will be approximately $250,000. The remaining proceeds, after deducting any other transaction fees, will equal our net proceeds from the sale of our shares in this offering.</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terms of the Agreement, we may, if agreed to by the Managers, also sell shares of our common stock to each of the Managers, as principal for its own account, at a price per share and such other terms to be agreed upon at the time of sale. However, the Managers have no obligation to agree to purchase shares of our common stock as principal. If we sell to any Manager as principal, we will enter into a separate terms agreement with such Manager.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sale of shares of common stock on our behalf, each of the Managers may be deemed to be an “underwriter” within the meaning of the Securities Act and the compensation of the Managers may be deemed to be underwriting commissions or discounts.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Until May 28, 2024, settlement for sales of common stock will occur on the second business day (or such earlier day as is industry practice for regular-way trading) following the date on which such sales are made; after May 28, 2024, settlement for sales of common stock will occur, unless the Company and the Managers agree otherwise, on the first business day that is also a trading day following the date on which such sales are made.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Agreement may be terminated by any Manager or us at any time upon notice to the other party, or by any Manager at any time in certain circumstances set forth in the Agreement.</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Managers and/or their affiliates of the Managers have, from time to time, performed, and may in the future perform, various financial advisory and commercial and investment banking services for us and our affiliates, for which they have received and in the future will receive customary fees.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shares of common stock are listed on the Nasdaq Global Market and trade under the symbol “SOUN.” The transfer agent of our common stock is Continental Stock Transfer &amp; Trust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validity of the issuance of the common stock offered by this prospectus supplement will be passed upon for us by Ellenoff Grossman &amp; Schole LLP, New York, New York. The Managers are being represented in connection with this offering by Davis Polk &amp; Wardwell LLP, Menlo Park, California.</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financial statements as of December 31, 2023 and for the year ended December 31, 2023 incorporated in this prospectus supplement by reference to the Annual Report on Form 10-K for the year ended December 31, 2023 have been so incorporated in reliance on the report of PricewaterhouseCoopers LLP, an independent registered public accounting firm, given on the authority of said firm as experts in auditing and accounting.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financial statements of SoundHound AI, Inc. as of and for the years ended December 31, 2022 and 2021, incorporated by reference in this prospectus supplement have been audited by Armanino LLP, independent registered public accounting firm, as set forth in their report incorporated by reference herein, and are included in reliance upon such report given on the authority of such firm as experts in auditing and accounting in giving said report.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with respect to the offer and sale of our securities. This prospectus supplement and the accompanying prospectus, which constitute part of that registration statement, do not include all of the information contained in the registration statement and the accompanying exhibits. Whenever a reference is made in this prospectus supplement or in the accompanying prospectus to any of our contracts, agreements, or other documents, the reference may not be complete, and you should refer to the exhibits or to the reports or other documents incorporated by reference into this prospectus supplement or the accompanying prospectus for a copy of such contract, agreement or other document. Because we are subject to the information and reporting requirements of the Exchange Act, we file annual, quarterly and other reports, proxy statements and other information with the SEC. Our SEC filings are available to the public over the Internet at the SEC’s website at http://www.sec.gov. The SEC website referenced above also contains reports, proxy statements and other information about issuers, like us, that file electronically with the SEC.</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“incorporating by reference” in this prospectus supplement and accompanying prospectus certain documents we file with the SEC, which means that we can disclose important information to you by referring you to those documents. The information in the documents incorporated by reference is considered to be part of this prospectus supplement and the accompanying prospectus. Statements contained in documents that we file with the SEC and that are incorporated by reference in this prospectus supplement and the accompanying prospectus will automatically update and supersede information contained herein and therein, including information in previously filed documents or reports that have been incorporated by reference in this prospectus supplement or the accompanying prospectus, to the extent the new information differs from or is inconsistent with the old information. We are incorporating by reference the filings listed below and any additional documents that we may file with the SEC pursuant to Section 13(a), 13(c), 14 or 15(d) of the Exchange Act on or after the date hereof and prior to the termination of any offering (other than documents or information deemed to have been furnished and not filed in accordance with SEC rules):</w:t>
      </w:r>
    </w:p>
    <w:p>
      <w:pPr>
        <w:spacing w:after="0" w:line="188" w:lineRule="exact"/>
        <w:rPr>
          <w:sz w:val="20"/>
          <w:szCs w:val="20"/>
          <w:color w:val="auto"/>
        </w:rPr>
      </w:pPr>
    </w:p>
    <w:p>
      <w:pPr>
        <w:ind w:left="840" w:hanging="184"/>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 filed with the SEC on March 1, 2024;</w:t>
      </w:r>
    </w:p>
    <w:p>
      <w:pPr>
        <w:spacing w:after="0" w:line="22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w:t>
      </w:r>
      <w:hyperlink r:id="rId31">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January 3, 2024; and</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82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and warrants contained in our Registration Statement on </w:t>
      </w:r>
      <w:hyperlink r:id="rId32">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March 10, 2021 and the Description of Securities contained filed as </w:t>
      </w:r>
      <w:hyperlink r:id="rId33">
        <w:r>
          <w:rPr>
            <w:rFonts w:ascii="Times New Roman" w:cs="Times New Roman" w:eastAsia="Times New Roman" w:hAnsi="Times New Roman"/>
            <w:sz w:val="18"/>
            <w:szCs w:val="18"/>
            <w:u w:val="single" w:color="auto"/>
            <w:color w:val="0000EE"/>
          </w:rPr>
          <w:t>Exhibit 4.5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fiscal year ended December 31, 2022, including any amendments or reports filed for the purpose of updating such information.</w:t>
      </w:r>
    </w:p>
    <w:p>
      <w:pPr>
        <w:spacing w:after="0" w:line="176" w:lineRule="exact"/>
        <w:rPr>
          <w:rFonts w:ascii="Times New Roman" w:cs="Times New Roman" w:eastAsia="Times New Roman" w:hAnsi="Times New Roman"/>
          <w:sz w:val="18"/>
          <w:szCs w:val="18"/>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 this prospectus supplement shall be deemed modified, superseded or replaced for purposes of this prospectus supplement to the extent that a statement contained in this prospectus supplement, or in any subsequently filed document that also is deemed to be incorporated by reference in this prospectus supplement, modifies, supersedes or replaces such statement. Any statement so modified, superseded or replaced shall not be deemed, except as so modified, superseded or replaced, to constitute a part of this prospectus supplement. None of the information that we disclose under Items 2.02 or 7.01 of any Current Report on Form 8-K or any corresponding information, either furnished under Item 9.01 or included as an exhibit therein, that we may from time to time furnish to the SEC will be incorporated by reference into, or otherwise included in, this prospectus, except as otherwise expressly set forth in the relevant document. Subject to the foregoing, all information appearing in this prospectus is qualified in its entirety by the information appearing in the documents incorporated by reference.</w:t>
      </w:r>
    </w:p>
    <w:p>
      <w:pPr>
        <w:spacing w:after="0" w:line="192" w:lineRule="exact"/>
        <w:rPr>
          <w:rFonts w:ascii="Times New Roman" w:cs="Times New Roman" w:eastAsia="Times New Roman" w:hAnsi="Times New Roman"/>
          <w:sz w:val="18"/>
          <w:szCs w:val="18"/>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SEC maintains a website at www.sec.gov, from which you can inspect these documents and other information we have filed electronically with the SEC. You may also request, orally or in writing, a copy of these documents, which will be provided to you at no cost (other than exhibits, unless such exhibits are specifically incorporate by reference), by contacting General Counsel, c/o SoundHound AI, Inc., at 5400 Betsy Ross Drive, Santa Clara, CA 95054. Our telephone number is (408) 441-3200. Through our website, we make available, free of charge, our following documents as soon as reasonably practicable after they are electronically filed with, or furnished to, the SEC: Annual Reports on Form 10-K; proxy statements for our annual and special shareholder meetings; Quarterly Reports on Form 10-Q; Current Reports on Form 8-K; Forms 3, 4 and 5 and Schedules 13D; and amendments to those documents. These filings will be available as soon as reasonably practicable after we electronically file such material with, or furnish it to, the SEC. The information contained in, or that can be accessed through, our website is not a part of this prospectus supplement and is not incorporated by reference herein, and the inclusion of our website address in this prospectus supplement is an inactive textual reference only.</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$400,000,000</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PURCHASE CONTRACTS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DEPOSITARY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may offer and sell from time to time, in one or more series, any one of the following securities of SoundHound AI, Inc. (“SoundHound AI,” the “Company,” “we,” “us” or “our”), for total gross proceeds of up to $400,000,000:</w:t>
      </w:r>
    </w:p>
    <w:p>
      <w:pPr>
        <w:spacing w:after="0" w:line="162" w:lineRule="exact"/>
        <w:rPr>
          <w:sz w:val="20"/>
          <w:szCs w:val="20"/>
          <w:color w:val="auto"/>
        </w:rPr>
      </w:pPr>
    </w:p>
    <w:p>
      <w:pPr>
        <w:ind w:left="1000" w:hanging="344"/>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common stock, par value $0.0001 per share (the “Class A Shares,” the “Class A Common Stock” or the “Common Stock”);</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contracts;</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our securities;</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rights to purchase any of the foregoing securities;</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depositary shares;</w:t>
      </w:r>
    </w:p>
    <w:p>
      <w:pPr>
        <w:spacing w:after="0" w:line="225" w:lineRule="exact"/>
        <w:rPr>
          <w:rFonts w:ascii="Times New Roman" w:cs="Times New Roman" w:eastAsia="Times New Roman" w:hAnsi="Times New Roman"/>
          <w:sz w:val="18"/>
          <w:szCs w:val="18"/>
          <w:color w:val="auto"/>
        </w:rPr>
      </w:pPr>
    </w:p>
    <w:p>
      <w:pPr>
        <w:ind w:left="1000" w:right="20" w:hanging="344"/>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or unsecured debt securities consisting of notes, debentures or other evidences of indebtedness which may be senior debt securities, senior subordinated debt securities or subordinated debt securities, each of which may be convertible into equity securities; or</w:t>
      </w:r>
    </w:p>
    <w:p>
      <w:pPr>
        <w:spacing w:after="0" w:line="161"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comprised of, or other combinations of, the foregoing securities.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offer and sell these securities separately or together, in one or more series or classes and in amounts, at prices and on terms described in one or more offerings. We may offer securities through underwriting syndicates managed or co-managed by one or more underwriters or dealers, through agents or directly to purchasers. The prospectus supplement for each offering of securities will describe in detail the plan of distribution for that offering. For general information about the distribution of securities offered, please see “Plan of Distribution” in this prospectus.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time our securities are offered, we will provide a prospectus supplement containing more specific information about the particular offering and attach it to this prospectus. The prospectus supplements may also add, update or change information contained in this prospectus.</w:t>
      </w:r>
    </w:p>
    <w:p>
      <w:pPr>
        <w:spacing w:after="0" w:line="15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offer or sell securities without a prospectus supplement which includes a description of the method and terms of this offering.</w:t>
      </w:r>
    </w:p>
    <w:p>
      <w:pPr>
        <w:spacing w:after="0" w:line="15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Class A Common Stock is listed on the Global Market of The Nasdaq Stock Market LLC (“Nasdaq”) under the symbol “SOUN.” The last reported sale price of our Class A Common Stock on July 11, 2023 was $3.53 per share. Our listed redeemable warrants are listed on the Nasdaq Global Market under the symbol “SOUNW.”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decide to seek a listing of any preferred stock, purchase contracts, warrants, subscriptions rights, depositary shares, debt securities or units offered by this prospectus, the related prospectus supplement will disclose the exchange or market on which the securities will be listed, if any, or where we have made an application for listing, if any.</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certain risks. See “Risk Factors” beginning on page 5 and the risk factors in our most recent Annual Report on Form 10-K, which is incorporated by reference herein, as well as in any other recently filed quarterly or current reports and, if any, in the relevant prospectus supplement. We urge you to carefully read this prospectus and the accompanying prospectus supplement, together with the documents we incorporate by reference, describing the terms of these securities before investing.</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August 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7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39"/>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76"/>
        </w:trPr>
        <w:tc>
          <w:tcPr>
            <w:tcW w:w="452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w:t>
            </w:r>
          </w:p>
        </w:tc>
        <w:tc>
          <w:tcPr>
            <w:tcW w:w="560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20"/>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56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520" w:type="dxa"/>
            <w:vAlign w:val="bottom"/>
            <w:tcBorders>
              <w:bottom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EE"/>
                <w:w w:val="99"/>
              </w:rPr>
              <w:t>Cautionary Statement Regarding Forward-Looking Statements</w:t>
            </w:r>
          </w:p>
        </w:tc>
        <w:tc>
          <w:tcPr>
            <w:tcW w:w="560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2"/>
              </w:rPr>
              <w:t>iii</w:t>
            </w:r>
          </w:p>
        </w:tc>
      </w:tr>
      <w:tr>
        <w:trPr>
          <w:trHeight w:val="21"/>
        </w:trPr>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54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2980" w:type="dxa"/>
            <w:vAlign w:val="bottom"/>
            <w:tcBorders>
              <w:bottom w:val="single" w:sz="8" w:color="CCEEFF"/>
            </w:tcBorders>
            <w:gridSpan w:val="5"/>
            <w:shd w:val="clear" w:color="auto" w:fill="CCEEFF"/>
          </w:tcPr>
          <w:p>
            <w:pPr>
              <w:spacing w:after="0"/>
              <w:rPr>
                <w:sz w:val="17"/>
                <w:szCs w:val="17"/>
                <w:color w:val="auto"/>
              </w:rPr>
            </w:pPr>
          </w:p>
        </w:tc>
        <w:tc>
          <w:tcPr>
            <w:tcW w:w="6720" w:type="dxa"/>
            <w:vAlign w:val="bottom"/>
            <w:tcBorders>
              <w:bottom w:val="single" w:sz="8" w:color="CCEEFF"/>
            </w:tcBorders>
            <w:gridSpan w:val="2"/>
            <w:shd w:val="clear" w:color="auto" w:fill="CCEEFF"/>
          </w:tcPr>
          <w:p>
            <w:pPr>
              <w:jc w:val="center"/>
              <w:ind w:left="5490"/>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175"/>
        </w:trPr>
        <w:tc>
          <w:tcPr>
            <w:tcW w:w="452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720" w:type="dxa"/>
            <w:vAlign w:val="bottom"/>
            <w:gridSpan w:val="2"/>
          </w:tcPr>
          <w:p>
            <w:pPr>
              <w:jc w:val="center"/>
              <w:ind w:left="5490"/>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3340" w:type="dxa"/>
            <w:vAlign w:val="bottom"/>
            <w:tcBorders>
              <w:bottom w:val="single" w:sz="8" w:color="CCEEFF"/>
            </w:tcBorders>
            <w:gridSpan w:val="8"/>
            <w:shd w:val="clear" w:color="auto" w:fill="CCEEFF"/>
          </w:tcPr>
          <w:p>
            <w:pPr>
              <w:spacing w:after="0"/>
              <w:rPr>
                <w:sz w:val="17"/>
                <w:szCs w:val="17"/>
                <w:color w:val="auto"/>
              </w:rPr>
            </w:pPr>
          </w:p>
        </w:tc>
        <w:tc>
          <w:tcPr>
            <w:tcW w:w="6720" w:type="dxa"/>
            <w:vAlign w:val="bottom"/>
            <w:tcBorders>
              <w:bottom w:val="single" w:sz="8" w:color="CCEEFF"/>
            </w:tcBorders>
            <w:gridSpan w:val="2"/>
            <w:shd w:val="clear" w:color="auto" w:fill="CCEEFF"/>
          </w:tcPr>
          <w:p>
            <w:pPr>
              <w:jc w:val="center"/>
              <w:ind w:left="5490"/>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176"/>
        </w:trPr>
        <w:tc>
          <w:tcPr>
            <w:tcW w:w="452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6720" w:type="dxa"/>
            <w:vAlign w:val="bottom"/>
            <w:gridSpan w:val="2"/>
          </w:tcPr>
          <w:p>
            <w:pPr>
              <w:jc w:val="center"/>
              <w:ind w:left="5490"/>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452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We May Offer</w:t>
            </w:r>
          </w:p>
        </w:tc>
        <w:tc>
          <w:tcPr>
            <w:tcW w:w="6720" w:type="dxa"/>
            <w:vAlign w:val="bottom"/>
            <w:gridSpan w:val="2"/>
            <w:shd w:val="clear" w:color="auto" w:fill="CCEEFF"/>
          </w:tcPr>
          <w:p>
            <w:pPr>
              <w:jc w:val="center"/>
              <w:ind w:left="5490"/>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176"/>
        </w:trPr>
        <w:tc>
          <w:tcPr>
            <w:tcW w:w="288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Forms of Securities</w:t>
            </w:r>
          </w:p>
        </w:tc>
        <w:tc>
          <w:tcPr>
            <w:tcW w:w="1640" w:type="dxa"/>
            <w:vAlign w:val="bottom"/>
            <w:tcBorders>
              <w:top w:val="single" w:sz="8" w:color="CCEEFF"/>
            </w:tcBorders>
            <w:gridSpan w:val="3"/>
          </w:tcPr>
          <w:p>
            <w:pPr>
              <w:spacing w:after="0"/>
              <w:rPr>
                <w:sz w:val="15"/>
                <w:szCs w:val="15"/>
                <w:color w:val="auto"/>
              </w:rPr>
            </w:pPr>
          </w:p>
        </w:tc>
        <w:tc>
          <w:tcPr>
            <w:tcW w:w="6720" w:type="dxa"/>
            <w:vAlign w:val="bottom"/>
            <w:tcBorders>
              <w:top w:val="single" w:sz="8" w:color="CCEEFF"/>
            </w:tcBorders>
            <w:gridSpan w:val="2"/>
          </w:tcPr>
          <w:p>
            <w:pPr>
              <w:jc w:val="center"/>
              <w:ind w:left="5490"/>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2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Legal Matters</w:t>
            </w:r>
          </w:p>
        </w:tc>
        <w:tc>
          <w:tcPr>
            <w:tcW w:w="3500" w:type="dxa"/>
            <w:vAlign w:val="bottom"/>
            <w:tcBorders>
              <w:bottom w:val="single" w:sz="8" w:color="CCEEFF"/>
            </w:tcBorders>
            <w:gridSpan w:val="9"/>
            <w:shd w:val="clear" w:color="auto" w:fill="CCEEFF"/>
          </w:tcPr>
          <w:p>
            <w:pPr>
              <w:spacing w:after="0"/>
              <w:rPr>
                <w:sz w:val="17"/>
                <w:szCs w:val="17"/>
                <w:color w:val="auto"/>
              </w:rPr>
            </w:pPr>
          </w:p>
        </w:tc>
        <w:tc>
          <w:tcPr>
            <w:tcW w:w="6720" w:type="dxa"/>
            <w:vAlign w:val="bottom"/>
            <w:tcBorders>
              <w:bottom w:val="single" w:sz="8" w:color="CCEEFF"/>
            </w:tcBorders>
            <w:gridSpan w:val="2"/>
            <w:shd w:val="clear" w:color="auto" w:fill="CCEEFF"/>
          </w:tcPr>
          <w:p>
            <w:pPr>
              <w:jc w:val="center"/>
              <w:ind w:left="5490"/>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175"/>
        </w:trPr>
        <w:tc>
          <w:tcPr>
            <w:tcW w:w="452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6720" w:type="dxa"/>
            <w:vAlign w:val="bottom"/>
            <w:gridSpan w:val="2"/>
          </w:tcPr>
          <w:p>
            <w:pPr>
              <w:jc w:val="center"/>
              <w:ind w:left="5490"/>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326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Where You Can Find Additional Information</w:t>
            </w:r>
          </w:p>
        </w:tc>
        <w:tc>
          <w:tcPr>
            <w:tcW w:w="1260" w:type="dxa"/>
            <w:vAlign w:val="bottom"/>
            <w:tcBorders>
              <w:bottom w:val="single" w:sz="8" w:color="CCEEFF"/>
            </w:tcBorders>
            <w:shd w:val="clear" w:color="auto" w:fill="CCEEFF"/>
          </w:tcPr>
          <w:p>
            <w:pPr>
              <w:spacing w:after="0"/>
              <w:rPr>
                <w:sz w:val="17"/>
                <w:szCs w:val="17"/>
                <w:color w:val="auto"/>
              </w:rPr>
            </w:pPr>
          </w:p>
        </w:tc>
        <w:tc>
          <w:tcPr>
            <w:tcW w:w="6720" w:type="dxa"/>
            <w:vAlign w:val="bottom"/>
            <w:tcBorders>
              <w:bottom w:val="single" w:sz="8" w:color="CCEEFF"/>
            </w:tcBorders>
            <w:gridSpan w:val="2"/>
            <w:shd w:val="clear" w:color="auto" w:fill="CCEEFF"/>
          </w:tcPr>
          <w:p>
            <w:pPr>
              <w:jc w:val="center"/>
              <w:ind w:left="5490"/>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176"/>
        </w:trPr>
        <w:tc>
          <w:tcPr>
            <w:tcW w:w="3080" w:type="dxa"/>
            <w:vAlign w:val="bottom"/>
            <w:tcBorders>
              <w:bottom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w w:val="99"/>
              </w:rPr>
              <w:t>Incorporation of Documents By Reference</w:t>
            </w:r>
          </w:p>
        </w:tc>
        <w:tc>
          <w:tcPr>
            <w:tcW w:w="1440" w:type="dxa"/>
            <w:vAlign w:val="bottom"/>
            <w:gridSpan w:val="2"/>
          </w:tcPr>
          <w:p>
            <w:pPr>
              <w:spacing w:after="0"/>
              <w:rPr>
                <w:sz w:val="15"/>
                <w:szCs w:val="15"/>
                <w:color w:val="auto"/>
              </w:rPr>
            </w:pPr>
          </w:p>
        </w:tc>
        <w:tc>
          <w:tcPr>
            <w:tcW w:w="6720" w:type="dxa"/>
            <w:vAlign w:val="bottom"/>
            <w:gridSpan w:val="2"/>
          </w:tcPr>
          <w:p>
            <w:pPr>
              <w:jc w:val="center"/>
              <w:ind w:left="5490"/>
              <w:spacing w:after="0" w:line="176" w:lineRule="exact"/>
              <w:rPr>
                <w:sz w:val="20"/>
                <w:szCs w:val="20"/>
                <w:color w:val="auto"/>
              </w:rPr>
            </w:pPr>
            <w:r>
              <w:rPr>
                <w:rFonts w:ascii="Times New Roman" w:cs="Times New Roman" w:eastAsia="Times New Roman" w:hAnsi="Times New Roman"/>
                <w:sz w:val="18"/>
                <w:szCs w:val="18"/>
                <w:color w:val="auto"/>
                <w:w w:val="99"/>
              </w:rPr>
              <w:t>25</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660"/>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or SEC, utilizing a “shelf” registration process. Under this shelf registration process, we may offer and sell, either individually or in combination, in one or more offerings, any of the securities described in this prospectus, for total gross proceeds of up to $400,000,000. This prospectus provides you with a general description of the securities we may offer. Each time we offer securities under this prospectus, we will provide a prospectus supplement to this prospectus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w:t>
      </w:r>
    </w:p>
    <w:p>
      <w:pPr>
        <w:spacing w:after="0" w:line="192" w:lineRule="exact"/>
        <w:rPr>
          <w:sz w:val="20"/>
          <w:szCs w:val="20"/>
          <w:color w:val="auto"/>
        </w:rPr>
      </w:pPr>
    </w:p>
    <w:p>
      <w:pPr>
        <w:jc w:val="both"/>
        <w:ind w:firstLine="660"/>
        <w:spacing w:after="0" w:line="256" w:lineRule="auto"/>
        <w:rPr>
          <w:sz w:val="20"/>
          <w:szCs w:val="20"/>
          <w:color w:val="auto"/>
        </w:rPr>
      </w:pPr>
      <w:r>
        <w:rPr>
          <w:rFonts w:ascii="Times New Roman" w:cs="Times New Roman" w:eastAsia="Times New Roman" w:hAnsi="Times New Roman"/>
          <w:sz w:val="18"/>
          <w:szCs w:val="18"/>
          <w:color w:val="auto"/>
        </w:rPr>
        <w:t>We urge you to read carefully this prospectus, any applicable prospectus supplement and any free writing prospectuses we have authorized for use in connection with a specific offering, together with the information incorporated herein by reference as described under the heading “Incorporation of Documents by Reference,” before investing in any of the securities being offered. You should rely only on the information contained in, or incorporated by reference into, this prospectus and any applicable prospectus supplement, along with the information contained in any free writing prospectuses we have authorized for use in connection with a specific offering. We have not authorized anyone to provide you with different or additional information. This prospectus is an offer to sell only the securities offered hereby, but only under circumstances and in jurisdictions where it is lawful to do so.</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appearing in this prospectus, any applicable prospectus supplement or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any applicable prospectus supplement or any related free writing prospectus, or any sale of a security.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entitled “Where You Can Find Additional Information.”</w:t>
      </w:r>
    </w:p>
    <w:p>
      <w:pPr>
        <w:spacing w:after="0" w:line="180" w:lineRule="exact"/>
        <w:rPr>
          <w:sz w:val="20"/>
          <w:szCs w:val="20"/>
          <w:color w:val="auto"/>
        </w:rPr>
      </w:pPr>
    </w:p>
    <w:p>
      <w:pPr>
        <w:jc w:val="both"/>
        <w:ind w:firstLine="660"/>
        <w:spacing w:after="0" w:line="282" w:lineRule="auto"/>
        <w:rPr>
          <w:sz w:val="20"/>
          <w:szCs w:val="20"/>
          <w:color w:val="auto"/>
        </w:rPr>
      </w:pPr>
      <w:r>
        <w:rPr>
          <w:rFonts w:ascii="Times New Roman" w:cs="Times New Roman" w:eastAsia="Times New Roman" w:hAnsi="Times New Roman"/>
          <w:sz w:val="18"/>
          <w:szCs w:val="18"/>
          <w:color w:val="auto"/>
        </w:rPr>
        <w:t>This prospectus contains, or incorporates by reference, trademarks, tradenames, service marks and service names of SoundHound AI and its subsidiaries.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contain or may contain forward looking statements that involve risks and uncertainties. All statements other than statements of historical fact contained in this prospectus and the documents incorporated by reference herein, including statements regarding future events, our future financial performance, business strategy, and plans and objectives of management for future operations, are forward-looking statements. We have attempted to identify forward-looking statements by terminology including “anticipates,” “believes,” “can,” “continue,” “could,” “estimates,” “expects,” “intends,” “may,” “plans,” “potential,” “predicts,” “should,” or “will” or the negative of these terms or other comparable terminology. The following factors among others, could cause actual results and future events to differ materially from those set forth or contemplated in the forward-looking statements:</w:t>
      </w:r>
    </w:p>
    <w:p>
      <w:pPr>
        <w:spacing w:after="0" w:line="121"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of our business strategy, including launching new product offerings and expanding information and technology capabilities;</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 and our ability to acquire new customers and retain existing customers;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impact of our growth initiatives on our future financial performance;</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intellectual property and trade secrets;</w:t>
      </w:r>
    </w:p>
    <w:p>
      <w:pPr>
        <w:spacing w:after="0" w:line="144"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additional capital, including equity or debt financing, on terms that are acceptable to us, if at all, particularly in light of inflationary pressures and resulting increases in the cost of borrowing;</w:t>
      </w:r>
    </w:p>
    <w:p>
      <w:pPr>
        <w:spacing w:after="0" w:line="9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and extensive and evolving government regulations that impact our operations and business;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attract or maintain a qualified workforce, particularly following our recent restructuring efforts;</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product service failures that could lead our customers to use competitors’ services;</w:t>
      </w:r>
    </w:p>
    <w:p>
      <w:pPr>
        <w:spacing w:after="0" w:line="157"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claims, disputes, enforcement actions, litigation and/or other regulatory or legal proceedings, including with respect to our AI technology;</w:t>
      </w:r>
    </w:p>
    <w:p>
      <w:pPr>
        <w:spacing w:after="0" w:line="9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and the COVID-19 pandemic or any similar public health developments on our business;</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uncertainty of our estimates of market opportunity and forecasts of market growth;</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the listing of our Class A Common Stock on the Nasdaq Global Market;</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 and</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under the section titled “Risk Factors” in this prospectus.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Although we do not make forward looking statements unless we believe we have a reasonable basis for doing so, we cannot guarantee their accuracy. These statements are only predictions and involve known and unknown risks, uncertainties and other factors, including the risks outlined under “Risk Factors” or elsewhere in this prospectus and the documents incorporated by reference herein, which may cause our or our industry’s actual results, levels of activity, performance or achievements expressed or implied by these forward-looking statements. Moreover, we operate in a highly regulated, very competitive, and rapidly changing environment. New risks emerge from time to time and it is not possible for us to predict all risk factors, nor can we address the impact of all factors on our business or the extent to which any factor, or combination of factors, may cause our actual results to differ materially from those contained in any forward-looking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financial trends that we believe may affect our financial condition, results of operations, business strategy, short term and long term business operations, and financial needs. 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prospectus, and in particular, the risks discussed below and under the heading “Risk Factors” and those discussed in other documents we file with the SEC. The following discussion should be read in conjunction with the consolidated financial statements for the fiscal years ended December 31, 2022 and 2021 and notes incorporated by reference herein. We undertake no obligation to revise or publicly release the results of any revision to these forward-looking statements, except as required by law. In light of these risks, uncertainties and assumptions, the forward-looking events and circumstances discussed in this prospectus may not occur and actual results could differ materially and adversely from those anticipated or implied in the forward-looking statement.</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should not place undue reliance on any forward-looking statement, each of which applies only as of the date of this prospectus. Except as required by law, we undertake no obligation to update or revise publicly any of the forward-looking statements after the date of this prospectus to conform our statements to actual results or changed expectations.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forward-looking statement you read in this prospectus, any prospectus supplement or any document incorporated by reference reflects our current views with respect to future events and is subject to these and other risks, uncertainties and assumptions relating to our operations, operating results, growth strategy and liquidity. You should not place undue reliance on these forward-looking statements because such statements speak only as to the date when made. We assume no obligation to publicly update or revise these forward-looking statements for any reason, or to update the reasons actual results could differ materially from those anticipated in these forward-looking statements, even if new information becomes available in the future, except as otherwise required by applicable law. You are advised, however, to consult any further disclosures we make on related subjects in our reports on Forms 10-Q, 8-K and 10-K filed with the SEC. You should understand that it is not possible to predict or identify all risk factors. Consequently, you should not consider any such list to be a complete set of all potential risks or uncertainties.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36130" cy="64503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136130" cy="6450330"/>
                    </a:xfrm>
                    <a:prstGeom prst="rect">
                      <a:avLst/>
                    </a:prstGeom>
                    <a:noFill/>
                  </pic:spPr>
                </pic:pic>
              </a:graphicData>
            </a:graphic>
          </wp:anchor>
        </w:drawing>
        <w:t>PROSPECTUS SUMMARY</w:t>
      </w:r>
    </w:p>
    <w:p>
      <w:pPr>
        <w:spacing w:after="0" w:line="227"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This summary does not contain all the information that you should consider before investing in our Company. You should carefully read the entire prospectus, including all documents incorporated by reference herein. In particular, attention should be directed to our “Risk Factors,” “Information With Respect to the Company,” “Management’s Discussion and Analysis of Financial Condition and Results of Operations” and the financial statements and related notes thereto contained herein or otherwise incorporated by reference hereto, before making an investment decision.</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used herein, and any amendment or supplement hereto, unless otherwise indicated, “we,” “us,” “our,” the “Company,” or “SoundHound AI” means SoundHound AI, Inc. and its subsidiaries. Unless otherwise indicated, all references in this prospectus to “dollars” or “$” refer to US dollars.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We are a leading innovator of conversational intelligence, offering an independent Voice AI platform that enables businesses across industries to deliver high-quality conversational experiences to their customers. Built on proprietary Speech-to-Meaning, Deep Meaning Understanding, Collective AI, Dynamic Interaction and Chat AI breakthrough technologies developed over the past 17 years, our advanced Voice AI platform provides exceptional speed and accuracy and enables humans to interact with products and services like they interact with each other — by speaking naturally.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voice-enabled conversational user interface is a more natural interface for nearly all use cases, and product creators should have the ability to design, customize, differentiate, innovate and monetize the interface to their own product, as opposed to outsourcing it to a third-party assistant. For example, using SoundHound,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IoT devices. Additionally, SoundHound’s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SoundHound developer platform, Houndify, is an open-access platform that allows developers to leverage SoundHound’s Voice AI technology and a library of over 100 content domains, including commonly used domains for points of interest, weather, flight status, sports and more. SoundHound’s Collective AI is an architecture for connecting domain knowledge that encourages collaboration and contribution among developers. The architecture is based on proprietary software engineering technology, CaiLAN (Conversational AI Language), and machine learning technology, CaiNET (Conversational AI Network) to ensure fast, accurate and appropriate responses.</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SoundHound’s technology is live in production and at scale with companies around the globe, including Hyundai, Pandora, Snap, VIZIO, Square, Toast, Oracle, KIA and Stellantis. We have seen significant inflection in customer adoption of our technology, as measured through activity on our platform, which surpassed 1 billion annual queries in 2021 and experienced over 85% growth during 2022.</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current partners span multiple industries and geographies, and together have a combined reach of over 2 billion end users.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market position is strengthened by the technical barriers to entry in the Voice AI space, which tend to discourage new market participants. Furthermore, our technology is backed by significant investments in intellectual property, with over 120 patents granted and over 140 patents pending, spanning multiple fields including speech recognition, natural language understanding, machine learning, monetization and more. We have achieved this critical momentum in part thanks to a long-tenured leadership team with deep expertise and proven ability to attract and retain talent. We believe that SoundHound has extensive technical expertise and a proven track record of innovation and value creation for us to continue to attract customers in the growing market for Voice AI transactions, which is estimated to grow to $160 billion per year by 2026.</w:t>
      </w: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1022" w:right="439" w:bottom="1440" w:gutter="0" w:footer="0" w:header="0"/>
        </w:sectPr>
      </w:pPr>
    </w:p>
    <w:bookmarkStart w:id="26" w:name="page27"/>
    <w:bookmarkEnd w:id="2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36130" cy="64503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136130" cy="6450330"/>
                    </a:xfrm>
                    <a:prstGeom prst="rect">
                      <a:avLst/>
                    </a:prstGeom>
                    <a:noFill/>
                  </pic:spPr>
                </pic:pic>
              </a:graphicData>
            </a:graphic>
          </wp:anchor>
        </w:drawing>
        <w:t>We believe that SoundHound is well-positioned to fill the growing void and demand for an independent Voice AI platform. The Voice AI offerings from big tech companies are primarily an extension of their more core services and offerings. Rather than strengthening a customer’s product, it can take over the entire experience, thus disintermediating the company’s brand, users and data. As a result, brands relying on big tech mostly lose their ability to innovate, differentiate and customize. In some cases, these providers even compete with the products they support, making them increasingly less attractive as a choice for a voice interface.</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alternative options are generally legacy vendors tending to use dated technologies at a high price. Furthermore, many of these technologies still require significant effort by the product creators to turn them into solutions that can compete with the quality of the big tech offering, which in many cases is not practical. Due to the high barrier to entry in Voice AI, there are not many independent players.</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This creates a great opportunity for SoundHound: we believe that we provide disruptive technologies that are superior to the alternatives, with better terms, allowing customers to maintain their brand, control the user experience, get access to the data and define their own privacy policies, while being able to customize, differentiate, innovate and monetize.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 it comes to criteria for adoption, our goal is to win on every dimension. The first two criteria customers typically consider are technology and brand control. We strive to provide our customers with the best technology, and we provide a white label solution giving our customers control of their brands. In some industries you may have to choose between technology and brand control. In our case, we offer our customers the best of both, by enabling them to offer disruptive technologies to their users while maintaining control of their brand and user experience.</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With our disruptive monetization strategy, we also provide an additional path to monetization for our customer base. By choosing our platform, product creators can generate additional revenue while making their product better using Voice AI, providing further incentive to choose our platform.</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we offer a superior ecosystem, benefiting from our Collective AI product architecture along with offering customers definable privacy controls, which are becoming increasingly important in the industry of Voice AI. Additionally, there is no conflict of interest between us and our partners and customers as we do not compete with them (as some other Voice AI vendors do). We also offer edge and hybrid solutions. This means our technology can optionally run without a cloud connection for increased flexibility and privacy. Our focus is on delivering the most advanced Voice AI in the world and thus allowing our partners to differentiate and innovate their overall experiences for their brands.</w:t>
      </w:r>
    </w:p>
    <w:p>
      <w:pPr>
        <w:spacing w:after="0" w:line="18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We strongly believe that product creators know their product and users best. The idea of a single third-party assistant taking over their product is not reflective of our anticipated future. We envision that every product will have its own identity, and they will have Voice AI customized in different ways. They can each tap into a single Collective AI to access the ever-growing set of domains, but the product creators can innovate on top of Collective AI and create value for the end users in their own way. This is the future that we are focusing on enabling.</w:t>
      </w:r>
    </w:p>
    <w:p>
      <w:pPr>
        <w:spacing w:after="0" w:line="180"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When a product is voice enabled, we see three stages of integration and value propositions. The first stage is to enable the core use cases of the product. For example, the product could be a TV, a coffee machine, a car, a wearable device, a robot, a smart speaker or an appliance, and with your voice you can control the functionality of the device and the product. On a TV, you can ask it to change the channel, increase the volume, rewind by 30 seconds, search for movies and even add personalization by adding a TV show to your favorites. Note that this is different from adding a third-party voice assistant to the product. Our view is that every product needs to have an interface, and voice-AI is a natural and compelling interface that unlocks new use cases and potential. Consider just the simple example of rewinding or fast forwarding by a specific duration. That is a command that can be done with voice within a few seconds, but it can take many steps to do using alternative interfaces such as a remote control or a companion app.</w:t>
      </w:r>
    </w:p>
    <w:p>
      <w:pPr>
        <w:spacing w:after="0" w:line="18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Once the core features of a product are voice-enabled, it can be further enhanced in the second stage of integration: the addition of third-party content and domains. SoundHound has extensive partnerships with content providers and, through these partnerships, can fulfill many needs of our customers. For example, your TV, car or even a coffee machine can answer questions about weather, sports scores, stock prices or flight status, and even search for local businesses. The addition of these public domains further enhances the value proposition of the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57150</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1026" w:right="439" w:bottom="1440" w:gutter="0" w:footer="0" w:header="0"/>
        </w:sectPr>
      </w:pPr>
    </w:p>
    <w:bookmarkStart w:id="27" w:name="page28"/>
    <w:bookmarkEnd w:id="27"/>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36130" cy="43929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7136130" cy="4392930"/>
                    </a:xfrm>
                    <a:prstGeom prst="rect">
                      <a:avLst/>
                    </a:prstGeom>
                    <a:noFill/>
                  </pic:spPr>
                </pic:pic>
              </a:graphicData>
            </a:graphic>
          </wp:anchor>
        </w:drawing>
        <w:t>Finally, as the third step, you enter the world of monetization where you can add features that deliver value to the end user, and also generate revenues that we share with the product creators. To summarize with an example, imagine walking up to your coffee machine and asking for a triple shot extra hot latte. While you are waiting for your drink, you can ask for weather and sports scores, and if you desire, you can even order bagels from your favorite nearby bakery.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14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Houndify platform, SoundHound Ai’s Voice AI platform, </w:t>
      </w:r>
      <w:r>
        <w:rPr>
          <w:rFonts w:ascii="Times New Roman" w:cs="Times New Roman" w:eastAsia="Times New Roman" w:hAnsi="Times New Roman"/>
          <w:sz w:val="18"/>
          <w:szCs w:val="18"/>
          <w:color w:val="auto"/>
        </w:rPr>
        <w:t>combines advanced AI with engineering expertise to help brands build conversational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voice assistants. From proprietary components to customizable and scalable solutions, we offer tools to build a highly accurate and responsive voice user interface. The suite of Houndify tools, includes Application Programming Interfaces (“API”) for text and voice queries, support for custom commands, extensive library of content domains, inclusive Software Development Kit platforms, collaboration capabilities, diagnostic tools, and built-in analytics. Houndify provides a web API that takes in text queries or audio and returns actionable JavaScript Object Notation to anyone with an internet connection wanting to add Voice AI to any product or application.</w:t>
      </w:r>
    </w:p>
    <w:p>
      <w:pPr>
        <w:spacing w:after="0" w:line="115"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Automatic Speech Recognition, </w:t>
      </w:r>
      <w:r>
        <w:rPr>
          <w:rFonts w:ascii="Times New Roman" w:cs="Times New Roman" w:eastAsia="Times New Roman" w:hAnsi="Times New Roman"/>
          <w:sz w:val="18"/>
          <w:szCs w:val="18"/>
          <w:color w:val="auto"/>
        </w:rPr>
        <w:t>our highly optimized, tunable, and scalable ASR engine, supports vocabulary sizes containing millions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words. Houndify’s machine learning infrastructure allows us to tune the engine to achieve optimal Computer Processing Unit (“CPU”) performance while delivering high accuracy rates. Houndify’s language and acoustic modelling architecture also uses machine learning to increase word recognition accuracy. Rapid iteration is possible due to our accelerated training pipeline and architecture that improves as data is collected. Highly accurate transcriptions result from advanced acoustic models trained to perform in a variety of scenarios — including in severely noisy environments and when accented language is spoken.</w:t>
      </w:r>
    </w:p>
    <w:p>
      <w:pPr>
        <w:spacing w:after="0" w:line="11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Natural Language Understanding (“NLU”)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w:t>
      </w:r>
      <w:r>
        <w:rPr>
          <w:rFonts w:ascii="Times New Roman" w:cs="Times New Roman" w:eastAsia="Times New Roman" w:hAnsi="Times New Roman"/>
          <w:sz w:val="18"/>
          <w:szCs w:val="18"/>
          <w:color w:val="auto"/>
        </w:rPr>
        <w:t>ur proprietary Speech-to-Meaning technology, tracks speech in real-time and understands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context, even before the user has finished speaking. Instead of the typical two-step process of transcribing speech into text and then passing the text into an NLU model, Houndify can accomplish both of these tasks in one step, delivering faster and more accurate results. Houndify’s ability to process and understand speech the instant a user stops speaking gives voice assistants the ability to respond faster. Understanding speech in real-time without requiring additional processing or waiting for the user to finish speaking creates responsive and natural conversations between people and products. By understanding context, Houndify responds accurately to users by distinguishing between similar words and names. Our NLU can discern the difference between words that sound the same, but have different spellings and meanings. For example, if users want to navigate to 272 Hoch Street in Dayton, Ohio, it won’t look for Hawk Street. Using our proprietary Deep Meaning Understanding technology, a custom voice assistant can handle complex queries with compound criteria including conversational follow up, address multiple questions and filter results simultaneously — accurately and quickly answering users’ most complex questions.</w:t>
      </w: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1026" w:right="439" w:bottom="1440" w:gutter="0" w:footer="0" w:header="0"/>
        </w:sectPr>
      </w:pPr>
    </w:p>
    <w:bookmarkStart w:id="28" w:name="page29"/>
    <w:bookmarkEnd w:id="28"/>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36130" cy="42557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136130" cy="4255770"/>
                    </a:xfrm>
                    <a:prstGeom prst="rect">
                      <a:avLst/>
                    </a:prstGeom>
                    <a:noFill/>
                  </pic:spPr>
                </pic:pic>
              </a:graphicData>
            </a:graphic>
          </wp:anchor>
        </w:drawing>
        <w:t xml:space="preserve">Wake Words </w:t>
      </w:r>
      <w:r>
        <w:rPr>
          <w:rFonts w:ascii="Times New Roman" w:cs="Times New Roman" w:eastAsia="Times New Roman" w:hAnsi="Times New Roman"/>
          <w:sz w:val="18"/>
          <w:szCs w:val="18"/>
          <w:color w:val="auto"/>
        </w:rPr>
        <w:t>are the entry point into branded voice experiences, allowing users to invoke the assistant by literally speaking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 Examples range from “Hey Pandora” in a mobile app to “Hey Peugeot” within a vehicle. Rigorous development and testing enable our wake words to perform in noisy environments and minimize false-positives or false-negatives. We use advanced machine learning algorithms and Deep Neural Networks to provide broad robustness to our high-volume training data, resulting in high accuracy.</w:t>
      </w:r>
    </w:p>
    <w:p>
      <w:pPr>
        <w:spacing w:after="0" w:line="11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Custom Domains, </w:t>
      </w:r>
      <w:r>
        <w:rPr>
          <w:rFonts w:ascii="Times New Roman" w:cs="Times New Roman" w:eastAsia="Times New Roman" w:hAnsi="Times New Roman"/>
          <w:sz w:val="18"/>
          <w:szCs w:val="18"/>
          <w:color w:val="auto"/>
        </w:rPr>
        <w:t>a library of over 100 public domains, is available with a free Houndify account. Houndify public domains give developers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instant access to a broad range of content to fit their unique use cases. This includes multi-category content intended to appeal to broad range of audiences, including, for instance, sports scores, weather, podcasts, travel information, recipes, stock prices, among many others. Companies can enhance product functionality or proprietary operations with Houndify Private Domains, allowing customization and development of more specific content. Customers who subscribe for this service have full access to their private domains securely on the Houndify platform while retaining the ability to iterate and update content. For example, an automotive manufacturer can make helpful updates about the car’s user manual over time. In this way, SoundHound AI becomes a long-term “partner” to its customers, helping companies create the domains that they need in order to improve brand value for their own customers or end users.</w:t>
      </w:r>
    </w:p>
    <w:p>
      <w:pPr>
        <w:spacing w:after="0" w:line="1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Text-to-speech (“TTS”). </w:t>
      </w:r>
      <w:r>
        <w:rPr>
          <w:rFonts w:ascii="Times New Roman" w:cs="Times New Roman" w:eastAsia="Times New Roman" w:hAnsi="Times New Roman"/>
          <w:sz w:val="18"/>
          <w:szCs w:val="18"/>
          <w:color w:val="auto"/>
        </w:rPr>
        <w:t>A high-quality TTS helps companies create a unique voice that differentiates them from the competition. Brands 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fully express their personality by choosing the gender, tone, and personality that will become their vocal identity. Our machine learning algorithms transform recorded voices into large databases of spoken sounds to form entire vocabularies of natural language — adapted to the user’s environment. We can transform any voice to generate a high-quality TTS with a small CPU footprint.</w:t>
      </w:r>
    </w:p>
    <w:p>
      <w:pPr>
        <w:spacing w:after="0" w:line="99"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Edge (Embedded) </w:t>
      </w:r>
      <w:r>
        <w:rPr>
          <w:rFonts w:ascii="Times New Roman" w:cs="Times New Roman" w:eastAsia="Times New Roman" w:hAnsi="Times New Roman"/>
          <w:sz w:val="18"/>
          <w:szCs w:val="18"/>
          <w:color w:val="auto"/>
        </w:rPr>
        <w:t>is a fully-embedded voice solution for brands seeking the convenience of a voice user interface without the privacy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connectivity concerns of the internet. Edge includes full access to custom commands and the ability to instantly update commands during development.</w:t>
      </w:r>
    </w:p>
    <w:p>
      <w:pPr>
        <w:spacing w:after="0" w:line="91"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To harness the capabilities of full cloud connectivity with the reliability of embedded voice technology. </w:t>
      </w:r>
      <w:r>
        <w:rPr>
          <w:rFonts w:ascii="Times New Roman" w:cs="Times New Roman" w:eastAsia="Times New Roman" w:hAnsi="Times New Roman"/>
          <w:sz w:val="18"/>
          <w:szCs w:val="18"/>
          <w:i w:val="1"/>
          <w:iCs w:val="1"/>
          <w:color w:val="auto"/>
        </w:rPr>
        <w:t>Houndify Edge Hybrid</w:t>
      </w:r>
      <w:r>
        <w:rPr>
          <w:rFonts w:ascii="Times New Roman" w:cs="Times New Roman" w:eastAsia="Times New Roman" w:hAnsi="Times New Roman"/>
          <w:sz w:val="18"/>
          <w:szCs w:val="18"/>
          <w:color w:val="auto"/>
        </w:rPr>
        <w:t xml:space="preserve"> solutions are designed to ensure that devices are always-on and responsive to commands. Allows for over-the-air product updates and a broader voice experience with the level of cloud-connectivity that best matches the product and its users.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principal executive offices are located at 5400 Betsy Ross Drive, Santa Clara, CA 95054, and our telephone number is (408) 441-3200.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Our corporate website address is </w:t>
      </w:r>
      <w:r>
        <w:rPr>
          <w:rFonts w:ascii="Times New Roman" w:cs="Times New Roman" w:eastAsia="Times New Roman" w:hAnsi="Times New Roman"/>
          <w:sz w:val="18"/>
          <w:szCs w:val="18"/>
          <w:i w:val="1"/>
          <w:iCs w:val="1"/>
          <w:color w:val="auto"/>
        </w:rPr>
        <w:t>www.soundhound.com</w:t>
      </w:r>
      <w:r>
        <w:rPr>
          <w:rFonts w:ascii="Times New Roman" w:cs="Times New Roman" w:eastAsia="Times New Roman" w:hAnsi="Times New Roman"/>
          <w:sz w:val="18"/>
          <w:szCs w:val="18"/>
          <w:color w:val="auto"/>
        </w:rPr>
        <w:t>. The information contained on or accessible through our website is not a part of this prospectus.</w:t>
      </w: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43" w:right="4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deciding whether to invest in our securities, you should carefully consider the risk factors we describe in any prospectus supplement and in any related free writing prospectus for a specific offering of securities, as well as those incorporated by reference into this prospectus and any prospectus supplement. You should also carefully consider other information contained and incorporated by reference in this prospectus and any applicable prospectus supplement, including our financial statements and the related notes thereto incorporated by reference in this prospectus. The risks and uncertainties described in the applicable prospectus supplement and our other filings with the SEC incorporated by reference herein are not the only ones we face. Additional risks and uncertainties not presently known to us or that we currently consider immaterial may also adversely affect us. If any of the described risks occur, our business, financial condition or results of operations could be materially harmed. In such case, the value of our securities could decline and you may lose all or part of your investment.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Unless otherwise indicated in a prospectus supplement, we intend to use the net proceeds from these sales for general corporate purposes, which may include, without limitation, investing in or acquiring companies that are synergistic with or complementary to our business and working capital. The amounts and timing of these expenditures will depend on numerous factors, including the development of our current business initiatives. We have no specific acquisition contemplated at this time. Pending use of the net proceeds, we intend to invest the net proceeds in short-term, interest-bearing, investment-grade securities or in cash or money market funds.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sell the securities from time to time to or through underwriters or dealers, through agents, or directly to one or more purchasers. A distribution of the securities offered by this prospectus may also be effected through the issuance of derivative securities, including without limitation, warrants, rights to purchase and subscriptions. In addition, the manner in which we may sell some or all of the securities covered by this prospectus includes, without limitation, through:</w:t>
      </w:r>
    </w:p>
    <w:p>
      <w:pPr>
        <w:spacing w:after="0" w:line="180" w:lineRule="exact"/>
        <w:rPr>
          <w:sz w:val="20"/>
          <w:szCs w:val="20"/>
          <w:color w:val="auto"/>
        </w:rPr>
      </w:pPr>
    </w:p>
    <w:p>
      <w:pPr>
        <w:ind w:left="1000" w:right="20" w:hanging="344"/>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block trade in which a broker-dealer will attempt to sell as agent, but may position or resell a portion of the block, as principal, in order to facilitate the transaction;</w:t>
      </w:r>
    </w:p>
    <w:p>
      <w:pPr>
        <w:spacing w:after="0" w:line="161"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 or</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a broker solicits purchasers.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 prospectus supplement or supplements with respect to each series of securities will describe the terms of the offering, including, to the extent applicable:</w:t>
      </w:r>
    </w:p>
    <w:p>
      <w:pPr>
        <w:spacing w:after="0" w:line="162" w:lineRule="exact"/>
        <w:rPr>
          <w:sz w:val="20"/>
          <w:szCs w:val="20"/>
          <w:color w:val="auto"/>
        </w:rPr>
      </w:pPr>
    </w:p>
    <w:p>
      <w:pPr>
        <w:ind w:left="1000" w:hanging="344"/>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offering;</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the underwriters or agents and the amounts of securities underwritten or purchased by each of them, if any;</w:t>
      </w:r>
    </w:p>
    <w:p>
      <w:pPr>
        <w:spacing w:after="0" w:line="225" w:lineRule="exact"/>
        <w:rPr>
          <w:rFonts w:ascii="Times New Roman" w:cs="Times New Roman" w:eastAsia="Times New Roman" w:hAnsi="Times New Roman"/>
          <w:sz w:val="18"/>
          <w:szCs w:val="18"/>
          <w:color w:val="auto"/>
        </w:rPr>
      </w:pPr>
    </w:p>
    <w:p>
      <w:pPr>
        <w:ind w:left="1000" w:right="20" w:hanging="344"/>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price or purchase price of the securities or other consideration therefor, and the proceeds to be received by us from the sale;</w:t>
      </w:r>
    </w:p>
    <w:p>
      <w:pPr>
        <w:spacing w:after="0" w:line="161"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requirements;</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options under which underwriters may purchase additional securities from us;</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or agency fees and other items constituting underwriters’ or agents’ compensation</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offer and sale of the securities described in this prospectus by us, the underwriters or the third parties described above may be effected from time to time in one or more transactions, including privately negotiated transactions, either:</w:t>
      </w:r>
    </w:p>
    <w:p>
      <w:pPr>
        <w:spacing w:after="0" w:line="162" w:lineRule="exact"/>
        <w:rPr>
          <w:sz w:val="20"/>
          <w:szCs w:val="20"/>
          <w:color w:val="auto"/>
        </w:rPr>
      </w:pPr>
    </w:p>
    <w:p>
      <w:pPr>
        <w:ind w:left="1000" w:hanging="344"/>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 “at the market” offering within the meaning of Rule 415(a)(4) of the Securities Act of 1933, as amended, or the Securities Act;</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Only underwriters named in the prospectus supplement will be underwriters of the securities offered by the prospectus supplement.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Underwriters and Agents; Direct Sales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underwriters are used in a sale, they will acquire the offered securities for their own account and may resell the offered securities from time to time in one or more transactions, including negotiated transactions, at a fixed public offering price or at varying prices determined at the time of sale. We may offer the securities to the public through underwriting syndicates represented by managing underwriters or by underwriters without a syndicate.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Unless the prospectus supplement states otherwise, the obligations of the underwriters to purchase the securities will be subject to the conditions set forth in the applicable underwriting agreement. Subject to certain conditions, the underwriters will be obligated to purchase all of the securities offered by the prospectus supplement, other than securities covered by any over-allotment option.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Dealers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sell the offered securities to dealers as principals. The dealer may then resell such securities to the public either at varying prices to be determined by the dealer or at a fixed offering price agreed to with us at the time of resale.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Institutional Purchasers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authorize agents, dealers or underwriters to solicit certain institutional investors to purchase offered securities on a delayed delivery basis pursuant to delayed delivery contracts providing for payment and delivery on a specified future date. The applicable prospectus supplement or other offering materials, as the case may be, will provide the details of any such arrangement, including the offering price and commissions payable on the solicitations.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will enter into such delayed contracts only with institutional purchasers that we approve. These institutions may include commercial and savings banks, insurance companies, pension funds, investment companies and educational and charitable institutions.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Other Relationships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provide agents, underwriters, dealers and remarketing firms with indemnification against certain civil liabilities, including liabilities under the Securities Act, or contribution with respect to payments that the agents or underwriters may make with respect to these liabilities. Agents, underwriters, dealers and remarketing firms, and their affiliates, may engage in transactions with, or perform services for, us in the ordinary course of business. This includes commercial banking and investment banking transactions.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Market-Making; Stabilization and Other Transactions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There is currently no market for any of the offered securities, other than our Class A common stock and redeemable listed warrants, which are quoted on the Nasdaq Global Market. If the offered securities are traded after their initial issuance, they may trade at a discount from their initial offering price, depending upon prevailing interest rates, the market for similar securities and other factors. While it is possible that an underwriter could inform us that it intends to make a market in the offered securities, such underwriter would not be obligated to do so, and any such market-making could be discontinued at any time without notice. Therefore, no assurance can be given as to whether an active trading market will develop for the offered securities. We have no current plans for listing of the debt securities, preferred stock, warrants or subscription rights on any securities exchange or quotation system; any such listing with respect to any particular debt securities, preferred stock, warrants or subscription rights will be described in the applicable prospectus supplement or other offering materials, as the case may be.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short-covering transactions and penalty bids in accordance with Regulation M under the Securities Exchange Act of 1934, as amended, or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underwriters or agents that are qualified market makers on the Nasdaq Global Market may engage in passive market making transactions in our Class A Common Stock or redeemable listed warrants on the Nasdaq Global Market in accordance with Regulation M under the Exchange Act, during the business day prior to the pricing of the offering, before the commencement of offers or sales of our Class A Common Stock or redeemable listed warrants.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Commissions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5% or more of the net proceeds of any offering of securities made under this prospectus will be received by a FINRA member participating in the offering or affiliates or associated persons of such FINRA member, the offering will be conducted in accordance with FINRA Rule 5121.</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 WE MAY OFFER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describes the general terms of our capital stock. The following description is not complete and may not contain all the information you should consider before investing in our capital stock. For a more detailed description of these securities, you should read the applicable provisions of Delaware law and our second amended and restated certificate of incorporation, referred to herein as our charter, and our amended and restated bylaws, referred to herein as our bylaws. When we offer to sell a particular series of these securities, we will describe the specific terms of the series in a supplement to this prospectus. Accordingly, for a description of the terms of any series of securities, you must refer to both the prospectus supplement relating to that series and the description of the securities described in this prospectus. To the extent the information contained in the prospectus supplement differs from this summary description, you should rely on the information in the prospectus supplement.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authorized capital stock consists of 500,000,000 shares, par value $0.0001 per share, consisting of: 499,000,000 shares of common stock, of which, 455,000,000 shares are designated as Class A Common Stock and 44,000,000 shares are designated as Class B common stock (“Class B Common Stock”); and 1,000,000 shares of preferred stock, all of which are designated as Series A Preferred Stock. Our authorized but unissued shares of common stock and preferred stock are available for issuance without further action by our stockholders, unless such action is required by applicable law or the rules of any stock exchange or automated quotation system on which our securities may be listed or traded in the future.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directly or through agents, dealers or underwriters designated from time to time, may offer, issue and sell, together or separately, up to $400,000,000 in the aggregate of:</w:t>
      </w:r>
    </w:p>
    <w:p>
      <w:pPr>
        <w:spacing w:after="0" w:line="162"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Common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contracts;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our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rights to purchase our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depositary shares;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or unsecured debt securities consisting of notes, debentures or other evidences of indebtedness which may be senior debt securities, senior subordinated debt securities or subordinated debt securities, each of which may be convertible into equity securities; or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comprised of, or other combinations of, the foregoing securities.</w:t>
      </w:r>
    </w:p>
    <w:p>
      <w:pPr>
        <w:spacing w:after="0" w:line="225" w:lineRule="exact"/>
        <w:rPr>
          <w:sz w:val="20"/>
          <w:szCs w:val="20"/>
          <w:color w:val="auto"/>
        </w:rPr>
      </w:pPr>
    </w:p>
    <w:p>
      <w:pPr>
        <w:jc w:val="both"/>
        <w:ind w:firstLine="660"/>
        <w:spacing w:after="0" w:line="258" w:lineRule="auto"/>
        <w:rPr>
          <w:sz w:val="20"/>
          <w:szCs w:val="20"/>
          <w:color w:val="auto"/>
        </w:rPr>
      </w:pPr>
      <w:r>
        <w:rPr>
          <w:rFonts w:ascii="Times New Roman" w:cs="Times New Roman" w:eastAsia="Times New Roman" w:hAnsi="Times New Roman"/>
          <w:sz w:val="18"/>
          <w:szCs w:val="18"/>
          <w:color w:val="auto"/>
        </w:rPr>
        <w:t>We may issue the debt securities exchangeable for or convertible into shares of common stock, preferred stock or other securities that may be sold by us pursuant to this prospectus or any combination of the foregoing. The preferred stock may also be exchangeable for and/or convertible into shares of common stock, another series of preferred stock or other securities that may be sold by us pursuant to this prospectus or any combination of the foregoing. When a particular series of securities is offered, a supplement to this prospectus will be delivered with this prospectus, which will set forth the terms of the offering and sale of the offered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June 30, 2023, there were 194,064,576 shares of the Company’s Class A Common Stock issued and outstanding. In addition, there were 6,967,532 shares of Class A Common Stock issuable upon exercise of outstanding warrants, 19,260,877 shares of Class A Common Stock issuable upon exercise of outstanding stock options, and 11,779,718 shares of Class A Common Stock issuable upon vesting of restricted stock units.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charter provides for two classes of common stock, and provides that, subject to the rights of any holders of any series of preferred stock, each holder of Class A Common Stock shall have the right to one (1) vote per share of Class A Common Stock held of record by such holder as of the applicable record date on all matters submitted to a vote at any meeting of stockholders and each holder of Class B Common Stock shall have the right to ten votes per share of Class B Common Stock held of record by such holder as of the applicable record date on all matters properly submitted to stockholders entitled to vote thereon. Our charter provides for mandatory or optional conversion of the Class B Common Stock upon the occurrence of circumstances described in the charter. The holders of outstanding shares of Class A Common Stock and Class B Common Stock are entitled to receive dividends out of assets or funds legally available for the payment of dividends of such times and in such amounts as our board of directors from time to time may determine. Our Class A Common Stock and Class B are not entitled to pre-emptive rights and are not subject to redemption. Upon liquidation, dissolution or winding up of our company, the assets legally available for distribution to stockholders are distributable ratably among the holders of our Class A Common Stock and Class B Common Stock after payment of liquidation preferences, if any, on any outstanding payment of other claims of creditors. The rights, preferences and privileges of holders of Class A Common Stock and Class B Common Stock are subject to and may be adversely affected by the rights of the holders of shares of any series of preferred stock, including any series of preferred stock that we may designate and issue in the future. Our Class A Common Stock are listed on The Nasdaq Global Market under the trading symbol “SOUN”. The transfer agent and registrar for our Class A Common Stock is Continental Stock Transfer &amp; Trust Company. The Transfer Agent’s address is 1 State Street,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10004.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June 30, 2023, we have 1,000,000 shares of Series A Preferred Stock designated and 835,011 shares of Series A Preferred Stock outstanding (see below for a description of these securities). While all of our authorized shares of preferred stock are designated as Series A Preferred Stock, if any shares of Series A Preferred Stock are converted, redeemed or reacquired by us, such shares shall be deemed to be retired and cancelled and will resume the status of authorized but unissued shares of preferred stock and will no longer be designated as Series A Preferred Stock. Pursuant to our charter, our undesignated shares of preferred stock are “blank check” preferred stock which means that our board of directors are authorized, without further action by the stockholders, to establish one or more class or series, and fix the relative rights and preferences of the Company’s undesignated preferred stock.</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any offering of undesignated preferred stock, we will fix the rights, preferences, privileges and restrictions of the preferred stock of each series in the certificate of designation relating to that series. We will file as an exhibit to the registration statement of which this prospectus is a part, or will incorporate by reference from a current report on Form 8-K that we file with the SEC, the form of any certificate of designation that describes the terms of the series of preferred stock we are offering before the issuance of the related series of preferred stock. This description will include any or all of the following, as required:</w:t>
      </w:r>
    </w:p>
    <w:p>
      <w:pPr>
        <w:spacing w:after="0" w:line="183"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we are offering;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period and payment date and method of calculation for dividends;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contractual limitations on our ability to declare, set aside or pay any dividends;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and, if applicable, the conversion price, or how it will be calculated, and the conversion period;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and the exchange period;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rights,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407" w:gutter="0" w:footer="0" w:header="0"/>
        </w:sectPr>
      </w:pPr>
    </w:p>
    <w:bookmarkStart w:id="36" w:name="page37"/>
    <w:bookmarkEnd w:id="36"/>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United States federal income tax considerations applicable to the preferred stock;</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if we liquidate, dissolve or wind up our affairs;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class or series of preferred stock ranking senior to or on a parity with the series of preferred stock as to dividend rights and rights if we liquidate, dissolve or wind up our affairs;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preferred stock.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we issue shares of preferred stock under this prospectus, after receipt of payment therefor, the shares will be fully paid and non-assessable.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Delaware General Corporation Law provides that the holders of preferred stock will have the right to vote separately as a class on any proposal involving fundamental changes in the rights of holders of that preferred stock. This right is in addition to any voting rights provided for in the applicable certificate of designation.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may authorize the issuance of preferred stock with voting or conversion rights that could adversely affect the voting power or other rights of the holders of our common stock. Preferred stock could be issued quickly with terms designed to delay or prevent a change in control of our Company or make removal of management more difficult. Additionally, the issuance of preferred stock could have the effect of decreasing the market price of our common stock.</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Series A Preferred Stock</w:t>
      </w:r>
    </w:p>
    <w:p>
      <w:pPr>
        <w:spacing w:after="0" w:line="160"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7"/>
          <w:szCs w:val="17"/>
          <w:color w:val="auto"/>
        </w:rPr>
        <w:t>On or around January 20, 2023 (the “PIPE Closing Date”), SoundHound AI entered into Preferred Stock Purchase Agreements with certain investors pursuant to which the Company issued and sold to the investors an aggregate of 835,011 shares of its newly designated Series A Convertible Preferred Stock, par value $0.0001 per share (the “Series A Preferred Stock”) for an aggregate issue price of approximately $25 million (the “Transaction”). On January 20, 2023, in connection with the Transaction, the Company filed a Certificate of Designations of Preferences, Rights and Limitations of the Series A Preferred Stock with the Secretary of State of the State of Delaware (the “Certificate of Designations”), designating 1,000,000 shares of Series A Preferred Stock with an original issue price of $30.00 per share, which became effective with the Secretary of State of the State of Delaware upon filing.</w:t>
      </w:r>
    </w:p>
    <w:p>
      <w:pPr>
        <w:spacing w:after="0" w:line="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Series A Preferred Stock is entitled to dividends payable as an increase in the Liquidation Preference (as defined in the Certificate of Designations) for such share at the rate of 14% per annum, accreting semi-annually to Liquidation Preference on January 1 and July 1 of each year, beginning on the first such date after the filing of the Certificate of Designations (the “PIK Dividends”). The Liquidation Preference per share of Preferred Stock is initially equal to the original issue price per share. The Company may also elect to pay any dividend in cash in lieu of accretion to Liquidation Preference if permitted under the agreements and instruments governing its outstanding indebtedness at such time. The Series A Preferred Stock will also be entitled to customary dividends and distributions when and if paid on shares of Common Stock, subject to restrictions under agreements or instruments governing the Company’s indebtedness.</w:t>
      </w:r>
    </w:p>
    <w:p>
      <w:pPr>
        <w:spacing w:after="0" w:line="1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Each share of Series A Preferred Stock is convertible, at the option of the holder thereof, at any time on or after May 2, 2023 into such number of shares of Common Stock equal to the Liquidation Preference per share at the time of conversion divided by $1.00 (the “Conversion Price”) (the “Conversion Ratio”). In addition, each share of Series A Preferred Stock will automatically convert into shares of Common Stock at the Conversion Ratio on or after January 20, 2024 if and when the daily volume-weighted average closing price per share of Common Stock is at least 2.5 times the Conversion Price for each of any 90 trading days during any 120 consecutive trading day period, which 120-trading day period may commence (but may not end) prior to January 20, 2024. While the shares of Series A Preferred Stock issued on the PIPE Closing Date on an as-converted to Common Stock basis represents approximately 15% of the total shares of common stock outstanding prior to the Transaction (including shares of Class B Common Stock), as a result of the PIK Dividends that accumulate over time, the maximum potential issuance of shares of Common Stock upon conversion of Series A Preferred Stock may exceed 20% of the total shares of common stock outstanding (including shares of Class B Common Stock). As a result, to comply with applicable listing rules of Nasdaq, stockholders holding the majority of the voting power of the Company’s outstanding Common Stock approved the issuance of any Common Stock from time to time upon conversion of the Series A Preferred Stock that would equal 20% or more of the total shares of Common Stock outstanding (including shares of Class B Common Stock) or that would result in a change of control (as defined in Nasdaq listing rules). Such stockholders also approved the issuance and sale of shares of Preferred Stock and any future issuances of shares of Common Stock from time to time upon conversion of Preferred Stock to certain of the Company’s directors and officers who participated in the Transaction, in accordance with Nasdaq listing rules. The Company will also promptly file with the Securities and Exchange Commission and mail an information statement in accordance with Rule 14c-2 under the Securities Exchange Act of 1934, as amended, relating to such stockholder approvals. Any conversion of Series A Preferred Stock described above is subject to the lapse of a 20-day period following the mailing of the information statement.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7" w:name="page38"/>
    <w:bookmarkEnd w:id="3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holders of Series A Preferred Stock will not be entitled to vote on any matter presented to the stockholders of the Company prior to conversion of such shares into Common Stock. However, certain matters require the approval of a majority of the then-outstanding shares of Series A Preferred Stock, voting as a separate class, including to (i) amend the Company’s organizational documents in a matter that materially and adversely affects the powers, preferences or rights of the Series A Preferred Stock, (ii) create, issue, or authorize the creation or issuance of, increase the authorized amount of, or obligate itself to issue shares of, any class or series of capital stock of the Company, or any obligation or security convertible into or evidencing a right to purchase, any class or series of capital stock, unless such class or series of capital stock ranks junior to the Series A Preferred Stock; (iii) increase the authorized number of shares of Series A Preferred Stock; (iv) reclassify, alter or amend any class of capital stock that ranks junior or pari passu to the Series A Preferred Stock if such action would render such class to be senior to the Series A Preferred Stock or, with respect to junior capital stock, pari passu with the Series A Preferred Stock; (v) purchase or redeem for cash any shares of capital stock of the Company, subject to certain exceptions; and (vi) incur any secured debt as a result of which the Company’s aggregate principal amount of secured debt outstanding would exceed the greater of $75,000,000 or 20% of the Company’s enterprise value.</w:t>
      </w:r>
    </w:p>
    <w:p>
      <w:pPr>
        <w:spacing w:after="0" w:line="12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Series A Preferred Stock will have preference over the Common Stock and the Class B Common Stock, as well as any additional Junior Stock (as defined in the Certificate of Designations) designated and issued in the future, with respect to distribution of assets or available proceeds, as applicable, in the event of any voluntary or involuntary liquidation, dissolution or winding up of the Company or a merger or consolidation that results in a change in control of the Company or the sale or transfer of all or substantially all assets of the Company (each a “Liquidation Event”). However, the Series A Preferred Stock will rank junior to indebtedness of the Company. Upon a Liquidation Event, the holders of shares of Series A Preferred Stock will be entitled to receive, before any payment is made to holders of any Junior Stock and after payments to satisfy and discharge indebtedness, an amount per share equal to the greater of (i) 2.5 times the Liquidation Preference accumulated at such time (less any prior conversions) or (ii) such amount per share as would have been payable had all shares then-outstanding of Series A Preferred Stock been converted into Common Stock immediately prior to such Liquidation Event.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Contracts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issue purchase contracts, representing contracts obligating holders to purchase from us, and us to sell to the holders, a specific or varying number of Class A Common Stock, preferred stock, warrants, depositary shares, debt securities, or any combination of the above, at a future date or dates. Alternatively, the purchase contracts may obligate us to purchase from holders, and obligate holders to sell to us, a specific or varying number of Class A Common Stock, preferred stock, warrants, depositary shares, debt securities, or any combination of the above. The price of the securities and other property subject to the purchase contracts may be fixed at the time the purchase contracts are issued or may be determined by reference to a specific formula set forth in the purchase contracts. The purchase contracts may be issued separately or as a part of a unit that consists of (a) a purchase contract and (b) one or more of the other securities that may be sold by us pursuant to this prospectus or any combination of the foregoing, which may secure the holders’ obligations to purchase the securities under the purchase contract. The purchase contracts may require us to make periodic payments to the holders or require the holders to make periodic payments to us. These payments may be unsecured or prefunded and may be paid on a current or on a deferred basis. The purchase contracts may require holders to secure their obligations under the contracts in a manner specified in the applicable prospectus supplement.</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file as exhibits to the registration statement of which this prospectus is a part, or will incorporate by reference from a current report on Form 8-K that we file with the SEC, forms of the purchase contracts and purchase contract agreement, if any. The applicable prospectus supplement will describe the terms of any purchase contracts in respect of which this prospectus is being delivered, including, to the extent applicable, the following:</w:t>
      </w:r>
    </w:p>
    <w:p>
      <w:pPr>
        <w:spacing w:after="0" w:line="176" w:lineRule="exact"/>
        <w:rPr>
          <w:sz w:val="20"/>
          <w:szCs w:val="20"/>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to be prepaid or not;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to be settled by delivery, or by reference or linkage to the value, performance or level of the securities subject to purchase under the purchase contract;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acceleration, cancellation, termination or other provisions relating to the settlement of the purchase contracts;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will be issued in fully registered or global form.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our securities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that may be sold by us pursuant to this prospectus or any combination of the foregoing and may be attached to, or separate from, such securities. To the extent warrants that we issue are to be publicly-traded, each series of such warrants will be issued under a separate warrant agreement to be entered into between us and a warrant agent.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file as exhibits to the registration statement of which this prospectus is a part, or will incorporate by reference from a current report on Form 8-K that we file with the SEC, forms of the warrant and warrant agreement, if any. The prospectus supplement relating to any warrants that we may offer will contain the specific terms of the warrants and a description of the material provisions of the applicable warrant agreement, if any. These terms may include the following:</w:t>
      </w:r>
    </w:p>
    <w:p>
      <w:pPr>
        <w:spacing w:after="0" w:line="180"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warrants will be issued;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amount and terms of the securities or other rights for which the warrants are exercisable;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other securities, if any, with which the warrants are to be issued and the number of warrants issued with each other security;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adjustment of the number or amount of securities receivable upon exercise of the warrants or the exercise price of the warrants;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securities or other rights purchasable upon exercise of the warrants may be purchased;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securities or other rights purchasable upon exercise of the warrants will be separately transferable;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U.S. federal income tax considerations applicable to the exercise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the right will expire;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or minimum number of warrants that may be exercised at any time;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warrants, including terms, procedures and limitations relating to the exchange and exercise of the warrants.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Exercise of Warrants. Each warrant will entitle the holder of warrants to purchase the amount of securities or other rights, at the exercise price stated or determinable in the prospectus supplement for the warrants. Warrants may be exercised at any time up to the close of business on the expiration date shown in the applicable prospectus supplement, unless otherwise specified in such prospectus supplement. After the close of business on the expiration date, if applicable, unexercised warrants will become void. Warrants may be exercised in the manner described in the applicable prospectus supplement. When the warrant holder makes the payment and properly completes and signs the warrant certificate at the corporate trust office of the warrant agent, if any, or any other office indicated in the prospectus supplement, we will, as soon as possible, forward the securities or other rights that the warrant holder has purchased. If the warrant holder exercises less than all of the warrants represented by the warrant certificate, we will issue a new warrant certificate for the remaining warrants.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18"/>
          <w:szCs w:val="18"/>
          <w:i w:val="1"/>
          <w:iCs w:val="1"/>
          <w:color w:val="auto"/>
        </w:rPr>
        <w:t>Currently Outstanding Warrants</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of June 30, 2023, there were 3,457,996 public warrants and 3,509,536 warrants that were issued in private placement transactions outstanding, including 208,000 warrants issued in connection with our Business Combination (as hereinafter defined) (the “private warrants”) and 3,301,536 warrants issued in connection with our Senior Secured Term Loan Credit Agreement with ACP Post Oak Credit II LLC, as Administrative Agent and Collateral Agent for the lenders thereto (the “loan warrants”). The terms of our private warrants and the terms of our public warrants are identical. Each whole warrant entitles the registered holder to purchase one share of Class A Common Stock at a price of $11.50 per share, subject to adjustment as discussed below, at any time commencing 30 days after the completion of our business combination with Archimedes Tech SPAC Partners Co. on April 26, 2022 (the “Business Combination”). However, no warrants will be exercisable for cash unless we have an effective and current registration statement covering the shares of Class A Common Stock issuable upon exercise of the warrants and a current prospectus relating to such shares of Class A Common Stock. Notwithstanding the foregoing, if a registration statement covering the shares of Class A Common Stock issuable upon exercise of the public warrants is not effective within 90 days following the consummation of the Business Combination, warrant holders may, until such time as there is an effective registration statement and during any period when we shall have failed to maintain an effective registration statement, exercise the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the Class A Common Stock for the 5 trading days ending on the trading day prior to the date of exercise. The warrants will expire on April 26, 2027, which is the fifth anniversary of our completion of the Business Combination, at 5:00 p.m., New York City time, or earlier upon redemption or liquidation.</w:t>
      </w:r>
    </w:p>
    <w:p>
      <w:pPr>
        <w:spacing w:after="0" w:line="12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9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redemption criteria for our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w:t>
      </w:r>
    </w:p>
    <w:p>
      <w:pPr>
        <w:spacing w:after="0" w:line="10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we call the warrants for redemption as described above, our management will have the option to require all holders that wish to exercise warrants to do so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the Class A Common Stock for the 5 trading days ending on the third trading day prior to the date on which the notice of redemption is sent to the holders of warrants.</w:t>
      </w:r>
    </w:p>
    <w:p>
      <w:pPr>
        <w:spacing w:after="0" w:line="12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warrants were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written consent or vote, of the holders of at least 50% of the then outstanding public warrants, in order to make any change that adversely affects the interests of the registered holders.</w:t>
      </w:r>
    </w:p>
    <w:p>
      <w:pPr>
        <w:spacing w:after="0" w:line="9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exercise price and number of shares of Class A Common Stock issuable on exercise of the warrants may be adjusted in certain circumstances including in the event of a stock dividend, extraordinary dividend or our recapitalization, reorganization, merger or consolidation. However, except as described below, the warrants will not be adjusted for issuances of shares of Class A Common Stock at a price below their respective exercise prices.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0" w:name="page41"/>
    <w:bookmarkEnd w:id="4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 Class A Common Stock and any voting rights until they exercise their warrants and receive shares of Class A Common Stock. After the issuance of shares of Class A Common Stock upon exercise of the warrants, each holder will be entitled to one vote for each share held of record on all matters to be voted on by stockholders.</w:t>
      </w:r>
    </w:p>
    <w:p>
      <w:pPr>
        <w:spacing w:after="0" w:line="12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Warrant holders may elect to be subject to a restriction on the exercise of their warrants such that an electing warrant holder would not be able to exercise their warrants to the extent that, after giving effect to such exercise, such holder would beneficially own in excess of 9.8% of the shares of Class A Common Stock outstanding.</w:t>
      </w:r>
    </w:p>
    <w:p>
      <w:pPr>
        <w:spacing w:after="0" w:line="9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fractional shares will be issued upon exercise of the warrants. If, upon exercise of the warrants, a holder would be entitled to receive a fractional interest in a share, we will, upon exercise, round up to the nearest whole number the number of shares of Class A Common Stock to be issued to the warrant holder.</w:t>
      </w:r>
    </w:p>
    <w:p>
      <w:pPr>
        <w:spacing w:after="0" w:line="1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spacing w:after="0" w:line="1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public warrants are listed on The Nasdaq Global Market under the trading symbol “SOUNW”. The warrant agent is Continental Stock Transfer &amp; Trust Company.</w:t>
      </w:r>
    </w:p>
    <w:p>
      <w:pPr>
        <w:spacing w:after="0" w:line="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loan warrants have a per share exercise price of $2.59 and may be exercised, including on a cashless basis, by the holder at any time prior to the 10-year anniversary of the issue date. The loan warrants will be automatically cashless exercised immediately prior to a change in control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Subscription Rights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rights to purchase our securities.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In connection with a rights offering to holders of our capital stock a prospectus supplement will be distributed to such holders on the record date for receiving rights in the rights offering set by us.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file as exhibits to the registration statement of which this prospectus is a part, or will incorporate by reference from a current report on Form 8-K that we file with the SEC, forms of the subscription rights, standby underwriting agreement or other agreements, if any. The prospectus supplement relating to any rights that we offer will include specific terms relating to the offering, including, among other matters:</w:t>
      </w:r>
    </w:p>
    <w:p>
      <w:pPr>
        <w:spacing w:after="0" w:line="176"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determining the security holders entitled to the rights distribution;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rights issued and the aggregate amount of securities purchasable upon exercise of the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to completion of the rights offering;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will commence and the date on which the rights will expire;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federal income tax considerations.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right would entitle the holder of the rights to purchase the principal amount of securities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Holders may exercise rights as described in the applicable prospectus supplement. Upon receipt of payment and the rights certificate properly completed and duly executed at the corporate trust office of the rights agent, if any, or any other office indicated in the prospectus supplement, we will, as soon as practicable, forward the securities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underwriting arrangements, as described in the applicable prospectus supplement.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Depositary Shares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We may offer fractional shares of preferred stock, rather than full shares of preferred stock. If we decide to offer fractional shares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we will issue receipts for depositary shares. Each depositary share will represent a fraction of a share of a particular series of our preferred stock, and the applicable prospectus supplement will indicate that fraction. The shares of preferred stock represented by depositary shares will be deposited under a deposit agreement between us and a depositary that is a bank or trust company that meets certain requirements and is selected by us. The depositary will be specified in the applicable prospectus supplement. Each owner of a depositary share will be entitled to all of the rights and preferences of the preferred stock represented by the depositary share. The depositary shares will be evidenced by depositary receipts issued pursuant to the deposit agreement. Depositary receipts will be distributed to those persons purchasing the fractional shares of our preferred stock in accordance with the terms of the offering. We will file as exhibits to the registration statement of which this prospectus is a part, or will incorporate by reference from a current report on Form 8-K that we file with the SEC, forms of the deposit agreement, form of certificate of designation of underlying preferred stock, form of depositary receipts and any other related agreements.</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Dividends and Other Distributions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depositary will distribute all cash dividends or other cash distributions received by it in respect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to the record holders of depositary shares relating to such preferred shares in proportion to the numbers of depositary shares held on the relevant record date.</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of a distribution other than in cash, the depositary will distribute securities or property received by it to the record holders of depositary shares in proportion to the numbers of depositary shares held on the relevant record date, unless the depositary determines that it is not feasible to make such distribution. In that case, the depositary may make the distribution by such method as it deems equitable and practicable. One such possible method is for the depositary to sell the securities or property and then distribute the net proceeds from the sale as provided in the case of a cash distribution.</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Redemption of Depositary Shares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Whenever we redeem the preferred stock, the depositary will redeem a number of depositary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representing the same number of shares of preferred stock so redeemed. If fewer than all of the depositary shares are to be redeemed, the depositary shares to be redeemed will be selected by lot, pro rata or by any other equitable method as the depositary may determine.</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Voting of Underlying Shares</w:t>
      </w:r>
      <w:r>
        <w:rPr>
          <w:rFonts w:ascii="Times New Roman" w:cs="Times New Roman" w:eastAsia="Times New Roman" w:hAnsi="Times New Roman"/>
          <w:sz w:val="18"/>
          <w:szCs w:val="18"/>
          <w:color w:val="auto"/>
        </w:rPr>
        <w:t>. Upon receipt of notice of any meeting at which the holders of our preferred stock of any series are entitled to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depositary will mail the information contained in the notice of the meeting to the record holders of the depositary shares relating to that series of preferred stock. Each record holder of the depositary shares on the record date will be entitled to instruct the depositary as to the exercise of the voting rights represented by the number of shares of preferred stock underlying the holder’s depositary shares. The depositary will endeavor, to the extent it is practical to do so, to vote the number of whole shares of preferred stock underlying such depositary shares in accordance with such instructions. We will agree to take all action that the depositary may deem reasonably necessary in order to enable the depositary to do so. To the extent the depositary does not receive specific instructions from the holders of depositary shares relating to such preferred shares, it will abstain from voting such shares of preferred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Withdrawal of Shares</w:t>
      </w:r>
      <w:r>
        <w:rPr>
          <w:rFonts w:ascii="Times New Roman" w:cs="Times New Roman" w:eastAsia="Times New Roman" w:hAnsi="Times New Roman"/>
          <w:sz w:val="18"/>
          <w:szCs w:val="18"/>
          <w:color w:val="auto"/>
        </w:rPr>
        <w:t>. Upon surrender of depositary receipts representing any number of whole shares at the depositary’s office, unless the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depositary shares previously have been called for redemption, the holder of the depositary shares evidenced by the depositary receipts will be entitled to delivery of the number of whole shares of the related series of preferred stock and all money and other property, if any, underlying such depositary shares. However, once such an exchange is made, the preferred stock cannot thereafter be re-deposited in exchange for depositary shares. Holders of depositary shares will be entitled to receive whole shares of the related series of preferred stock on the basis set forth in the applicable prospectus supplement. If the depositary receipts delivered by the holder evidence a number of depositary shares representing more than the number of whole shares of preferred stock of the related series to be withdrawn, the depositary will deliver to the holder at the same time a new depositary receipt evidencing the excess number of depositary shares.</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Amendment and Termination of Depositary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form of depositary receipt evidencing the depositary shares and any provision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depositary agreement may at any time be amended by agreement between us and the depositary. We may, with the consent of the depositary, amend the depositary agreement from time to time in any manner that we desire. However, if the amendment would materially and adversely alter the rights of the existing holders of depositary shares, the amendment would need to be approved by the holders of at least a majority of the depositary shares then outstanding.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depositary agreement may be terminated by us or the depositary if:</w:t>
      </w:r>
    </w:p>
    <w:p>
      <w:pPr>
        <w:spacing w:after="0" w:line="225"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depositary shares have been redeemed; or</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final distribution in respect of the shares of preferred stock of the applicable series in connection with our liquidation, dissolution or winding up and such distribution has been made to the holders of depositary receipts.</w:t>
      </w:r>
    </w:p>
    <w:p>
      <w:pPr>
        <w:spacing w:after="0" w:line="16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Resignation and Removal of Depositary. </w:t>
      </w:r>
      <w:r>
        <w:rPr>
          <w:rFonts w:ascii="Times New Roman" w:cs="Times New Roman" w:eastAsia="Times New Roman" w:hAnsi="Times New Roman"/>
          <w:sz w:val="18"/>
          <w:szCs w:val="18"/>
          <w:color w:val="auto"/>
        </w:rPr>
        <w:t>The depositary may resign at any time by delivering to us notice of its election to do so. We may remove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depositary at any time. Any resignation or removal will take effect upon the appointment of a successor depositary and its acceptance of appointment.</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Charges of Depositary. </w:t>
      </w:r>
      <w:r>
        <w:rPr>
          <w:rFonts w:ascii="Times New Roman" w:cs="Times New Roman" w:eastAsia="Times New Roman" w:hAnsi="Times New Roman"/>
          <w:sz w:val="18"/>
          <w:szCs w:val="18"/>
          <w:color w:val="auto"/>
        </w:rPr>
        <w:t>We will pay all transfer and other taxes and governmental charges arising solely from the existence of any depositary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We will pay all charges of each depositary in connection with the initial deposit of the preferred shares of any series, the initial issuance of the depositary shares, any redemption of such preferred shares and any withdrawals of such preferred shares by holders of depositary shares. Holders of depositary shares will be required to pay any other transfer taxes.</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Notices. </w:t>
      </w:r>
      <w:r>
        <w:rPr>
          <w:rFonts w:ascii="Times New Roman" w:cs="Times New Roman" w:eastAsia="Times New Roman" w:hAnsi="Times New Roman"/>
          <w:sz w:val="18"/>
          <w:szCs w:val="18"/>
          <w:color w:val="auto"/>
        </w:rPr>
        <w:t>Each depositary will forward to the holders of the applicable depositary shares all notices, reports and communications from us which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delivered to such depositary and which we are required to furnish the holders of the preferred stock represented by such depositary shares.</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Miscellaneous</w:t>
      </w:r>
      <w:r>
        <w:rPr>
          <w:rFonts w:ascii="Times New Roman" w:cs="Times New Roman" w:eastAsia="Times New Roman" w:hAnsi="Times New Roman"/>
          <w:sz w:val="18"/>
          <w:szCs w:val="18"/>
          <w:color w:val="auto"/>
        </w:rPr>
        <w:t>. The depositary agreement may contain provisions that limit our liability and the liability of the depositary to the 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depositary shares. Both the depositary and we are also entitled to an indemnity from the holders of the depositary shares prior to bringing, or defending against, any legal proceeding. We or any depositary may rely upon written advice of counsel or accountants, or information provided by persons presenting preferred shares for deposit, holders of depositary shares or other persons believed by us to be competent and on documents believed by us or them to be genuine.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used in this prospectus, the term “debt securities” means the debentures, notes, bonds and other evidences of indebtedness that we may issue from time to time. The debt securities will either be senior debt securities, senior subordinated debt or subordinated debt securities. We may also issue convertible debt securities. Debt securities may be issued under an indenture (which we refer to herein as an Indenture), which are contracts entered into between us and a trustee to be named therein. The Indenture has been filed as an exhibit to the registration statement of which this prospectus forms a part. We may issue debt securities and incur additional indebtedness other than through the offering of debt securities pursuant to this prospectus. It is likely that convertible debt securities will not be issued under an Indenture.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3" w:name="page44"/>
    <w:bookmarkEnd w:id="4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debt securities may be fully and unconditionally guaranteed on a secured or unsecured senior or subordinated basis by one or more guarantors, if any. The obligations of any guarantor under its guarantee will be limited as necessary to prevent that guarantee from constituting a fraudulent conveyance under applicable law. In the event that any series of debt securities will be subordinated to other indebtedness that we have outstanding or may incur, the terms of the subordination will be set forth in the prospectus supplement relating to the subordinated debt securities.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in each case with the same or various maturities, at par or at a discount. Unless indicated in a prospectus supplement, we may issue additional debt securities of a particular series without the consent of the holders of the debt securities of such series outstanding at the time of the issuance. Any such additional debt securities, together with all other outstanding debt securities of that series, will constitute a single series of debt securities under the applicable Indenture and will be equal in ranking.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Should an Indenture relate to unsecured indebtedness, in the event of a bankruptcy or other liquidation event involving a distribution of assets to satisfy our outstanding indebtedness or an event of default under a loan agreement relating to secured indebtedness of our company or its subsidiaries, the holders of such secured indebtedness, if any, would be entitled to receive payment of principal and interest prior to payments on the unsecured indebtedness issued under an Indenture.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prospectus supplement will describe the terms relating to the specific series of debt securities. These terms will include some or all of the following:</w:t>
      </w:r>
    </w:p>
    <w:p>
      <w:pPr>
        <w:spacing w:after="0" w:line="162"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debt securities and whether the debt securities are senior or subordinated;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debt securities of such series;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principal amount at which the debt securities of any series will be issued;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issue additional debt securities of the same series;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for the debt securities and the denominations of the debt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of the series of debt securities being offered;</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 of the debt securities and the date or dates upon which the debt securities are payable and the rate or rates at which the debt securities of the series shall bear interest, if any, which may be fixed or variable, or the method by which such rate shall be determined;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for calculating interest;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any interest will accrue or the method by which such date or dates will be determined;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any deferral period, including the period during which interest payment periods may be extended;</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of (and premium, if any) or interest on the debt securities may be determined with reference to any index, formula or other method, such as one or more currencies, commodities, equity indices or other indices, and the manner of determining the amount of such payments;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ind w:left="324" w:right="20" w:hanging="324"/>
        <w:spacing w:after="0" w:line="282"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we will pay interest on the debt securities and the regular record date for determining who is entitled to the interest payable on any interest payment date;</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premium, if any) and interest on the debt securities will be payable, where any securities may be surrendered for registration of transfer, exchange or conversion, as applicable, and notices and demands may be delivered to or upon us pursuant to the applicable Indenture;</w:t>
      </w:r>
    </w:p>
    <w:p>
      <w:pPr>
        <w:spacing w:after="0" w:line="17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of amortization of the debt securities;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for the attachment to the debt securities of warrants, options or other rights to purchase or sell our securities;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will be secured by any collateral and, if so, a general description of the collateral and the terms and provisions of such collateral security, pledge or other agreements;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possess the option to do so, the periods within which and the prices at which we may redeem the debt securities, in whole or in part, pursuant to optional redemption provisions, and the other terms and conditions of any such provisions;</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1"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or discretion, if any, to redeem, repay or purchase debt securities by making periodic payments to a sinking fund or through an analogous provision or at the option of holders of the debt securities, and the period or periods within which and the price or prices at which we will redeem, repay or purchase the debt securities, in whole or in part, pursuant to such obligation, and the other terms and conditions of such obligation;</w:t>
      </w:r>
    </w:p>
    <w:p>
      <w:pPr>
        <w:spacing w:after="0" w:line="179"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regarding the option or mandatory conversion or exchange of debt securities;</w:t>
      </w:r>
    </w:p>
    <w:p>
      <w:pPr>
        <w:spacing w:after="0" w:line="22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any debt securities of the series may be redeemed, in whole or in part at our option and, if other than by a board resolution, the manner in which any election by us to redeem the debt securities shall be evidenced;</w:t>
      </w:r>
    </w:p>
    <w:p>
      <w:pPr>
        <w:spacing w:after="0" w:line="17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 or condition on the transferability of the debt securities of a particular series;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or methods of determining the portion, of the principal amount of the debt securities which we must pay upon the acceleration of the maturity of the debt securities in connection with any event of default;</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debt securities will be denominated and in which principal, any premium and any interest will or may be payable or a description of any units based on or relating to a currency or currencies in which the debt securities will be denominated;</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if any, granting special rights to holders of the debt securities upon the occurrence of specified events;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deletions from, modifications of or additions to the events of default or our covenants with respect to the applicable series of debt securities, and whether or not such events of default or covenants are consistent with those contained in the applicable Indenture;</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 on our ability to incur debt, redeem stock, sell our assets or other restrictions;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if any, of the terms of the applicable Indenture relating to defeasance and covenant defeasance (which terms are described below) to the debt securities;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 subordination provisions will apply to the debt securities;</w:t>
      </w:r>
    </w:p>
    <w:p>
      <w:pPr>
        <w:spacing w:after="0" w:line="200" w:lineRule="exact"/>
        <w:rPr>
          <w:sz w:val="20"/>
          <w:szCs w:val="20"/>
          <w:color w:val="auto"/>
        </w:rPr>
      </w:pPr>
    </w:p>
    <w:p>
      <w:pPr>
        <w:spacing w:after="0" w:line="26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31" w:right="339" w:bottom="1440" w:gutter="0" w:footer="0" w:header="0"/>
        </w:sectPr>
      </w:pPr>
    </w:p>
    <w:bookmarkStart w:id="45" w:name="page46"/>
    <w:bookmarkEnd w:id="45"/>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upon which the holders may convert or exchange the debt securities into or for our securities or property;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issuing the debt securities in whole or in part in global form;</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right of the trustee or the requisite holders of debt securities to declare the principal amount thereof due and payable because of an event of default;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for global or certificated debt securities, if any;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federal income tax consequences applicable to the debt securities, including any debt securities denominated and made payable, as described in the prospectus supplements, in foreign currencies, or units based on or related to foreign currencies;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we may have to satisfy, discharge and defease our obligations under the debt securities, or terminate or eliminate restrictive covenants or events of default in the Indentures, by depositing money or U.S. government obligations with the trustee of the Indentures;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trustees, depositories, authenticating or paying agents, transfer agents or registrars or other agents with respect to the debt securities;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whom any interest on any debt security shall be payable, if other than the person in whose name the security is registered, on the record date for such interest, the extent to which, or the manner in which, any interest payable on a temporary global debt security will be paid;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of or any premium or interest on any debt securities is to be payable in one or more currencies or currency units other than as stated, the currency, currencies or currency units in which it shall be paid and the periods within and terms and conditions upon which such election is to be made and the amounts payable (or the manner in which such amount shall be determined);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of any debt securities which shall be payable upon declaration of acceleration of the maturity of the debt securities pursuant to the applicable Indenture;</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amount payable at the stated maturity of any debt security of the series will not be determinable as of any one or more dates prior to the stated maturity, the amount which shall be deemed to be the principal amount of such debt securities as of any such date for any purpose,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 and</w:t>
      </w:r>
    </w:p>
    <w:p>
      <w:pPr>
        <w:spacing w:after="0" w:line="183"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of the debt securities, including any modifications to the events of default under the debt securities and any other terms which may be required by or advisable under applicable laws or regulations.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we do not anticipate the debt securities will be listed on any securities exchange. Holders of the debt securities may present registered debt securities for exchange or transfer in the manner described in the applicable prospectus supplement. Except as limited by the applicable Indenture, we will provide these services without charge, other than any tax or other governmental charge payable in connection with the exchange or transfer.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Debt securities may bear interest at a fixed rate or a variable rate as specified in the prospectus supplement. In addition, if specified in the prospectus supplement, we may sell debt securities bearing no interest or interest at a rate that at the time of issuance is below the prevailing market rate, or at a discount below their stated principal amount. We will describe in the applicable prospectus supplement any special federal income tax considerations applicable to these discounted debt securities.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6" w:name="page47"/>
    <w:bookmarkEnd w:id="4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issue debt securities with the principal amount payable on any principal payment date, or the amount of interest payable on any interest payment date, to be determined by referring to one or more currency exchange rates, commodity prices, equity indices or other factors. Holders of such debt securities may receive a principal amount on any principal payment date, or interest payments on any interest payment date, that are greater or less than the amount of principal or interest otherwise payable on such dates, depending upon the value on such dates of applicable currency, commodity, equity index or other factors. The applicable prospectus supplement will contain information as to how we will determine the amount of principal or interest payable on any date, as well as the currencies, commodities, equity indices or other factors to which the amount payable on that date relates and certain additional tax considerations.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issue units consisting of any combination of the other types of securities offered under this prospectus in one or more series. We may evidence each series of units by unit certificates that we may issue under a separate agreement. We may enter into unit agreements with a unit agent. Each unit agent, if any, may be a bank or trust company that we select. We will indicate the name and address of the unit agent, if any, in the applicable prospectus supplement relating to a particular series of units. Specific unit agreements, if any, will contain additional important terms and provisions. We will file as an exhibit to the registration statement of which this prospectus is a part, or will incorporate by reference from a current report that we file with the SEC, the form of unit and the form of each unit agreement, if any, relating to units offered under this prospectus.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we offer any units, certain terms of that series of units will be described in the applicable prospectus supplement, including, without limitation, the following, as applicable</w:t>
      </w:r>
    </w:p>
    <w:p>
      <w:pPr>
        <w:spacing w:after="0" w:line="162"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units;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description of the separate constituent securities comprising the units;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units will be issued;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constituent securities comprising the units will be separately transferable;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United States federal income tax considerations applicable to the units;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units and their constituent securities.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FORMS OF SECURITIES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Each security may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Registered Global Securities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issue the securities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Payments to holders with respect to securities represented by a registered global security registered in the name of a depositary or its nominee will be made to the depositary or its nominee, as the case may be, as the registered owner of the registered global security. None of the Company, the trustees, the warrant agents, the unit agents or any other agent of the Company, agent of the trustees, the warrant agents or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any of the securities represented by a registered global security, upon receipt of any payment of principal, premium, interest or other payment or distribution to holders of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or registered in “street name,” and will be the responsibility of those participants.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validity of the securities offered by this prospectus will be passed upon for us by Ellenoff Grossman &amp; Schole LLP, New York, New York. If legal matters in connection with offerings made by this prospectus are passed on by counsel for the underwriters, dealers or agents, if any, that counsel will be named in the applicable prospectus supplement.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financial statements of SoundHound, Inc. as of and for the years ended December 31, 2022 and 2021, included in this registration statement, of which this prospectus forms a part, have been audited by Armanino LLP, independent registered public accounting firm, as set forth in their report appearing elsewhere herein, and are included in reliance upon such report given on the authority of such firm as experts in auditing and accounting in giving said report.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file annual, quarter and periodic reports, proxy statements and other information with the SEC using the its EDGAR system. The SEC maintains a web site that contains reports, proxy and information statements and other information regarding registrants that file electronically with the SEC. The address of such site is http//www.sec.gov.</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“incorporating by reference” in this prospectus certain documents we file with the SEC, which means that we can disclose important information to you by referring you to those documents. The information in the documents incorporated by reference is considered to be part of this prospectus. Statements contained in documents that we file with the SEC and that are incorporated by reference in this prospectus will automatically update and supersede information contained in this prospectus, including information in previously filed documents or reports that have been incorporated by reference in this prospectus, to the extent the new information differs from or is inconsistent with the old information. We have filed or may file the following documents with the SEC and they are incorporated herein by reference as of their respective dates of filing.</w:t>
      </w:r>
    </w:p>
    <w:p>
      <w:pPr>
        <w:spacing w:after="0" w:line="187" w:lineRule="exact"/>
        <w:rPr>
          <w:sz w:val="20"/>
          <w:szCs w:val="20"/>
          <w:color w:val="auto"/>
        </w:rPr>
      </w:pPr>
    </w:p>
    <w:p>
      <w:pPr>
        <w:ind w:left="840" w:hanging="184"/>
        <w:spacing w:after="0"/>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71">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2022, filed with the SEC on March 28, 2023;</w:t>
      </w:r>
    </w:p>
    <w:p>
      <w:pPr>
        <w:spacing w:after="0" w:line="22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72">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2023, filed with the SEC on May 12, 2023;</w:t>
      </w:r>
    </w:p>
    <w:p>
      <w:pPr>
        <w:spacing w:after="0" w:line="22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73">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May 30, 2023; and</w:t>
      </w:r>
    </w:p>
    <w:p>
      <w:pPr>
        <w:spacing w:after="0" w:line="22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74">
        <w:r>
          <w:rPr>
            <w:rFonts w:ascii="Times New Roman" w:cs="Times New Roman" w:eastAsia="Times New Roman" w:hAnsi="Times New Roman"/>
            <w:sz w:val="18"/>
            <w:szCs w:val="18"/>
            <w:u w:val="single" w:color="auto"/>
            <w:color w:val="0000EE"/>
          </w:rPr>
          <w:t>January 11, 2023</w:t>
        </w:r>
      </w:hyperlink>
      <w:r>
        <w:rPr>
          <w:rFonts w:ascii="Times New Roman" w:cs="Times New Roman" w:eastAsia="Times New Roman" w:hAnsi="Times New Roman"/>
          <w:sz w:val="18"/>
          <w:szCs w:val="18"/>
          <w:color w:val="auto"/>
        </w:rPr>
        <w:t xml:space="preserve">, </w:t>
      </w:r>
      <w:hyperlink r:id="rId75">
        <w:r>
          <w:rPr>
            <w:rFonts w:ascii="Times New Roman" w:cs="Times New Roman" w:eastAsia="Times New Roman" w:hAnsi="Times New Roman"/>
            <w:sz w:val="18"/>
            <w:szCs w:val="18"/>
            <w:u w:val="single" w:color="auto"/>
            <w:color w:val="0000EE"/>
          </w:rPr>
          <w:t>January 24, 2023</w:t>
        </w:r>
      </w:hyperlink>
      <w:r>
        <w:rPr>
          <w:rFonts w:ascii="Times New Roman" w:cs="Times New Roman" w:eastAsia="Times New Roman" w:hAnsi="Times New Roman"/>
          <w:sz w:val="18"/>
          <w:szCs w:val="18"/>
          <w:color w:val="auto"/>
        </w:rPr>
        <w:t xml:space="preserve">, </w:t>
      </w:r>
      <w:hyperlink r:id="rId76">
        <w:r>
          <w:rPr>
            <w:rFonts w:ascii="Times New Roman" w:cs="Times New Roman" w:eastAsia="Times New Roman" w:hAnsi="Times New Roman"/>
            <w:sz w:val="18"/>
            <w:szCs w:val="18"/>
            <w:u w:val="single" w:color="auto"/>
            <w:color w:val="0000EE"/>
          </w:rPr>
          <w:t xml:space="preserve">April 17, 2023 </w:t>
        </w:r>
      </w:hyperlink>
      <w:hyperlink r:id="rId77">
        <w:r>
          <w:rPr>
            <w:rFonts w:ascii="Times New Roman" w:cs="Times New Roman" w:eastAsia="Times New Roman" w:hAnsi="Times New Roman"/>
            <w:sz w:val="18"/>
            <w:szCs w:val="18"/>
            <w:u w:val="single" w:color="auto"/>
            <w:color w:val="auto"/>
          </w:rPr>
          <w:t xml:space="preserve">May </w:t>
        </w:r>
        <w:r>
          <w:rPr>
            <w:rFonts w:ascii="Times New Roman" w:cs="Times New Roman" w:eastAsia="Times New Roman" w:hAnsi="Times New Roman"/>
            <w:sz w:val="18"/>
            <w:szCs w:val="18"/>
            <w:u w:val="single" w:color="auto"/>
            <w:color w:val="0000EE"/>
          </w:rPr>
          <w:t>5, 2023</w:t>
        </w:r>
      </w:hyperlink>
      <w:r>
        <w:rPr>
          <w:rFonts w:ascii="Times New Roman" w:cs="Times New Roman" w:eastAsia="Times New Roman" w:hAnsi="Times New Roman"/>
          <w:sz w:val="18"/>
          <w:szCs w:val="18"/>
          <w:color w:val="auto"/>
        </w:rPr>
        <w:t xml:space="preserve">, and </w:t>
      </w:r>
      <w:hyperlink r:id="rId78">
        <w:r>
          <w:rPr>
            <w:rFonts w:ascii="Times New Roman" w:cs="Times New Roman" w:eastAsia="Times New Roman" w:hAnsi="Times New Roman"/>
            <w:sz w:val="18"/>
            <w:szCs w:val="18"/>
            <w:u w:val="single" w:color="auto"/>
            <w:color w:val="0000EE"/>
          </w:rPr>
          <w:t>July 5, 2023</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documents that we filed with the SEC pursuant to Sections 13(a), 13(c), 14, and 15(d) of the Exchange Act subsequent to the date of this registration statement and prior to the filing of a post-effective amendment to this registration statement that indicates that all securities offered under this prospectus have been sold, or that deregisters all securities then remaining unsold, will be deemed to be incorporated in this registration statement by reference and to be a part hereof from the date of filing of such documents.</w:t>
      </w:r>
    </w:p>
    <w:p>
      <w:pPr>
        <w:spacing w:after="0" w:line="180" w:lineRule="exact"/>
        <w:rPr>
          <w:rFonts w:ascii="Times New Roman" w:cs="Times New Roman" w:eastAsia="Times New Roman" w:hAnsi="Times New Roman"/>
          <w:sz w:val="18"/>
          <w:szCs w:val="18"/>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 this prospectus shall be deemed modified, superseded or replaced for purposes of this prospectus to the extent that a statement contained in this prospectus, or in any subsequently filed document that also is deemed to be incorporated by reference in this prospectus, modifies, supersedes or replaces such statement. Any statement so modified, superseded or replaced shall not be deemed, except as so modified, superseded or replaced, to constitute a part of this prospectus. None of the information that we disclose under Items 2.02 or 7.01 of any Current Report on Form 8-K or any corresponding information, either furnished under Item 9.01 or included as an exhibit therein, that we may from time to time furnish to the SEC will be incorporated by reference into, or otherwise included in, this prospectus, except as otherwise expressly set forth in the relevant document. Subject to the foregoing, all information appearing in this prospectus is qualified in its entirety by the information appearing in the documents incorporated by reference.</w:t>
      </w:r>
    </w:p>
    <w:p>
      <w:pPr>
        <w:spacing w:after="0" w:line="192"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You may request, orally or in writing, a copy of these documents, which will be provided to you at no cost (other than exhibits, unless such exhibits are specifically incorporate by reference), by contacting General Counsel, c/o SoundHound AI, Inc., at 5400 Betsy Ross Drive, Santa Clara, CA 95054. Our telephone number is (408) 441-3200. Information about us is also available at our website at </w:t>
      </w:r>
      <w:r>
        <w:rPr>
          <w:rFonts w:ascii="Times New Roman" w:cs="Times New Roman" w:eastAsia="Times New Roman" w:hAnsi="Times New Roman"/>
          <w:sz w:val="18"/>
          <w:szCs w:val="18"/>
          <w:i w:val="1"/>
          <w:iCs w:val="1"/>
          <w:color w:val="auto"/>
        </w:rPr>
        <w:t>www.soundhound.com</w:t>
      </w:r>
      <w:r>
        <w:rPr>
          <w:rFonts w:ascii="Times New Roman" w:cs="Times New Roman" w:eastAsia="Times New Roman" w:hAnsi="Times New Roman"/>
          <w:sz w:val="18"/>
          <w:szCs w:val="18"/>
          <w:color w:val="auto"/>
        </w:rPr>
        <w:t>. However, the information in our website is not a part of this prospectus and is not incorporated by reference.</w:t>
      </w:r>
    </w:p>
    <w:p>
      <w:pPr>
        <w:spacing w:after="0" w:line="39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0" w:name="page51"/>
    <w:bookmarkEnd w:id="50"/>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$150,000,000 of Shares of Class A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334"/>
        </w:trPr>
        <w:tc>
          <w:tcPr>
            <w:tcW w:w="3860" w:type="dxa"/>
            <w:vAlign w:val="bottom"/>
          </w:tcPr>
          <w:p>
            <w:pPr>
              <w:ind w:left="2300"/>
              <w:spacing w:after="0"/>
              <w:rPr>
                <w:sz w:val="20"/>
                <w:szCs w:val="20"/>
                <w:color w:val="auto"/>
              </w:rPr>
            </w:pPr>
            <w:r>
              <w:rPr>
                <w:rFonts w:ascii="Times New Roman" w:cs="Times New Roman" w:eastAsia="Times New Roman" w:hAnsi="Times New Roman"/>
                <w:sz w:val="25"/>
                <w:szCs w:val="25"/>
                <w:b w:val="1"/>
                <w:bCs w:val="1"/>
                <w:color w:val="auto"/>
              </w:rPr>
              <w:t>Citigroup</w:t>
            </w:r>
          </w:p>
        </w:tc>
        <w:tc>
          <w:tcPr>
            <w:tcW w:w="3580" w:type="dxa"/>
            <w:vAlign w:val="bottom"/>
          </w:tcPr>
          <w:p>
            <w:pPr>
              <w:spacing w:after="0"/>
              <w:rPr>
                <w:sz w:val="24"/>
                <w:szCs w:val="24"/>
                <w:color w:val="auto"/>
              </w:rPr>
            </w:pPr>
          </w:p>
        </w:tc>
        <w:tc>
          <w:tcPr>
            <w:tcW w:w="3800" w:type="dxa"/>
            <w:vAlign w:val="bottom"/>
          </w:tcPr>
          <w:p>
            <w:pPr>
              <w:ind w:left="520"/>
              <w:spacing w:after="0"/>
              <w:rPr>
                <w:sz w:val="20"/>
                <w:szCs w:val="20"/>
                <w:color w:val="auto"/>
              </w:rPr>
            </w:pPr>
            <w:r>
              <w:rPr>
                <w:rFonts w:ascii="Times New Roman" w:cs="Times New Roman" w:eastAsia="Times New Roman" w:hAnsi="Times New Roman"/>
                <w:sz w:val="25"/>
                <w:szCs w:val="25"/>
                <w:b w:val="1"/>
                <w:bCs w:val="1"/>
                <w:color w:val="auto"/>
              </w:rPr>
              <w:t>Barclays</w:t>
            </w:r>
          </w:p>
        </w:tc>
      </w:tr>
      <w:tr>
        <w:trPr>
          <w:trHeight w:val="463"/>
        </w:trPr>
        <w:tc>
          <w:tcPr>
            <w:tcW w:w="38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Wedbush Securities</w:t>
            </w:r>
          </w:p>
        </w:tc>
        <w:tc>
          <w:tcPr>
            <w:tcW w:w="3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Northland Capital Markets</w:t>
            </w:r>
          </w:p>
        </w:tc>
        <w:tc>
          <w:tcPr>
            <w:tcW w:w="3800" w:type="dxa"/>
            <w:vAlign w:val="bottom"/>
          </w:tcPr>
          <w:p>
            <w:pPr>
              <w:ind w:left="1760"/>
              <w:spacing w:after="0"/>
              <w:rPr>
                <w:sz w:val="20"/>
                <w:szCs w:val="20"/>
                <w:color w:val="auto"/>
              </w:rPr>
            </w:pPr>
            <w:r>
              <w:rPr>
                <w:rFonts w:ascii="Times New Roman" w:cs="Times New Roman" w:eastAsia="Times New Roman" w:hAnsi="Times New Roman"/>
                <w:sz w:val="22"/>
                <w:szCs w:val="22"/>
                <w:b w:val="1"/>
                <w:bCs w:val="1"/>
                <w:color w:val="auto"/>
                <w:w w:val="96"/>
              </w:rPr>
              <w:t>Ladenburg Thalmann</w:t>
            </w:r>
          </w:p>
        </w:tc>
      </w:tr>
      <w:tr>
        <w:trPr>
          <w:trHeight w:val="636"/>
        </w:trPr>
        <w:tc>
          <w:tcPr>
            <w:tcW w:w="38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April 9, 2024</w:t>
            </w:r>
          </w:p>
        </w:tc>
        <w:tc>
          <w:tcPr>
            <w:tcW w:w="3800" w:type="dxa"/>
            <w:vAlign w:val="bottom"/>
          </w:tcPr>
          <w:p>
            <w:pPr>
              <w:spacing w:after="0"/>
              <w:rPr>
                <w:sz w:val="24"/>
                <w:szCs w:val="24"/>
                <w:color w:val="auto"/>
              </w:rPr>
            </w:pPr>
          </w:p>
        </w:tc>
      </w:tr>
      <w:tr>
        <w:trPr>
          <w:trHeight w:val="871"/>
        </w:trPr>
        <w:tc>
          <w:tcPr>
            <w:tcW w:w="386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9" Type="http://schemas.openxmlformats.org/officeDocument/2006/relationships/image" Target="media/image60.png"/><Relationship Id="rId30" Type="http://schemas.openxmlformats.org/officeDocument/2006/relationships/hyperlink" Target="http://www.sec.gov/Archives/edgar/data/1840856/000184085624000013/soun-20231231.htm" TargetMode="External"/><Relationship Id="rId31" Type="http://schemas.openxmlformats.org/officeDocument/2006/relationships/hyperlink" Target="http://www.sec.gov/Archives/edgar/data/1840856/000121390024000804/ea190917-8k_soundhoun.htm" TargetMode="External"/><Relationship Id="rId32" Type="http://schemas.openxmlformats.org/officeDocument/2006/relationships/hyperlink" Target="http://www.sec.gov/Archives/edgar/data/1840856/000121390021014493/ea137333-8a12b_archimedes.htm" TargetMode="External"/><Relationship Id="rId33" Type="http://schemas.openxmlformats.org/officeDocument/2006/relationships/hyperlink" Target="http://www.sec.gov/Archives/edgar/data/1840856/000184085623000019/soun-20221231x10kxexx45.htm" TargetMode="External"/><Relationship Id="rId71" Type="http://schemas.openxmlformats.org/officeDocument/2006/relationships/hyperlink" Target="http://www.sec.gov/Archives/edgar/data/1840856/000184085623000019/soun-20221231.htm" TargetMode="External"/><Relationship Id="rId72" Type="http://schemas.openxmlformats.org/officeDocument/2006/relationships/hyperlink" Target="http://www.sec.gov/Archives/edgar/data/1840856/000184085623000031/soun-20230331.htm" TargetMode="External"/><Relationship Id="rId73" Type="http://schemas.openxmlformats.org/officeDocument/2006/relationships/hyperlink" Target="http://www.sec.gov/Archives/edgar/data/1840856/000121390023044031/def14a0523_soundhound.htm" TargetMode="External"/><Relationship Id="rId74" Type="http://schemas.openxmlformats.org/officeDocument/2006/relationships/hyperlink" Target="http://www.sec.gov/Archives/edgar/data/1840856/000184085623000004/soun-20230105.htm" TargetMode="External"/><Relationship Id="rId75" Type="http://schemas.openxmlformats.org/officeDocument/2006/relationships/hyperlink" Target="http://www.sec.gov/Archives/edgar/data/1840856/000184085623000008/soun-20230120.htm" TargetMode="External"/><Relationship Id="rId76" Type="http://schemas.openxmlformats.org/officeDocument/2006/relationships/hyperlink" Target="http://www.sec.gov/Archives/edgar/data/1840856/000121390023030044/ea176992-8k_soundhound.htm" TargetMode="External"/><Relationship Id="rId77" Type="http://schemas.openxmlformats.org/officeDocument/2006/relationships/hyperlink" Target="http://www.sec.gov/Archives/edgar/data/1840856/000121390023036919/ea178069-8k_soundhound.htm" TargetMode="External"/><Relationship Id="rId78" Type="http://schemas.openxmlformats.org/officeDocument/2006/relationships/hyperlink" Target="http://www.sec.gov/Archives/edgar/data/1840856/000121390023054855/ea181375-8k_soundhoun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2024-04-10T05:19:21Z</dcterms:created>
  <dcterms:modified xsi:type="dcterms:W3CDTF">2024-04-10T05:19:21Z</dcterms:modified>
</cp:coreProperties>
</file>