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333-273393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333-283101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Prospectus dated August 4,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$120,000,000 of Shares of Class A Common Stock</w:t>
      </w:r>
    </w:p>
    <w:p>
      <w:pPr>
        <w:spacing w:after="0" w:line="207"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SoundHound AI, Inc. (“SoundHound AI,” the “Company,” “we,” “us” or “our”) has entered into an Equity Distribution Agreement (the “Agreement”) by and among Barclays Capital Inc., Piper Sandler &amp; Co., D.A. Davidson &amp; Co., H.C. Wainwright &amp; Co., LLC and Joseph Gunnar &amp; Co., LLC (each a “Manager” and collectively, the “Managers”) relating to the sale of shares of our Class A common stock, par value $0.0001 per share (the “common stock” or the “Class A Common Stock”), offered by this prospectus supplement and the accompanying prospectus. In accordance with the terms</w:t>
      </w:r>
    </w:p>
    <w:p>
      <w:pPr>
        <w:spacing w:after="0" w:line="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Agreement, we may offer and sell up to $120,000,000 of shares of our common stock from time to time through or to the Managers acting as agent or principal.</w:t>
      </w:r>
    </w:p>
    <w:p>
      <w:pPr>
        <w:spacing w:after="0" w:line="162"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Global Market of The Nasdaq Stock Market LLC (“Nasdaq”) under the symbol “SOUN.” On November 7, 2024, the last reported sale price of our common stock on Nasdaq was $6.95 per share.</w:t>
      </w:r>
    </w:p>
    <w:p>
      <w:pPr>
        <w:spacing w:after="0" w:line="162"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The Managers are not required to sell any specific dollar amount of shares but will use commercially reasonable efforts to sell on our behalf all of the shares of common stock requested to be sold by us, consistent with their normal trading and sales practices, on mutually agreed terms between us and the Managers. There is no arrangement for funds to be received in any escrow, trust or similar arrangement. The Managers may also purchase shares of our common stock as principal.</w:t>
      </w:r>
    </w:p>
    <w:p>
      <w:pPr>
        <w:spacing w:after="0" w:line="192"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Managers will be entitled to aggregate compensation at a fixed commission rate of 2.5% of the gross sales price per share sold. In connection with the sale of our common stock on our behalf, the Managers may be deemed to be “underwriters” within the meaning of the Securities Act and the compensation of the Managers may be deemed to be underwriting commissions or discounts. See “Plan of Distribution” beginning on page S-9 for additional information regarding underwriting compensation. We have also agreed to provide indemnification and contribution to the Managers with respect to certain liabilities, including liabilities under the Securities Act.</w:t>
      </w:r>
    </w:p>
    <w:p>
      <w:pPr>
        <w:spacing w:after="0" w:line="179"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S-4 of this prospectus supplement and in the documents incorporated by reference into this prospectus supplement.</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3280" w:type="dxa"/>
            <w:vAlign w:val="bottom"/>
          </w:tcPr>
          <w:p>
            <w:pPr>
              <w:ind w:left="242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3980" w:type="dxa"/>
            <w:vAlign w:val="bottom"/>
          </w:tcPr>
          <w:p>
            <w:pPr>
              <w:spacing w:after="0"/>
              <w:rPr>
                <w:sz w:val="24"/>
                <w:szCs w:val="24"/>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Piper Sandler</w:t>
            </w:r>
          </w:p>
        </w:tc>
      </w:tr>
      <w:tr>
        <w:trPr>
          <w:trHeight w:val="486"/>
        </w:trPr>
        <w:tc>
          <w:tcPr>
            <w:tcW w:w="3280" w:type="dxa"/>
            <w:vAlign w:val="bottom"/>
          </w:tcPr>
          <w:p>
            <w:pPr>
              <w:ind w:left="900"/>
              <w:spacing w:after="0"/>
              <w:rPr>
                <w:sz w:val="20"/>
                <w:szCs w:val="20"/>
                <w:color w:val="auto"/>
              </w:rPr>
            </w:pPr>
            <w:r>
              <w:rPr>
                <w:rFonts w:ascii="Times New Roman" w:cs="Times New Roman" w:eastAsia="Times New Roman" w:hAnsi="Times New Roman"/>
                <w:sz w:val="22"/>
                <w:szCs w:val="22"/>
                <w:b w:val="1"/>
                <w:bCs w:val="1"/>
                <w:color w:val="auto"/>
              </w:rPr>
              <w:t>D.A. Davidson &amp; Co.</w:t>
            </w:r>
          </w:p>
        </w:tc>
        <w:tc>
          <w:tcPr>
            <w:tcW w:w="3980" w:type="dxa"/>
            <w:vAlign w:val="bottom"/>
          </w:tcPr>
          <w:p>
            <w:pPr>
              <w:jc w:val="center"/>
              <w:ind w:left="621"/>
              <w:spacing w:after="0"/>
              <w:rPr>
                <w:sz w:val="20"/>
                <w:szCs w:val="20"/>
                <w:color w:val="auto"/>
              </w:rPr>
            </w:pPr>
            <w:r>
              <w:rPr>
                <w:rFonts w:ascii="Times New Roman" w:cs="Times New Roman" w:eastAsia="Times New Roman" w:hAnsi="Times New Roman"/>
                <w:sz w:val="22"/>
                <w:szCs w:val="22"/>
                <w:b w:val="1"/>
                <w:bCs w:val="1"/>
                <w:color w:val="auto"/>
                <w:w w:val="96"/>
              </w:rPr>
              <w:t>H.C. Wainwright &amp; Co.</w:t>
            </w:r>
          </w:p>
        </w:tc>
        <w:tc>
          <w:tcPr>
            <w:tcW w:w="3980" w:type="dxa"/>
            <w:vAlign w:val="bottom"/>
          </w:tcPr>
          <w:p>
            <w:pPr>
              <w:ind w:left="860"/>
              <w:spacing w:after="0"/>
              <w:rPr>
                <w:sz w:val="20"/>
                <w:szCs w:val="20"/>
                <w:color w:val="auto"/>
              </w:rPr>
            </w:pPr>
            <w:r>
              <w:rPr>
                <w:rFonts w:ascii="Times New Roman" w:cs="Times New Roman" w:eastAsia="Times New Roman" w:hAnsi="Times New Roman"/>
                <w:sz w:val="22"/>
                <w:szCs w:val="22"/>
                <w:b w:val="1"/>
                <w:bCs w:val="1"/>
                <w:color w:val="auto"/>
              </w:rPr>
              <w:t>Joseph Gunnar &amp; Co. LLC</w:t>
            </w:r>
          </w:p>
        </w:tc>
      </w:tr>
      <w:tr>
        <w:trPr>
          <w:trHeight w:val="420"/>
        </w:trPr>
        <w:tc>
          <w:tcPr>
            <w:tcW w:w="3280" w:type="dxa"/>
            <w:vAlign w:val="bottom"/>
          </w:tcPr>
          <w:p>
            <w:pPr>
              <w:spacing w:after="0"/>
              <w:rPr>
                <w:sz w:val="24"/>
                <w:szCs w:val="24"/>
                <w:color w:val="auto"/>
              </w:rPr>
            </w:pPr>
          </w:p>
        </w:tc>
        <w:tc>
          <w:tcPr>
            <w:tcW w:w="7960" w:type="dxa"/>
            <w:vAlign w:val="bottom"/>
            <w:gridSpan w:val="2"/>
          </w:tcPr>
          <w:p>
            <w:pPr>
              <w:jc w:val="center"/>
              <w:ind w:right="3172"/>
              <w:spacing w:after="0"/>
              <w:rPr>
                <w:sz w:val="20"/>
                <w:szCs w:val="20"/>
                <w:color w:val="auto"/>
              </w:rPr>
            </w:pPr>
            <w:r>
              <w:rPr>
                <w:rFonts w:ascii="Times New Roman" w:cs="Times New Roman" w:eastAsia="Times New Roman" w:hAnsi="Times New Roman"/>
                <w:sz w:val="18"/>
                <w:szCs w:val="18"/>
                <w:b w:val="1"/>
                <w:bCs w:val="1"/>
                <w:color w:val="auto"/>
                <w:w w:val="99"/>
              </w:rPr>
              <w:t>The date of this prospectus supplement is November 8, 2024</w:t>
            </w:r>
          </w:p>
        </w:tc>
      </w:tr>
      <w:tr>
        <w:trPr>
          <w:trHeight w:val="682"/>
        </w:trPr>
        <w:tc>
          <w:tcPr>
            <w:tcW w:w="3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9"/>
        </w:trPr>
        <w:tc>
          <w:tcPr>
            <w:tcW w:w="44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PROSPECTUS SUPPLEMENT</w:t>
            </w: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4400" w:type="dxa"/>
            <w:vAlign w:val="bottom"/>
            <w:gridSpan w:val="17"/>
            <w:vMerge w:val="continue"/>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0000EE"/>
            </w:tcBorders>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840" w:type="dxa"/>
            <w:vAlign w:val="bottom"/>
            <w:tcBorders>
              <w:bottom w:val="single" w:sz="8" w:color="CCEEFF"/>
            </w:tcBorders>
            <w:gridSpan w:val="5"/>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S-ii</w:t>
            </w:r>
          </w:p>
        </w:tc>
        <w:tc>
          <w:tcPr>
            <w:tcW w:w="0" w:type="dxa"/>
            <w:vAlign w:val="bottom"/>
          </w:tcPr>
          <w:p>
            <w:pPr>
              <w:spacing w:after="0"/>
              <w:rPr>
                <w:sz w:val="1"/>
                <w:szCs w:val="1"/>
                <w:color w:val="auto"/>
              </w:rPr>
            </w:pPr>
          </w:p>
        </w:tc>
      </w:tr>
      <w:tr>
        <w:trPr>
          <w:trHeight w:val="176"/>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1960" w:type="dxa"/>
            <w:vAlign w:val="bottom"/>
            <w:tcBorders>
              <w:bottom w:val="single" w:sz="8" w:color="CCEEFF"/>
            </w:tcBorders>
            <w:gridSpan w:val="6"/>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r>
        <w:trPr>
          <w:trHeight w:val="175"/>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80" w:type="dxa"/>
            <w:vAlign w:val="bottom"/>
            <w:tcBorders>
              <w:bottom w:val="single" w:sz="8" w:color="CCEEFF"/>
            </w:tcBorders>
            <w:gridSpan w:val="14"/>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0" w:type="dxa"/>
            <w:vAlign w:val="bottom"/>
          </w:tcPr>
          <w:p>
            <w:pPr>
              <w:spacing w:after="0"/>
              <w:rPr>
                <w:sz w:val="1"/>
                <w:szCs w:val="1"/>
                <w:color w:val="auto"/>
              </w:rPr>
            </w:pPr>
          </w:p>
        </w:tc>
      </w:tr>
      <w:tr>
        <w:trPr>
          <w:trHeight w:val="176"/>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5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960" w:type="dxa"/>
            <w:vAlign w:val="bottom"/>
            <w:tcBorders>
              <w:bottom w:val="single" w:sz="8" w:color="CCEEFF"/>
            </w:tcBorders>
            <w:gridSpan w:val="9"/>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c>
          <w:tcPr>
            <w:tcW w:w="0" w:type="dxa"/>
            <w:vAlign w:val="bottom"/>
          </w:tcPr>
          <w:p>
            <w:pPr>
              <w:spacing w:after="0"/>
              <w:rPr>
                <w:sz w:val="1"/>
                <w:szCs w:val="1"/>
                <w:color w:val="auto"/>
              </w:rPr>
            </w:pPr>
          </w:p>
        </w:tc>
      </w:tr>
      <w:tr>
        <w:trPr>
          <w:trHeight w:val="175"/>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840" w:type="dxa"/>
            <w:vAlign w:val="bottom"/>
            <w:tcBorders>
              <w:bottom w:val="single" w:sz="8" w:color="CCEEFF"/>
            </w:tcBorders>
            <w:gridSpan w:val="16"/>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c>
          <w:tcPr>
            <w:tcW w:w="0" w:type="dxa"/>
            <w:vAlign w:val="bottom"/>
          </w:tcPr>
          <w:p>
            <w:pPr>
              <w:spacing w:after="0"/>
              <w:rPr>
                <w:sz w:val="1"/>
                <w:szCs w:val="1"/>
                <w:color w:val="auto"/>
              </w:rPr>
            </w:pPr>
          </w:p>
        </w:tc>
      </w:tr>
      <w:tr>
        <w:trPr>
          <w:trHeight w:val="176"/>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5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c>
          <w:tcPr>
            <w:tcW w:w="0" w:type="dxa"/>
            <w:vAlign w:val="bottom"/>
          </w:tcPr>
          <w:p>
            <w:pPr>
              <w:spacing w:after="0"/>
              <w:rPr>
                <w:sz w:val="1"/>
                <w:szCs w:val="1"/>
                <w:color w:val="auto"/>
              </w:rPr>
            </w:pPr>
          </w:p>
        </w:tc>
      </w:tr>
      <w:tr>
        <w:trPr>
          <w:trHeight w:val="439"/>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720" w:type="dxa"/>
            <w:vAlign w:val="bottom"/>
            <w:tcBorders>
              <w:top w:val="single" w:sz="8" w:color="CCEEFF"/>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4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PROSPECTUS</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2"/>
              </w:rPr>
              <w:t>iii</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860" w:type="dxa"/>
            <w:vAlign w:val="bottom"/>
            <w:tcBorders>
              <w:bottom w:val="single" w:sz="8" w:color="CCEEFF"/>
            </w:tcBorders>
            <w:gridSpan w:val="8"/>
            <w:shd w:val="clear" w:color="auto" w:fill="CCEEFF"/>
          </w:tcPr>
          <w:p>
            <w:pPr>
              <w:spacing w:after="0"/>
              <w:rPr>
                <w:sz w:val="17"/>
                <w:szCs w:val="17"/>
                <w:color w:val="auto"/>
              </w:rPr>
            </w:pPr>
          </w:p>
        </w:tc>
        <w:tc>
          <w:tcPr>
            <w:tcW w:w="6840" w:type="dxa"/>
            <w:vAlign w:val="bottom"/>
            <w:tcBorders>
              <w:bottom w:val="single" w:sz="8" w:color="CCEEFF"/>
            </w:tcBorders>
            <w:gridSpan w:val="3"/>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40" w:type="dxa"/>
            <w:vAlign w:val="bottom"/>
            <w:gridSpan w:val="3"/>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tcBorders>
              <w:bottom w:val="single" w:sz="8" w:color="CCEEFF"/>
            </w:tcBorders>
            <w:gridSpan w:val="11"/>
            <w:shd w:val="clear" w:color="auto" w:fill="CCEEFF"/>
          </w:tcPr>
          <w:p>
            <w:pPr>
              <w:spacing w:after="0"/>
              <w:rPr>
                <w:sz w:val="17"/>
                <w:szCs w:val="17"/>
                <w:color w:val="auto"/>
              </w:rPr>
            </w:pPr>
          </w:p>
        </w:tc>
        <w:tc>
          <w:tcPr>
            <w:tcW w:w="6840" w:type="dxa"/>
            <w:vAlign w:val="bottom"/>
            <w:tcBorders>
              <w:bottom w:val="single" w:sz="8" w:color="CCEEFF"/>
            </w:tcBorders>
            <w:gridSpan w:val="3"/>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6"/>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40" w:type="dxa"/>
            <w:vAlign w:val="bottom"/>
            <w:gridSpan w:val="3"/>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840" w:type="dxa"/>
            <w:vAlign w:val="bottom"/>
            <w:gridSpan w:val="3"/>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1520" w:type="dxa"/>
            <w:vAlign w:val="bottom"/>
            <w:tcBorders>
              <w:top w:val="single" w:sz="8" w:color="CCEEFF"/>
            </w:tcBorders>
            <w:gridSpan w:val="4"/>
          </w:tcPr>
          <w:p>
            <w:pPr>
              <w:spacing w:after="0"/>
              <w:rPr>
                <w:sz w:val="15"/>
                <w:szCs w:val="15"/>
                <w:color w:val="auto"/>
              </w:rPr>
            </w:pPr>
          </w:p>
        </w:tc>
        <w:tc>
          <w:tcPr>
            <w:tcW w:w="6840" w:type="dxa"/>
            <w:vAlign w:val="bottom"/>
            <w:tcBorders>
              <w:top w:val="single" w:sz="8" w:color="CCEEFF"/>
            </w:tcBorders>
            <w:gridSpan w:val="3"/>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80" w:type="dxa"/>
            <w:vAlign w:val="bottom"/>
            <w:tcBorders>
              <w:bottom w:val="single" w:sz="8" w:color="CCEEFF"/>
            </w:tcBorders>
            <w:gridSpan w:val="12"/>
            <w:shd w:val="clear" w:color="auto" w:fill="CCEEFF"/>
          </w:tcPr>
          <w:p>
            <w:pPr>
              <w:spacing w:after="0"/>
              <w:rPr>
                <w:sz w:val="17"/>
                <w:szCs w:val="17"/>
                <w:color w:val="auto"/>
              </w:rPr>
            </w:pPr>
          </w:p>
        </w:tc>
        <w:tc>
          <w:tcPr>
            <w:tcW w:w="6840" w:type="dxa"/>
            <w:vAlign w:val="bottom"/>
            <w:tcBorders>
              <w:bottom w:val="single" w:sz="8" w:color="CCEEFF"/>
            </w:tcBorders>
            <w:gridSpan w:val="3"/>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75"/>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40" w:type="dxa"/>
            <w:vAlign w:val="bottom"/>
            <w:gridSpan w:val="3"/>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520" w:type="dxa"/>
            <w:vAlign w:val="bottom"/>
            <w:tcBorders>
              <w:bottom w:val="single" w:sz="8" w:color="CCEEFF"/>
            </w:tcBorders>
            <w:gridSpan w:val="4"/>
            <w:shd w:val="clear" w:color="auto" w:fill="CCEEFF"/>
          </w:tcPr>
          <w:p>
            <w:pPr>
              <w:spacing w:after="0"/>
              <w:rPr>
                <w:sz w:val="17"/>
                <w:szCs w:val="17"/>
                <w:color w:val="auto"/>
              </w:rPr>
            </w:pPr>
          </w:p>
        </w:tc>
        <w:tc>
          <w:tcPr>
            <w:tcW w:w="6840" w:type="dxa"/>
            <w:vAlign w:val="bottom"/>
            <w:tcBorders>
              <w:bottom w:val="single" w:sz="8" w:color="CCEEFF"/>
            </w:tcBorders>
            <w:gridSpan w:val="3"/>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75"/>
        </w:trPr>
        <w:tc>
          <w:tcPr>
            <w:tcW w:w="44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Information by Reference</w:t>
            </w:r>
          </w:p>
        </w:tc>
        <w:tc>
          <w:tcPr>
            <w:tcW w:w="6840" w:type="dxa"/>
            <w:vAlign w:val="bottom"/>
            <w:gridSpan w:val="3"/>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you with any information or to make any representations other than those contained in, or incorporated by reference into, this prospectus supplement and the accompanying prospectus.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supplement and any later prospectus supplement is an offer to sell only the securities offered hereby, but only under circumstances and in jurisdictions where it is lawful to do so.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contained in this prospectus supplement and the accompanying prospectus and the documents incorporated by reference into this prospectus supplement and the accompanying prospectus is accurate only as of the date of those respective documents.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contains two parts. The first part is the prospectus supplement, which describes the specific terms of this offering and also updates information contained in the accompanying prospectus and the documents incorporated by reference into this prospectus supplement and the accompanying prospectus. Under this prospectus supplement, we may offer and sell shares of our common stock having an aggregate offering price of up to $120,000,000 from time to time at prices and on terms to be determined by market conditions at the time of offering. The second part is the accompanying prospectus, which provides more general information, some of which may not apply to this offering. This prospectus supplement and the accompanying prospectus are part of a “shelf” registration statement on Form S-3 (File No. 333-273393) that we initially filed with the SEC, on July 24, 2023, and that was declared effective by the SEC on August 4, 2023. On November 8, 2024, we filed an additional registration statement on Form S-3 MEF (File No. 333-283101) with the SEC pursuant to Rule 462(b) under the Securities Act of 1933, as amended (the “Securities Act”), increasing the total gross proceeds available under our shelf registration statement by $20,000,000. Such additional registration statement became effective upon filing.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and the accompanying prospectus and the documents incorporated by reference into this prospectus supplement and the accompanying prospectus is accurate only as of the date of those respective documents. Our business, financial condition, results of operations and prospects may have changed since those dates. You should read this prospectus supplement and the accompanying prospectus, as well as the documents incorporated by reference into this prospectus supplement and the accompanying prospectus in their entirety before making an investment decision. You should also read and consider the information in the sections of this prospectus supplement entitled “Where You Can Find More Information” and “Incorporation of Certain Information by Reference.”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not, and the Managers have not, authorized any other person to provide you with information that is in addition to or different from the information included or incorporated by reference into this prospectus supplement. 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92"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the prospectus supplement and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60"/>
        <w:spacing w:after="0" w:line="261" w:lineRule="auto"/>
        <w:rPr>
          <w:sz w:val="20"/>
          <w:szCs w:val="20"/>
          <w:color w:val="auto"/>
        </w:rPr>
      </w:pPr>
      <w:r>
        <w:rPr>
          <w:rFonts w:ascii="Times New Roman" w:cs="Times New Roman" w:eastAsia="Times New Roman" w:hAnsi="Times New Roman"/>
          <w:sz w:val="18"/>
          <w:szCs w:val="18"/>
          <w:color w:val="auto"/>
        </w:rPr>
        <w:t>This prospectus supplement and accompanying prospectus contain, or incorporate by reference, trademarks, tradenames, service marks and service names of SoundHound AI, Inc. and its subsidiaries. This prospectus supplement and the accompanying prospectus and the documents incorporated by reference into this prospectus supplement and the accompanying prospectus may also contain trademarks and trade names that are the property of their respective owners.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and any free writing prospectus that we have authorized for use in connection with this offering may contain forward-looking statements that involve risks and uncertainties. All statements other than statements of historical fact contained in this prospectus supplement, the accompanying prospectus and the documents incorporated by reference herein and therein, including statements regarding future events, our future financial performance, business strategy, including our acquisition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supplement, the accompanying prospectus and the documents incorporated by reference herein or therein, which may cause our or our industry’s actual results, levels of activity, performance or achievements to vary materially from those expressed or implied by these forward-looking statements. Moreover, we operate in a regulated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supplement and the documents incorporated by reference herein, and in particular, the risks discussed below and under the heading “Risk Factors” and those discussed in other documents we file with the SEC. The following discussion should be read in conjunction with the financial statements and notes thereto included in our Annual Report on Form 10-K for the fiscal year ended December 31, 2023 and our Quarterly Reports on Form 10-Q for the fiscal quarters ended March 31, 2024, and June 30, 2024. We undertake no obligation to revise or publicly release the results of any revision to these forward-looking statements, except as required by law. In light of these risks, uncertainties and assumptions, the forward-looking events and circumstances discussed in this prospectus supplement may not occur and actual results could differ materially and adversely from those anticipated or implied in the forward-looking statement.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supplement. Except as required by law, we undertake no obligation to update or revise publicly any of the forward-looking statements after the date of this prospectus supplement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supplement, the accompanying prospectus or any document incorporated by reference herein or therein reflects our views at the time the forward-looking statement was made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870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687070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This summary does not contain all the information that you should consider before investing in our Company. You should carefully read this entire prospectus supplement and the accompanying prospectus, including all documents incorporated by reference herein and therein. In particular, attention should be directed to our “Risk Factors,”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 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over $140 billion per year by 2024.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2" w:right="439" w:bottom="1440" w:gutter="0" w:footer="0" w:header="0"/>
        </w:sectPr>
      </w:pPr>
    </w:p>
    <w:bookmarkStart w:id="5" w:name="page6"/>
    <w:bookmarkEnd w:id="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733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6733540"/>
                    </a:xfrm>
                    <a:prstGeom prst="rect">
                      <a:avLst/>
                    </a:prstGeom>
                    <a:noFill/>
                  </pic:spPr>
                </pic:pic>
              </a:graphicData>
            </a:graphic>
          </wp:anchor>
        </w:drawing>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that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an appliance or other devices,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few seconds, but it can take many steps to use alternative interfaces such as a remote control or a companion app.</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and is not incorporated by reference into, this prospectus supplement.</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6" w:right="439" w:bottom="1440" w:gutter="0" w:footer="0" w:header="0"/>
        </w:sectPr>
      </w:pPr>
    </w:p>
    <w:bookmarkStart w:id="6" w:name="page7"/>
    <w:bookmarkEnd w:id="6"/>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-328930</wp:posOffset>
            </wp:positionV>
            <wp:extent cx="7145020" cy="2893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28930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$120,000,000.</w:t>
      </w:r>
    </w:p>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Managers. See “Plan of Distribution” on page S-9 of this prospectus supplement.</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these sales, if any, to repay certain of our long term indebtedness, for general corporate purposes and working capital, which may include investing in or acquiring synergistic or complementary businesses, assets or technologies. See “Use of Proceeds” on page S-6 of this prospectus supplement.</w:t>
      </w:r>
    </w:p>
    <w:p>
      <w:pPr>
        <w:spacing w:after="0" w:line="176" w:lineRule="exact"/>
        <w:rPr>
          <w:sz w:val="20"/>
          <w:szCs w:val="20"/>
          <w:color w:val="auto"/>
        </w:rPr>
      </w:pPr>
    </w:p>
    <w:p>
      <w:pPr>
        <w:sectPr>
          <w:pgSz w:w="11900" w:h="16838" w:orient="portrait"/>
          <w:cols w:equalWidth="0" w:num="2">
            <w:col w:w="2720" w:space="720"/>
            <w:col w:w="7820"/>
          </w:cols>
          <w:pgMar w:left="320" w:top="1022" w:right="319" w:bottom="1440" w:gutter="0" w:footer="0" w:header="0"/>
        </w:sect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Your investment in our securities involves substantial risks. See “Risk Factors” beginning on page S-4 of</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and in the documents incorporated by</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reference herein and therein for a discussion of factors you should consider carefully before deciding to</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invest in our common stock.</w:t>
            </w:r>
          </w:p>
        </w:tc>
      </w:tr>
      <w:tr>
        <w:trPr>
          <w:trHeight w:val="432"/>
        </w:trPr>
        <w:tc>
          <w:tcPr>
            <w:tcW w:w="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“SOUN”</w:t>
            </w:r>
          </w:p>
        </w:tc>
      </w:tr>
      <w:tr>
        <w:trPr>
          <w:trHeight w:val="314"/>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S-3</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1022" w:right="31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carefully consider the risk factors we describe in this prospectus supplement in addition to the risks and uncertainties discussed above under “Special Note Regarding Forward-Looking Statements,” together with the risk factors described in our Annual Report on Form 10-K for the year ended December 31, 2023, and our quarterly report on Form 10-Q for the quarter ended June 30, 2024, or any Annual Report on Form 10-K or Quarterly Report on Form 10-Q, that is incorporated by reference into this prospectus supplement after the date of this prospectus supplement. Although we discuss key risks in those risk factor descriptions, additional risks not currently known to us or that we currently deem immaterial also may impair our business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Agreement, nor the gross proceeds resulting from those sales.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Agreement and compliance with applicable law, we have the discretion to deliver a placement notice to the Managers at any time throughout the term of the Agreement. The number of shares that are sold through the Managers after delivering a placement notice will fluctuate based on a number of factors, including the market price of the common stock during the sales period, the limits we set with the Selling Manager (as defined below)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common stock offered hereby will be sold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at the market offerings,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and investors who buy shares at different times will likely pay different prices.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our existing cash and may invest or spend the proceeds in ways with which you do not agree and in ways that may not yield a return on your investment.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such application. You will not have the opportunity, as part of your investment decision, to assess whether the net proceeds are being used appropriately.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immediate and substantial dilution.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Class A common stock and Class B common stock outstanding prior to this offering. Assuming that an aggregate of $120,000,000 of shares of our common stock are sold in this offering at a price of $6.95 per share, the last reported sale price of our common stock on Nasdaq on November 7, 2024, for aggregate net proceeds of approximately $117 million after deducting commissions and estimated aggregate offering expenses payable by us, and after giving effect to our sales in the Prior ATM Program (as defined below), you will experience immediate dilution of $5.91 per share. The actual amount of dilution to investors in this offering will depend on the sales price at which we sell stock and our net tangible book value per share at the of any sale. See the section entitled “Dilution” below for a more detailed illustration of the dilution you may incur if you participate in this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issue equity securities in the future, your ownership in us could be diluted.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our common stock to decline and result in significant dilution for holders of our common stock. For example, from January 1, 2024, through November 7, 2024, we have issued 69,601,417 shares of common stock through at-the-market equity programs, 7,827,343 shares of our common stock related to our acquisition of Synq3, Inc. (“Synq3”), including certain contingent consideration, and 8,902,967 shares of common stock related to our acquisition of Amelia Holdings, Inc. (“Amelia”), including the shares issued to settle the obligation from the debt assumed from the acquisition of Amelia. Additionally, we may be required to issue additional shares of common stock related to the Synq3 and Amelia acquisitions as contingent consideration in connection with the achievements of certain milestones. In addition, the vesting of restricted stock units and the exercise of outstanding stock options and warrants may result in further dilution of your investment.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declaring any cash dividends on our common stock which may adversely impact the market price of our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plan to pay any cash dividends in the near future. Our current policy is to retain all funds and any earnings for use in the operation and expansion of our business. If we do not pay dividends, our stock may be less valuable to you because a return on your investment will only occur if our stock price appreciates.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significant number of shares of our common stock in the public markets, or the perception that such sales could occur as a result of our utilization of a universal shelf registration statement, our Agreement with the Managers or otherwise could depress the market price of our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 of proceeds from this offering will depend on the number of shares of our common stock sold in this offering and the price at which they are sold. There can be no assurance that we will be able to sell any shares under or fully utilize the Agreement with the Managers as a source of financing. We intend to use the net proceeds of this offering, if any, to prepay our term loan assumed in connection with the Amelia acquisition, for general corporate purposes and working capital, which may include investing in or acquiring synergistic or complementary businesses, assets or technologies. Pending use of the net proceeds, we intend to invest the net proceeds in short-term, interest-bearing, investment-grade securities or in cash or money market funds.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Assumed Term Loan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Amelia, the Company assumed the amended senior secured term loan facility from Amelia in an aggregate principal amount of $109.7 million (“Amelia Debt”), which was issued pursuant to the existing Credit Agreement (the “Credit Agreement”) of Amelia with Monroe Capital Management Advisors, LLC (“Monroe”), as administrative and collateral agent for certain affiliated funds of Monroe, as lenders. In accordance with the amended terms, on August 7, 2024, the Company paid $70.0 million in cash to pay down a portion of the outstanding principal balance and issued 2,943,917 shares of Class A common stock to settle certain fees associated with the Amelia Debt. The remaining outstanding balance of $39.7 million has a maturity date of June 30, 2026 (the “Maturity Date”) and provides, at the Company’s election, for payment of a portion of interest in cash or in kind ("PIK"), in which case interest will be capitalized and added to the outstanding principal amount, with principal and accrued interest due at the Maturity Date. The Amelia Debt may be prepaid at any time and must be prepaid, along with the applicable prepayment premium and exit fee, upon the occurrence of certain future events. The Amelia Debt will accrue interest at an annual rate equal to the sum of (a) Adjusted Term SOFR and (b)(i) an applicable margin of 9.00% for the portion of interest paid in cash, and (ii) an additional 1.00% for the portion of interest paid in kind. Upon an event of default, the interest rate will automatically increase by an additional 2.00% per annum, and may result in the declaration that all outstanding principal and interest under the Amelia Debt be immediately due and payable in whole or in part.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immediately to the extent of the difference between the public offering price per share and the adjusted net tangible book value per share of our common stock (inclusive of our Class A common stock and Class B common stock) after this offering. “Net tangible book value” is total assets minus the sum of liabilities and intangible assets. “Net tangible book value per share” is net tangible book value divided by the total number of shares of Class A common stock and Class B common stock outstanding.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on June 30, 2024 was approximately $ 223.9 million, or $ 0.64 per share. After giving effect to the issuance of 10,465,581 shares of our Class A common stock for net proceeds of approximately $48.4 million in our recently completed at-the-market offering program from the period beginning on July 1, 2024 through July 31, 2024 (the “Prior ATM Program”), our pro forma net tangible book value as of June 30, 2024 was $272.3 million, or $0.76 per share.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shares of our common stock in the aggregate amount of $120,000,000 in this offering at an assumed offering price of $6.95 per share, which was the last reported sale price of our common stock on Nasdaq on November 7, 2024, and after deducting estimated offering commissions and expenses payable by us, our net tangible book value as of June 30, 2024 would have been approximately $389.3 million or $1.04 per shares of our common stock. This represents an immediate increase in net tangible book value of $0.28 per share to our existing stockholders and an immediate dilution in net tangible book value of $5.91 per share to investors participating in this offering. The following table illustrates this dilution per share to investors participating in this offering: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2024</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attributable to the Prior ATM Program</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40" w:type="dxa"/>
            <w:vAlign w:val="bottom"/>
          </w:tcPr>
          <w:p>
            <w:pPr>
              <w:spacing w:after="0"/>
              <w:rPr>
                <w:sz w:val="20"/>
                <w:szCs w:val="20"/>
                <w:color w:val="auto"/>
              </w:rPr>
            </w:pPr>
          </w:p>
        </w:tc>
        <w:tc>
          <w:tcPr>
            <w:tcW w:w="13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17,266,187 shares of our Class A common stock are sold at a price of $6.95 per share, the last reported sale price of our common stock on Nasdaq on November 7, 2024, for aggregate gross proceeds of $120,000,000. The shares sold in this offering, if any, will be sold from time to time at various prices.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an aggregate of 347,889,013 shares outstanding as of June 30, 2024, consisting of 315,153,605 shares of Class A common stock and 32,735,408 shares of Class B common stock. The number of shares outstanding excludes the following as of June 30, 2024:</w:t>
      </w:r>
    </w:p>
    <w:p>
      <w:pPr>
        <w:spacing w:after="0" w:line="176"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18,954,484 shares of our common stock issuable upon vesting of restricted stock units outstanding under our stock incentive plans;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11,817,899 shares of our common stock issuable upon exercise of stock options outstanding under our stock incentive plans, 10,776,774 of which are currently exercisable, which have a weighted average exercise price of $3.59 per share;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3,665,996 shares of our common stock issuable upon exercise of our outstanding warrants which have an exercise price of $11.50.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dilution table above also excludes any securities, other than the securities issued in the Prior ATM Program, issued after June 30, 2024, including 13,084,112 shares of Class A common stock issued in our acquisition of Amelia and 38,277 shares of Class A common stock issued in connection with our acquisition of Synq3, any shares issued upon vesting of any restricted stock units, including as or exercise of any stock options. The dilution table further excludes the pro forma impact of the acquisition of Amelia on net tangible book value.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of our outstanding options or warrants are exercised or restricted stock units vest, we grant additional options or other awards under our stock incentive plan or issue additional warrants or we issue additional shares of common stock in the future, including as contingent consideration for any of our prior acquisitions, investors may experience further dilution.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is not complete and may not contain all the information you should consider before investing in our common stock. For a more detailed description of these securities, you should read the applicable provisions of Delaware law and our certificate of incorporation, as amended, referred to herein as our certificate of incorporation, and our bylaws.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there were 347,889,013 shares outstanding as of June 30, 2024, consisting of 315,153,605 shares of Class A common stock and 32,735,408 shares of Class B Common Stock issued and outstanding. In addition, there were 3,665,996 shares of Class A Common Stock issuable upon exercise of outstanding warrants, 11,817,899 shares of Class A Common Stock issuable upon exercise of outstanding stock options, and 18,954,484 shares of Class A Common Stock issuable upon vesting of restricted stock units.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the Equity Distribution Agreement (the “Agreement”) with Barclays Capital Inc., Piper Sandler &amp; Co., D.A. Davidson &amp; Co., H.C. Wainwright &amp; Co., LLC and Joseph Gunnar &amp; Co. LLC (the “Managers”), under which we are permitted to offer and sell shares of our Class A common stock (the “common stock”) having an aggregate gross sales price of up to $120,000,000 from time to time through the Managers, or directly to the Managers acting as principal, in each case severally and not jointly.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negotiated transactions, including block trades, or transactions that are deemed to be ‘‘at the market’’ offerings as defined in Rule 415 under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Subject to the terms and conditions of the Agreement, the Managers will act as our sales agents using their commercially reasonable efforts consistent with their normal trading and sales practices. The Managers are not required to sell any specific amount. As our agents, the Managers will not engage in any transactions that stabilize the price of our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designate the maximum amount of common stock to be sold through the applicable Manager (in the case of each sale, the “Selling Manager”) on a daily basis or otherwise as we and the Managers agree and the minimum price per share at which such common stock may be sold. Subject to the terms and conditions of the Agreement, the Selling Manager will use its commercially reasonable efforts to sell on our behalf all of the designated common stock on such day. We or the Managers may suspend the offering of our common stock at any time and from time to time by notifying the other party.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Manager will provide to us written confirmation following the close of trading on Nasdaq each day in which shares of our common stock are sold under the Agreement. Each confirmation will include (i) the amount of shares sold on such day, (ii) the aggregate gross offering proceeds received from such sale and the net proceeds to the Company and (iii) the compensation payable by us to the Selling Manager with respect to such sales. Such compensation shall be set forth and invoiced in periodic statements from each Manager to the Company, with payment to be made by the Company promptly after its receipt thereof. We will report at least quarterly the number of shares of common stock sold through the Managers under the Agreement, the net proceeds to us (before expenses) and the compensation paid by us with respect to sales of the common stock.</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the Managers compensation for sales of our common stock at a fixed commission rate of 2.5% of the gross sales price of the shares sold under the Agreement. We have also agreed to provide indemnification and contribution to the Managers with respect to certain liabilities, including civil liabilities under the Securities Act. Because there is no minimum offering amount required as a condition to close this offering, the actual total public offering amount, commissions and proceeds to us, if any, are not determinable at this time. We estimate that the total expenses for the offering, excluding any commissions or expense reimbursement payable to the Managers under the terms of the Agreement, will be approximately $500,000. The remaining proceeds, after deducting any other transaction fees, will equal our net proceeds from the sale of our shares in this offering.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we may, if agreed to by the Managers, also sell shares of our common stock to each of the Managers, as principal for its own account, at a price per share and such other terms to be agreed upon at the time of sale. However, the Managers have no obligation to agree to purchase shares of our common stock as principal. If we sell to any Manager as principal, we will enter into a separate terms agreement with such Manager.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 of shares of common stock on our behalf, each of the Managers may be deemed to be an “underwriter” within the meaning of the Securities Act and the compensation of the Managers may be deemed to be underwriting commissions or discounts.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Company and the Managers agree otherwise, on the first business day that is also a trading day following the date on which such sales are made.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Agreement may be terminated by any Manager or us at any time upon notice to the other party, or by any Manager at any time in certain circumstances set forth in the Agreement.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Managers and/or their affiliates of the Managers have, from time to time, performed, and may in the future perform, various financial advisory and commercial and investment banking services for us and our affiliates, for which they have received and in the future will receive customary fees.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Global Market and trade under the symbol “SOUN.” The transfer agent of our common stock is Continental Stock Transfer &amp; Trust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common stock offered by this prospectus supplement will be passed upon for us by Ellenoff Grossman &amp; Schole LLP, New York, New York. The Managers are being represented in connection with this offering by Davis Polk &amp; Wardwell LLP, Menlo Park, California.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2023 and for the year ended December 31, 2023 incorporated in this prospectus supplement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SoundHound AI, Inc. as of and for the years ended December 31, 2022 and 2021, incorporated by reference in this prospectus supplement have been audited by Armanino LLP, independent registered public accounting firm, as set forth in their report incorporated by reference herein, and are included in reliance upon such report given on the authority of such firm as experts in auditing and accounting in giving said report.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and combined financial statements of Amelia Holdings, Inc. and Subsidiaries as of and for the year ended December 31, 2023 and as of December 31, 2022 (Successor), and the periods from December 21, 2022 through December 31, 2022 (Successor), and January 1, 2022 through December 20, 2022 (Predecessor), incorporated by reference in the Current Report on Form 8-K/A of SoundHound AI, Inc., filed with the Securities and Exchange Commission on October 22, 2024 have been audited by Ernst &amp; Young LLP, independent auditors, as set forth in their report thereon (which contains an explanatory paragraph describing conditions that raise substantial doubt about the Company’s ability to continue as a going concern as described in Note 2 to the consolidated and combined financial statements), incorporated by reference therein, and incorporated herein by reference. Such consolidated and combined financial statements are incorporated herein by reference in reliance upon such report given on the authority of such firm as experts in accounting and auditing.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offer and sale of our securities. This prospectus supplement and the accompanying prospectus, which constitute part of that registration statement, do not include all of the information contained in the registration statement and the accompanying exhibits. Whenever a reference is made in this prospectus supplement or in the accompanying prospectus to any of our contracts, agreements, or other documents, the reference may not be complete, and you should refer to the exhibits or to the reports or other documents incorporated by reference into this prospectus supplement or the accompanying prospectus for a copy of such contract, agreement or other document. Because we are subject to the information and reporting requirements of the Exchange Act, we file annual, quarterly and other reports, proxy statements and other information with the SEC. Our SEC filings are available to the public over the Internet at the SEC’s website at http://www.sec.gov. The SEC website referenced above also contains reports, proxy statements and other information about issuers, like us, that file electronically with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 this prospectus supplement and accompanying prospectus certain documents we file with the SEC, which means that we can disclose important information to you by referring you to those documents. The information in the documents incorporated by reference is considered to be part of this prospectus supplement and the accompanying prospectus. Statements contained in documents that we file with the SEC and that are incorporated by reference in this prospectus supplement and the accompanying prospectus will automatically update and supersede information contained herein and therein, including information in previously filed documents or reports that have been incorporated by reference in this prospectus supplement or the accompanying prospectus, to the extent the new information differs from or is inconsistent with the old information. 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188" w:lineRule="exact"/>
        <w:rPr>
          <w:sz w:val="20"/>
          <w:szCs w:val="20"/>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32" w:val="left"/>
        </w:tabs>
        <w:numPr>
          <w:ilvl w:val="0"/>
          <w:numId w:val="2"/>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Our Quarterly Reports on Form 10-Q for the quarters ended March 31, 2024 and June 30, 2024, which were filed on </w:t>
        </w:r>
        <w:r>
          <w:rPr>
            <w:rFonts w:ascii="Times New Roman" w:cs="Times New Roman" w:eastAsia="Times New Roman" w:hAnsi="Times New Roman"/>
            <w:sz w:val="18"/>
            <w:szCs w:val="18"/>
            <w:u w:val="single" w:color="auto"/>
            <w:color w:val="0000EE"/>
          </w:rPr>
          <w:t>May 10,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9, 2024</w:t>
        </w:r>
        <w:r>
          <w:rPr>
            <w:rFonts w:ascii="Times New Roman" w:cs="Times New Roman" w:eastAsia="Times New Roman" w:hAnsi="Times New Roman"/>
            <w:sz w:val="18"/>
            <w:szCs w:val="18"/>
            <w:color w:val="000000"/>
          </w:rPr>
          <w:t>, respectively;</w:t>
        </w:r>
      </w:hyperlink>
    </w:p>
    <w:p>
      <w:pPr>
        <w:spacing w:after="0" w:line="161" w:lineRule="exact"/>
        <w:rPr>
          <w:rFonts w:ascii="Times New Roman" w:cs="Times New Roman" w:eastAsia="Times New Roman" w:hAnsi="Times New Roman"/>
          <w:sz w:val="18"/>
          <w:szCs w:val="18"/>
          <w:color w:val="0000EE"/>
        </w:rPr>
      </w:pPr>
    </w:p>
    <w:p>
      <w:pPr>
        <w:jc w:val="both"/>
        <w:ind w:right="20" w:firstLine="656"/>
        <w:spacing w:after="0" w:line="266" w:lineRule="auto"/>
        <w:tabs>
          <w:tab w:leader="none" w:pos="841"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25">
        <w:r>
          <w:rPr>
            <w:rFonts w:ascii="Times New Roman" w:cs="Times New Roman" w:eastAsia="Times New Roman" w:hAnsi="Times New Roman"/>
            <w:sz w:val="18"/>
            <w:szCs w:val="18"/>
            <w:u w:val="single" w:color="auto"/>
            <w:color w:val="0000EE"/>
          </w:rPr>
          <w:t>January 3, 2024</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April 10, 2024</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June 10, 2024</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0">
        <w:r>
          <w:rPr>
            <w:rFonts w:ascii="Times New Roman" w:cs="Times New Roman" w:eastAsia="Times New Roman" w:hAnsi="Times New Roman"/>
            <w:sz w:val="18"/>
            <w:szCs w:val="18"/>
            <w:u w:val="single" w:color="auto"/>
            <w:color w:val="0000EE"/>
          </w:rPr>
          <w:t>August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on October 22, 2024) (for the avoidance of doubt, our Current Report on Form 8-K filed on</w:t>
      </w:r>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 xml:space="preserve">August 8, 2024 </w:t>
        </w:r>
      </w:hyperlink>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includes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furnished pursuant to Items 2.02 and 9.01 is not incorporated by reference herein); and</w:t>
      </w:r>
    </w:p>
    <w:p>
      <w:pPr>
        <w:spacing w:after="0" w:line="175" w:lineRule="exact"/>
        <w:rPr>
          <w:rFonts w:ascii="Times New Roman" w:cs="Times New Roman" w:eastAsia="Times New Roman" w:hAnsi="Times New Roman"/>
          <w:sz w:val="18"/>
          <w:szCs w:val="18"/>
          <w:color w:val="0000EE"/>
        </w:rPr>
      </w:pPr>
    </w:p>
    <w:p>
      <w:pPr>
        <w:jc w:val="both"/>
        <w:ind w:firstLine="656"/>
        <w:spacing w:after="0" w:line="266" w:lineRule="auto"/>
        <w:tabs>
          <w:tab w:leader="none" w:pos="8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3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March 10, 2021 and the Description of Securities contained filed as </w:t>
      </w:r>
      <w:hyperlink r:id="rId33">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2022, including any amendments or reports filed for the purpose of updating such information.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shall be deemed modified, superseded or replaced for purposes of this prospectus supplement to the extent that a statement contained in this prospectus supplement, or in any subsequently filed document that also is deemed to be incorporated by reference in this prospectus supplement, modifies, supersedes or replaces such statement. Any statement so modified, superseded or replaced shall not be deemed, except as so modified, superseded or replaced, to constitute a part of this prospectus supplement.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maintains a website at www.sec.gov, from which you can inspect these documents and other information we have filed electronically with the SEC. You may also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These filings will be available as soon as reasonably practicable after we electronically file such material with, or furnish it to, the SEC. The information contained in, or that can be accessed through, our website is not a part of this prospectus supplement and is not incorporated by reference herein, and the inclusion of our website address in this prospectus supplement is an inactive textual reference only.</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$400,000,000</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any one of the following securities of SoundHound AI, Inc. (“SoundHound AI,” the “Company,” “we,” “us” or “our”), for total gross proceeds of up to $400,000,000:</w:t>
      </w:r>
    </w:p>
    <w:p>
      <w:pPr>
        <w:spacing w:after="0" w:line="162" w:lineRule="exact"/>
        <w:rPr>
          <w:sz w:val="20"/>
          <w:szCs w:val="20"/>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par value $0.0001 per share (the “Class A Shares,” the “Class A Common Stock” or the “Common Stock”);</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foregoing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without a prospectus supplement which includes a description of the method and terms of this offering.</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Global Market of The Nasdaq Stock Market LLC (“Nasdaq”) under the symbol “SOUN.” The last reported sale price of our Class A Common Stock on July 11, 2023 was $3.53 per share. Our listed redeemable warrants are listed on the Nasdaq Global Market under the symbol “SOUNW.”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decide to seek a listing of any preferred stock, purchase contracts, warrants, subscriptions rights, depositary shares, debt securities or units offered by this prospectus, the related prospectus supplement will disclose the exchange or market on which the securities will be listed, if any, or where we have made an application for listing, if any.</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certain risks. See “Risk Factors” beginning on page 5 and the risk factors in our most recent Annual Report on Form 10-K, which is incorporated by reference herein, as well as in any other recently filed quarterly or current reports and, if any, in the relevant prospectus supplement. We urge you to carefully read this prospectus and the accompanying prospectus supplement, together with the documents we incorporate by reference, describing the terms of these securities before investing.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45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6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2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980" w:type="dxa"/>
            <w:vAlign w:val="bottom"/>
            <w:tcBorders>
              <w:bottom w:val="single" w:sz="8" w:color="CCEEFF"/>
            </w:tcBorders>
            <w:gridSpan w:val="5"/>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4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5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720" w:type="dxa"/>
            <w:vAlign w:val="bottom"/>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1640" w:type="dxa"/>
            <w:vAlign w:val="bottom"/>
            <w:tcBorders>
              <w:top w:val="single" w:sz="8" w:color="CCEEFF"/>
            </w:tcBorders>
            <w:gridSpan w:val="3"/>
          </w:tcPr>
          <w:p>
            <w:pPr>
              <w:spacing w:after="0"/>
              <w:rPr>
                <w:sz w:val="15"/>
                <w:szCs w:val="15"/>
                <w:color w:val="auto"/>
              </w:rPr>
            </w:pPr>
          </w:p>
        </w:tc>
        <w:tc>
          <w:tcPr>
            <w:tcW w:w="6720" w:type="dxa"/>
            <w:vAlign w:val="bottom"/>
            <w:tcBorders>
              <w:top w:val="single" w:sz="8" w:color="CCEEFF"/>
            </w:tcBorders>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500" w:type="dxa"/>
            <w:vAlign w:val="bottom"/>
            <w:tcBorders>
              <w:bottom w:val="single" w:sz="8" w:color="CCEEFF"/>
            </w:tcBorders>
            <w:gridSpan w:val="9"/>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Additional Information</w:t>
            </w:r>
          </w:p>
        </w:tc>
        <w:tc>
          <w:tcPr>
            <w:tcW w:w="126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308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1440" w:type="dxa"/>
            <w:vAlign w:val="bottom"/>
            <w:gridSpan w:val="2"/>
          </w:tcPr>
          <w:p>
            <w:pPr>
              <w:spacing w:after="0"/>
              <w:rPr>
                <w:sz w:val="15"/>
                <w:szCs w:val="15"/>
                <w:color w:val="auto"/>
              </w:rPr>
            </w:pP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SEC, utilizing a “shelf” registration process. Under this shelf registration process, we may offer and sell, either individually or in combination, in one or more offerings, any of the securities described in this prospectus, for total gross proceeds of up to $400,000,000. This prospectus provides you with a general description of the securities we may offer. Each time we offer securities under this prospectus, we will provide a prospectus supplement to this prospectus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w:t>
      </w:r>
    </w:p>
    <w:p>
      <w:pPr>
        <w:spacing w:after="0" w:line="192" w:lineRule="exact"/>
        <w:rPr>
          <w:sz w:val="20"/>
          <w:szCs w:val="20"/>
          <w:color w:val="auto"/>
        </w:rPr>
      </w:pPr>
    </w:p>
    <w:p>
      <w:pPr>
        <w:jc w:val="both"/>
        <w:ind w:firstLine="660"/>
        <w:spacing w:after="0" w:line="256" w:lineRule="auto"/>
        <w:rPr>
          <w:sz w:val="20"/>
          <w:szCs w:val="20"/>
          <w:color w:val="auto"/>
        </w:rPr>
      </w:pPr>
      <w:r>
        <w:rPr>
          <w:rFonts w:ascii="Times New Roman" w:cs="Times New Roman" w:eastAsia="Times New Roman" w:hAnsi="Times New Roman"/>
          <w:sz w:val="18"/>
          <w:szCs w:val="18"/>
          <w:color w:val="auto"/>
        </w:rPr>
        <w:t>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Documents by Reference,” before investing in any of the securities being offered. 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180" w:lineRule="exact"/>
        <w:rPr>
          <w:sz w:val="20"/>
          <w:szCs w:val="20"/>
          <w:color w:val="auto"/>
        </w:rPr>
      </w:pPr>
    </w:p>
    <w:p>
      <w:pPr>
        <w:jc w:val="both"/>
        <w:ind w:firstLine="660"/>
        <w:spacing w:after="0" w:line="282" w:lineRule="auto"/>
        <w:rPr>
          <w:sz w:val="20"/>
          <w:szCs w:val="20"/>
          <w:color w:val="auto"/>
        </w:rPr>
      </w:pPr>
      <w:r>
        <w:rPr>
          <w:rFonts w:ascii="Times New Roman" w:cs="Times New Roman" w:eastAsia="Times New Roman" w:hAnsi="Times New Roman"/>
          <w:sz w:val="18"/>
          <w:szCs w:val="18"/>
          <w:color w:val="auto"/>
        </w:rPr>
        <w:t>This prospectus contains, or incorporates by reference, trademarks, tradenames, service marks and service names of SoundHound AI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or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2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business strategy, including launching new product offerings and expanding information and technology capabilities;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14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additional capital, including equity or debt financing, on terms that are acceptable to us, if at all, particularly in light of inflationary pressures and resulting increases in the cost of borrowing;</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 particularly following our recent restructuring efforts;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and the COVID-19 pandemic or any similar public health developments on our business;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Class A Common Stock on the Nasdaq Global Market;</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in particular, the risks discussed below and under the heading “Risk Factors” and those discussed in other documents we file with the SEC. The following discussion should be read in conjunction with the consolidated financial statements for the fiscal years ended December 31, 2022 and 2021 and notes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any prospectus supplement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450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PROSPECTUS SUMMARY</w:t>
      </w:r>
    </w:p>
    <w:p>
      <w:pPr>
        <w:spacing w:after="0" w:line="22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and any amendment or supplement hereto, unless otherwise indicated, “we,” “us,” “our,” the “Company,” or “SoundHound AI” means SoundHound AI, Inc. and its subsidiaries. Unless otherwise indicated, all references in this prospectus to “dollars” or “$” refer to US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Collective AI, Dynamic Interaction and Chat AI breakthrough technologies developed over the past 17 years, our advanced Voice AI platform provides exceptional speed and accuracy and enables humans to interact with products and services like they interact with each other — by speaking naturally.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SoundHound’s technology is live in production and at scale with companies around the globe, including Hyundai, Pandora, Snap, VIZIO, Square, Toast, Oracle, KIA and Stellantis. We have seen significant inflection in customer adoption of our technology, as measured through activity on our platform, which surpassed 1 billion annual queries in 2021 and experienced over 85% growth during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2" w:right="4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450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by enabling them to offer disruptive technologies to their users while maintaining control of their brand and user experience.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57150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6" w:right="439" w:bottom="1440" w:gutter="0" w:footer="0" w:header="0"/>
        </w:sectPr>
      </w:pPr>
    </w:p>
    <w:bookmarkStart w:id="23" w:name="page24"/>
    <w:bookmarkEnd w:id="23"/>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439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6130" cy="4392930"/>
                    </a:xfrm>
                    <a:prstGeom prst="rect">
                      <a:avLst/>
                    </a:prstGeom>
                    <a:noFill/>
                  </pic:spPr>
                </pic:pic>
              </a:graphicData>
            </a:graphic>
          </wp:anchor>
        </w:drawing>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Houndify platform, SoundHound Ai’s Voice AI platform, </w:t>
      </w:r>
      <w:r>
        <w:rPr>
          <w:rFonts w:ascii="Times New Roman" w:cs="Times New Roman" w:eastAsia="Times New Roman" w:hAnsi="Times New Roman"/>
          <w:sz w:val="18"/>
          <w:szCs w:val="18"/>
          <w:color w:val="auto"/>
        </w:rPr>
        <w:t>combines advanced AI with engineering expertise to help brands build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1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Automatic Speech Recognition, </w:t>
      </w:r>
      <w:r>
        <w:rPr>
          <w:rFonts w:ascii="Times New Roman" w:cs="Times New Roman" w:eastAsia="Times New Roman" w:hAnsi="Times New Roman"/>
          <w:sz w:val="18"/>
          <w:szCs w:val="18"/>
          <w:color w:val="auto"/>
        </w:rPr>
        <w:t>our highly optimized, tunable, and scalable ASR engine, supports vocabulary sizes containing millions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Natural Language Understanding (“NLU”)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8"/>
          <w:szCs w:val="18"/>
          <w:color w:val="auto"/>
        </w:rPr>
        <w:t>ur proprietary Speech-to-Meaning technology, tracks speech in real-time and understands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6" w:right="4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4256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6130" cy="4256405"/>
                    </a:xfrm>
                    <a:prstGeom prst="rect">
                      <a:avLst/>
                    </a:prstGeom>
                    <a:noFill/>
                  </pic:spPr>
                </pic:pic>
              </a:graphicData>
            </a:graphic>
          </wp:anchor>
        </w:drawing>
        <w:t xml:space="preserve">Wake Words </w:t>
      </w:r>
      <w:r>
        <w:rPr>
          <w:rFonts w:ascii="Times New Roman" w:cs="Times New Roman" w:eastAsia="Times New Roman" w:hAnsi="Times New Roman"/>
          <w:sz w:val="18"/>
          <w:szCs w:val="18"/>
          <w:color w:val="auto"/>
        </w:rPr>
        <w:t>are the entry point into branded voice experiences, allowing users to invoke the assistant by literally speaking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Custom Domains, </w:t>
      </w:r>
      <w:r>
        <w:rPr>
          <w:rFonts w:ascii="Times New Roman" w:cs="Times New Roman" w:eastAsia="Times New Roman" w:hAnsi="Times New Roman"/>
          <w:sz w:val="18"/>
          <w:szCs w:val="18"/>
          <w:color w:val="auto"/>
        </w:rPr>
        <w:t>a library of over 100 public domains, is available with a free Houndify account. Houndify public domains give developers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Text-to-speech (“TTS”). </w:t>
      </w:r>
      <w:r>
        <w:rPr>
          <w:rFonts w:ascii="Times New Roman" w:cs="Times New Roman" w:eastAsia="Times New Roman" w:hAnsi="Times New Roman"/>
          <w:sz w:val="18"/>
          <w:szCs w:val="18"/>
          <w:color w:val="auto"/>
        </w:rPr>
        <w:t>A high-quality TTS helps companies create a unique voice that differentiates them from the competition. Brands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9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Edge (Embedded) </w:t>
      </w:r>
      <w:r>
        <w:rPr>
          <w:rFonts w:ascii="Times New Roman" w:cs="Times New Roman" w:eastAsia="Times New Roman" w:hAnsi="Times New Roman"/>
          <w:sz w:val="18"/>
          <w:szCs w:val="18"/>
          <w:color w:val="auto"/>
        </w:rPr>
        <w:t>is a fully-embedded voice solution for brands seeking the convenience of a voice user interface without the privacy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connectivity concerns of the internet. Edge includes full access to custom commands and the ability to instantly update commands during development.</w:t>
      </w:r>
    </w:p>
    <w:p>
      <w:pPr>
        <w:spacing w:after="0" w:line="91"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To harness the capabilities of full cloud connectivity with the reliability of embedded voice technology. </w:t>
      </w:r>
      <w:r>
        <w:rPr>
          <w:rFonts w:ascii="Times New Roman" w:cs="Times New Roman" w:eastAsia="Times New Roman" w:hAnsi="Times New Roman"/>
          <w:sz w:val="18"/>
          <w:szCs w:val="18"/>
          <w:i w:val="1"/>
          <w:iCs w:val="1"/>
          <w:color w:val="auto"/>
        </w:rPr>
        <w:t>Houndify Edge Hybrid</w:t>
      </w:r>
      <w:r>
        <w:rPr>
          <w:rFonts w:ascii="Times New Roman" w:cs="Times New Roman" w:eastAsia="Times New Roman" w:hAnsi="Times New Roman"/>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5400 Betsy Ross Drive, Santa Clara, CA 95054, and our telephone number is (408) 441-3200.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this prospectus.</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43"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incorporated by reference into this prospectus and any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in a prospectus supplement, we intend to use the net proceeds from these sales for general corporate purposes, which may include, without limitation, investing in or acquiring companies that are synergistic with or complementary to our business and working capital. The amounts and timing of these expenditures will depend on numerous factors, including the development of our current business initiatives. We have no specific acquisition contemplated at this time. Pending use of the net proceeds, we intend to invest the net proceeds in short-term, interest-bearing, investment-grade securities or in cash or money market funds.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spacing w:after="0" w:line="180" w:lineRule="exact"/>
        <w:rPr>
          <w:sz w:val="20"/>
          <w:szCs w:val="20"/>
          <w:color w:val="auto"/>
        </w:rPr>
      </w:pPr>
    </w:p>
    <w:p>
      <w:pPr>
        <w:ind w:left="1000" w:right="20" w:hanging="344"/>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will attempt to sell as agent, but may position or resell a portion of the block, as principal, in order to facilitate the transaction;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with respect to each series of securities will describe the terms of the offering, including, to the extent applicable:</w:t>
      </w:r>
    </w:p>
    <w:p>
      <w:pPr>
        <w:spacing w:after="0" w:line="162" w:lineRule="exact"/>
        <w:rPr>
          <w:sz w:val="20"/>
          <w:szCs w:val="20"/>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or agents and the amounts of securities underwritten or purchased by each of them, if any;</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or other consideration therefor, and the proceeds to be received by us from the sale;</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requirements;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62" w:lineRule="exact"/>
        <w:rPr>
          <w:sz w:val="20"/>
          <w:szCs w:val="20"/>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 the market” offering within the meaning of Rule 415(a)(4) of the Securities Act of 1933, as amended, or the Securities Act;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and Agents; 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to dealers as principals. The dealer may then resell such securities to the public either at varying prices to be determined by the dealer or at a fixed offering price agreed to with us at the time of resale.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Other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Market-Making; Stabilization and Other Transactions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currently no market for any of the offered securities, other than our Class A common stock and redeemable listed warrants, which are quoted on the Nasdaq Global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Securities Exchange Act of 1934, as amended, or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underwriters or agents that are qualified market makers on the Nasdaq Global Market may engage in passive market making transactions in our Class A Common Stock or redeemable listed warrants on the Nasdaq Global Market in accordance with Regulation M under the Exchange Act, during the business day prior to the pricing of the offering, before the commencement of offers or sales of our Class A Common Stock or redeemable listed warrants.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describes the general terms of our capital stock. The following description is not complete and may not contain all the information you should consider before investing in our capital stock. For a more detailed description of these securities, you should read the applicable provisions of Delaware law and our second amended and restated certificate of incorporation, referred to herein as our charter, and our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directly or through agents, dealers or underwriters designated from time to time, may offer, issue and sell, together or separately, up to $400,000,000 in the aggregate of:</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exchangeable for or convertible into shares of common stock, preferred stock or other securities that may be sold by us pursuant to this prospectus or any combination of the foregoing. The preferred stock may also be exchangeable for and/or convertible into shares of common stock, another series of preferred stock or other securities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2023, there were 194,064,576 shares of the Company’s Class A Common Stock issued and outstanding. In addition, there were 6,967,532 shares of Class A Common Stock issuable upon exercise of outstanding warrants, 19,260,877 shares of Class A Common Stock issuable upon exercise of outstanding stock options, and 11,779,718 shares of Class A Common Stock issuable upon vesting of restricted stock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2023, we have 1,000,000 shares of Series A Preferred Stock designated and 835,011 shares of Series A Preferred Stock outstanding (see below for a description of these securities). While all of our authorized shares of preferred stock are designated as Series A Preferred Stock, if any shares of Series A Preferred Stock are converted, redeemed or reacquired by us, such shares shall be deemed to be retired and cancelled and will resume the status of authorized but unissued shares of preferred stock and will no longer be designated as Series A Preferred Stock. Pursuant to our charter, our undesignated shares of preferred stock are “blank check” preferred stock which means that our board of directors are authorized, without further action by the stockholders, to establish one or more class or series, and fix the relative rights and preferences of the Company’s undesignated preferred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spacing w:after="0" w:line="18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limitations on our ability to declare, set aside or pay any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07" w:gutter="0" w:footer="0" w:header="0"/>
        </w:sectPr>
      </w:pPr>
    </w:p>
    <w:bookmarkStart w:id="32" w:name="page33"/>
    <w:bookmarkEnd w:id="32"/>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preferred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issue shares of preferred stock under this prospectus, after receipt of payment therefor, the shares will be fully paid and non-assessable.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provides that the holders of preferred stock will have the right to vote separately as a class on any proposal involving fundamental changes in the rights of holders of that preferred stock. This right is in addition to any voting rights provided for in the applicable certificate of designation.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6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On or around January 20, 2023 (the “PIPE Closing Date”), SoundHound AI entered into Preferred Stock Purchase Agreements with certain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1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purchase contracts, representing contracts obligating holders to purchase from us, and us to sell to the holders, a specific or varying number of Class A Common Stock, preferred stock, warrants, depositary shares, debt securities, or any combination of the above, at a future date or dates. Alternatively, the purchase contracts may obligate us to purchase from holders, and obligate holders to sell to us, a specific or varying number of Class A Common Stock, preferred stock, warrants, depositary shares, debt securities, or any combination of the above. The price of the securities and other property subject to the purchase contracts may be fixed at the time the purchase contracts are issued or may be determined by reference to a specific formula set forth in the purchase contracts. The purchase contracts may be issued separately or as a part of a unit that consists of (a) a purchase contract and (b) one or more of the other securities that may be sold by us pursuant to this prospectus or any combination of the foregoing, which may secure the holders’ obligations to purchase the securities under the purchase contract. The purchase contracts may require us to make periodic payments to the holders or require the holders to make periodic payments to us. These payments may be unsecured or prefunded and may be paid on a current or on a deferred basis. The purchase contracts may require holders to secure their obligations under the contracts in a manner specified in the applicable prospectus supplement.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purchase contracts and purchase contract agreement, if any. The applicable prospectus supplement will describe the terms of any purchase contracts in respect of which this prospectus is being delivered, including, to the extent applicable,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warrant and warrant agreement, if any. The prospectus supplement relating to any warrants that we may offer will contain the specific terms of the warrants and a description of the material provisions of the applicable warrant agreement, if any. These terms may include the following:</w:t>
      </w:r>
    </w:p>
    <w:p>
      <w:pPr>
        <w:spacing w:after="0" w:line="180"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or other rights for which the warrants are exercisable;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to be issued and the number of warrants issued with each other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or other rights purchasable upon exercise of the warrants may be purchased;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or other rights purchasable upon exercise of the warrants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that may be exercised at any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Exercise of Warrants. Each warrant will entitle the holder of warrants to purchase the amount of securities or other rights,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i w:val="1"/>
          <w:iCs w:val="1"/>
          <w:color w:val="auto"/>
        </w:rPr>
        <w:t>Currently Outstanding Warrants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June 30, 2023, there were 3,457,996 public warrants and 3,509,536 warrants that were issued in private placement transactions outstanding, including 208,000 warrants issued in connection with our Business Combination (as hereinafter defined) (the “private warrants”) and 3,301,536 warrants issued in connection with our Senior Secured Term Loan Credit Agreement with ACP Post Oak Credit II LLC, as Administrative Agent and Collateral Agent for the lenders thereto (the “loan warrants”). The terms of our private warrants and the terms of our public warrants are identical. Each whole warrant entitles the registered holder to purchase one share of Class A Common Stock at a price of $11.50 per share, subject to adjustment as discussed below, at any time commencing 30 days after the completion of our business combination with Archimedes Tech SPAC Partners Co. on April 26, 2022 (the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the Business Combination, warrant holders may, until such time as there is an effective registration statement and during any period when we shall have failed to maintain an effective registration statement, exercise the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public warrants are listed on The Nasdaq Global Market under the trading symbol “SOUNW”. The warrant agent is Continental Stock Transfer &amp; Trust Company.</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warrants have a per share exercise price of $2.59 and may be exercised, including on a cashless basis, by the holder at any time prior to the 10-year anniversary of the issue date. The loan warrants will be automatically cashless exercised immediately prior to a change in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the record date for receiving rights in the rights offering set by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may offer fractional shares of preferred stock, rather than full shares of preferred stock. If we decide to offer fractional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 form of certificate of designation of underlying preferred stock, form of depositary receipts and any other related agreements.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Dividends and Other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distribute all cash dividends or other cash distributions received by it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to the record holders of depositary shares relating to such preferred shares in proportion to the numbers of depositary shares held on the relevant record date.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Redemption of Depositary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we redeem the preferred stock, the depositary will redeem a number of depositary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Voting of Underlying Shares</w:t>
      </w:r>
      <w:r>
        <w:rPr>
          <w:rFonts w:ascii="Times New Roman" w:cs="Times New Roman" w:eastAsia="Times New Roman" w:hAnsi="Times New Roman"/>
          <w:sz w:val="18"/>
          <w:szCs w:val="18"/>
          <w:color w:val="auto"/>
        </w:rPr>
        <w:t>. Upon receipt of notice of any meeting at which the holders of our preferred stock of any series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Withdrawal of Shares</w:t>
      </w:r>
      <w:r>
        <w:rPr>
          <w:rFonts w:ascii="Times New Roman" w:cs="Times New Roman" w:eastAsia="Times New Roman" w:hAnsi="Times New Roman"/>
          <w:sz w:val="18"/>
          <w:szCs w:val="18"/>
          <w:color w:val="auto"/>
        </w:rPr>
        <w:t>. Upon surrender of depositary receipts representing any number of whole shares at the depositary’s office, unless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Amendment and Termination of Depositary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depositary receipt evidencing the depositary shares and any provision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agreement may be terminated by us or the depositary if:</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to us notice of its election to do so. We may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depositary at any time. Any resignation or removal will take effect upon the appointment of a successor depositary and its acceptance of appointment.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any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Each depositary will forward to the holders of the applicable depositary shares all notices, reports and communications from us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such depositary and which we are required to furnish the holders of the preferred stock represented by such depositary shares.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depositary agreement may contain provisions that limit our liability and the liability of the depositary to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The Indenture has been filed as an exhibit to the registration statement of which this prospectus forms a part. We may issue debt securities and incur additional indebtedness other than through the offering of debt securities pursuant to this prospectus. It is likely that convertible debt securities will not be issued under an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These terms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324" w:right="20"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attachment to the debt securities of warrants, options or other rights to purchase or sell our securities;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secured by any collateral and, if so, a general description of the collateral and the terms and provisions of such collateral security, pledge or other agreements;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41" w:name="page42"/>
    <w:bookmarkEnd w:id="41"/>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securities or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Registered Global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will be passed upon for us by Ellenoff Grossman &amp; Schole LLP, New York, New York. If legal matters in connection with offerings made by this prospectus are passed on by counsel for the underwriters, dealers or agents, if any, that counsel will be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SoundHound, Inc. as of and for the years ended December 31, 2022 and 2021,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annual, quarter and periodic reports, proxy statements and other information with the SEC using the its EDGAR system. The SEC maintains a web site that contains reports, proxy and information statements and other information regarding registrants that file electronically with the SEC. The address of such site is http//www.sec.gov.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87"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28, 2023;</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2023, filed with the SEC on May 12, 2023;</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3">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30, 2023; and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4">
        <w:r>
          <w:rPr>
            <w:rFonts w:ascii="Times New Roman" w:cs="Times New Roman" w:eastAsia="Times New Roman" w:hAnsi="Times New Roman"/>
            <w:sz w:val="18"/>
            <w:szCs w:val="18"/>
            <w:u w:val="single" w:color="auto"/>
            <w:color w:val="0000EE"/>
          </w:rPr>
          <w:t>January 11, 2023</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January 24, 2023</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 xml:space="preserve">April 17, 2023 </w:t>
        </w:r>
      </w:hyperlink>
      <w:hyperlink r:id="rId77">
        <w:r>
          <w:rPr>
            <w:rFonts w:ascii="Times New Roman" w:cs="Times New Roman" w:eastAsia="Times New Roman" w:hAnsi="Times New Roman"/>
            <w:sz w:val="18"/>
            <w:szCs w:val="18"/>
            <w:u w:val="single" w:color="auto"/>
            <w:color w:val="auto"/>
          </w:rPr>
          <w:t xml:space="preserve">May </w:t>
        </w:r>
        <w:r>
          <w:rPr>
            <w:rFonts w:ascii="Times New Roman" w:cs="Times New Roman" w:eastAsia="Times New Roman" w:hAnsi="Times New Roman"/>
            <w:sz w:val="18"/>
            <w:szCs w:val="18"/>
            <w:u w:val="single" w:color="auto"/>
            <w:color w:val="0000EE"/>
          </w:rPr>
          <w:t>5, 2023</w:t>
        </w:r>
      </w:hyperlink>
      <w:r>
        <w:rPr>
          <w:rFonts w:ascii="Times New Roman" w:cs="Times New Roman" w:eastAsia="Times New Roman" w:hAnsi="Times New Roman"/>
          <w:sz w:val="18"/>
          <w:szCs w:val="18"/>
          <w:color w:val="auto"/>
        </w:rPr>
        <w:t xml:space="preserve">, and </w:t>
      </w:r>
      <w:hyperlink r:id="rId78">
        <w:r>
          <w:rPr>
            <w:rFonts w:ascii="Times New Roman" w:cs="Times New Roman" w:eastAsia="Times New Roman" w:hAnsi="Times New Roman"/>
            <w:sz w:val="18"/>
            <w:szCs w:val="18"/>
            <w:u w:val="single" w:color="auto"/>
            <w:color w:val="0000EE"/>
          </w:rPr>
          <w:t>July 5,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However, the information in our website is not a part of this prospectus and is not incorporated by reference.</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$120,000,000 of Shares of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40" w:type="dxa"/>
            <w:vAlign w:val="bottom"/>
          </w:tcPr>
          <w:p>
            <w:pPr>
              <w:ind w:left="242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3400" w:type="dxa"/>
            <w:vAlign w:val="bottom"/>
          </w:tcPr>
          <w:p>
            <w:pPr>
              <w:spacing w:after="0"/>
              <w:rPr>
                <w:sz w:val="24"/>
                <w:szCs w:val="24"/>
                <w:color w:val="auto"/>
              </w:rPr>
            </w:pPr>
          </w:p>
        </w:tc>
        <w:tc>
          <w:tcPr>
            <w:tcW w:w="400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Piper Sandler</w:t>
            </w:r>
          </w:p>
        </w:tc>
      </w:tr>
      <w:tr>
        <w:trPr>
          <w:trHeight w:val="459"/>
        </w:trPr>
        <w:tc>
          <w:tcPr>
            <w:tcW w:w="3840" w:type="dxa"/>
            <w:vAlign w:val="bottom"/>
          </w:tcPr>
          <w:p>
            <w:pPr>
              <w:ind w:left="900"/>
              <w:spacing w:after="0"/>
              <w:rPr>
                <w:sz w:val="20"/>
                <w:szCs w:val="20"/>
                <w:color w:val="auto"/>
              </w:rPr>
            </w:pPr>
            <w:r>
              <w:rPr>
                <w:rFonts w:ascii="Times New Roman" w:cs="Times New Roman" w:eastAsia="Times New Roman" w:hAnsi="Times New Roman"/>
                <w:sz w:val="22"/>
                <w:szCs w:val="22"/>
                <w:b w:val="1"/>
                <w:bCs w:val="1"/>
                <w:color w:val="auto"/>
              </w:rPr>
              <w:t>D.A. Davidson &amp; Co.</w:t>
            </w:r>
          </w:p>
        </w:tc>
        <w:tc>
          <w:tcPr>
            <w:tcW w:w="34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H.C. Wainwright &amp; Co.</w:t>
            </w:r>
          </w:p>
        </w:tc>
        <w:tc>
          <w:tcPr>
            <w:tcW w:w="40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Joseph Gunnar &amp; Co. LLC</w:t>
            </w:r>
          </w:p>
        </w:tc>
      </w:tr>
      <w:tr>
        <w:trPr>
          <w:trHeight w:val="852"/>
        </w:trPr>
        <w:tc>
          <w:tcPr>
            <w:tcW w:w="3840" w:type="dxa"/>
            <w:vAlign w:val="bottom"/>
          </w:tcPr>
          <w:p>
            <w:pPr>
              <w:spacing w:after="0"/>
              <w:rPr>
                <w:sz w:val="24"/>
                <w:szCs w:val="24"/>
                <w:color w:val="auto"/>
              </w:rPr>
            </w:pPr>
          </w:p>
        </w:tc>
        <w:tc>
          <w:tcPr>
            <w:tcW w:w="34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November 8, 2024</w:t>
            </w:r>
          </w:p>
        </w:tc>
        <w:tc>
          <w:tcPr>
            <w:tcW w:w="4000" w:type="dxa"/>
            <w:vAlign w:val="bottom"/>
          </w:tcPr>
          <w:p>
            <w:pPr>
              <w:spacing w:after="0"/>
              <w:rPr>
                <w:sz w:val="24"/>
                <w:szCs w:val="24"/>
                <w:color w:val="auto"/>
              </w:rPr>
            </w:pPr>
          </w:p>
        </w:tc>
      </w:tr>
      <w:tr>
        <w:trPr>
          <w:trHeight w:val="871"/>
        </w:trPr>
        <w:tc>
          <w:tcPr>
            <w:tcW w:w="38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9" Type="http://schemas.openxmlformats.org/officeDocument/2006/relationships/image" Target="media/image53.png"/><Relationship Id="rId23" Type="http://schemas.openxmlformats.org/officeDocument/2006/relationships/hyperlink" Target="http://www.sec.gov/Archives/edgar/data/1840856/000184085624000013/soun-20231231.htm" TargetMode="External"/><Relationship Id="rId24" Type="http://schemas.openxmlformats.org/officeDocument/2006/relationships/hyperlink" Target="http://www.sec.gov/ix?doc=/Archives/edgar/data/1840856/000184085624000028/soun-20240630.htm" TargetMode="External"/><Relationship Id="rId25" Type="http://schemas.openxmlformats.org/officeDocument/2006/relationships/hyperlink" Target="http://www.sec.gov/Archives/edgar/data/1840856/000121390024000804/ea190917-8k_soundhoun.htm" TargetMode="External"/><Relationship Id="rId26" Type="http://schemas.openxmlformats.org/officeDocument/2006/relationships/hyperlink" Target="http://www.sec.gov/Archives/edgar/data/1840856/000121390024031710/ea0203479-8k_sound.htm" TargetMode="External"/><Relationship Id="rId27" Type="http://schemas.openxmlformats.org/officeDocument/2006/relationships/hyperlink" Target="http://www.sec.gov/Archives/edgar/data/1840856/000121390024050981/ea0207550-8k_sound.htm" TargetMode="External"/><Relationship Id="rId28" Type="http://schemas.openxmlformats.org/officeDocument/2006/relationships/hyperlink" Target="http://www.sec.gov/Archives/edgar/data/1840856/000121390024052879/ea0207907-8k_sound.htm" TargetMode="External"/><Relationship Id="rId29" Type="http://schemas.openxmlformats.org/officeDocument/2006/relationships/hyperlink" Target="http://www.sec.gov/Archives/edgar/data/1840856/000121390024056370/ea0208602-8k_sound.htm" TargetMode="External"/><Relationship Id="rId30" Type="http://schemas.openxmlformats.org/officeDocument/2006/relationships/hyperlink" Target="http://www.sec.gov/ix?doc=/Archives/edgar/data/1840856/000184085624000026/soun-20240808.htm" TargetMode="External"/><Relationship Id="rId31" Type="http://schemas.openxmlformats.org/officeDocument/2006/relationships/hyperlink" Target="http://www.sec.gov/ix?doc=/Archives/edgar/data/1840856/000121390024066351/ea0210680-8k_sound.htm" TargetMode="External"/><Relationship Id="rId32" Type="http://schemas.openxmlformats.org/officeDocument/2006/relationships/hyperlink" Target="http://www.sec.gov/Archives/edgar/data/1840856/000121390021014493/ea137333-8a12b_archimedes.htm" TargetMode="External"/><Relationship Id="rId33" Type="http://schemas.openxmlformats.org/officeDocument/2006/relationships/hyperlink" Target="http://www.sec.gov/Archives/edgar/data/1840856/000184085623000019/soun-20221231x10kxexx45.htm" TargetMode="External"/><Relationship Id="rId71" Type="http://schemas.openxmlformats.org/officeDocument/2006/relationships/hyperlink" Target="http://www.sec.gov/Archives/edgar/data/1840856/000184085623000019/soun-20221231.htm" TargetMode="External"/><Relationship Id="rId72" Type="http://schemas.openxmlformats.org/officeDocument/2006/relationships/hyperlink" Target="http://www.sec.gov/Archives/edgar/data/1840856/000184085623000031/soun-20230331.htm" TargetMode="External"/><Relationship Id="rId73" Type="http://schemas.openxmlformats.org/officeDocument/2006/relationships/hyperlink" Target="http://www.sec.gov/Archives/edgar/data/1840856/000121390023044031/def14a0523_soundhound.htm" TargetMode="External"/><Relationship Id="rId74" Type="http://schemas.openxmlformats.org/officeDocument/2006/relationships/hyperlink" Target="http://www.sec.gov/Archives/edgar/data/1840856/000184085623000004/soun-20230105.htm" TargetMode="External"/><Relationship Id="rId75" Type="http://schemas.openxmlformats.org/officeDocument/2006/relationships/hyperlink" Target="http://www.sec.gov/Archives/edgar/data/1840856/000184085623000008/soun-20230120.htm" TargetMode="External"/><Relationship Id="rId76" Type="http://schemas.openxmlformats.org/officeDocument/2006/relationships/hyperlink" Target="http://www.sec.gov/Archives/edgar/data/1840856/000121390023030044/ea176992-8k_soundhound.htm" TargetMode="External"/><Relationship Id="rId77" Type="http://schemas.openxmlformats.org/officeDocument/2006/relationships/hyperlink" Target="http://www.sec.gov/Archives/edgar/data/1840856/000121390023036919/ea178069-8k_soundhound.htm" TargetMode="External"/><Relationship Id="rId78" Type="http://schemas.openxmlformats.org/officeDocument/2006/relationships/hyperlink" Target="http://www.sec.gov/Archives/edgar/data/1840856/000121390023054855/ea181375-8k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2024-11-08T16:42:55Z</dcterms:created>
  <dcterms:modified xsi:type="dcterms:W3CDTF">2024-11-08T16:42:55Z</dcterms:modified>
</cp:coreProperties>
</file>