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691-8k_sound.htm"/>
      <w:bookmarkStart w:id="1" w:name="ksea03046918k_soun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28" w:type="dxa"/>
          <w:right w:w="0" w:type="dxa"/>
        </w:tblCellMar>
      </w:tblPr>
      <w:tblGrid>
        <w:gridCol w:w="2660"/>
        <w:gridCol w:w="60"/>
        <w:gridCol w:w="1145"/>
        <w:gridCol w:w="60"/>
        <w:gridCol w:w="1565"/>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04"/>
            <w:bookmarkEnd w:id="6"/>
            <w:r>
              <w:rPr>
                <w:rFonts w:ascii="Times New Roman;Times;Serif" w:hAnsi="Times New Roman;Times;Serif"/>
                <w:b/>
                <w:i w:val="false"/>
                <w:caps w:val="false"/>
                <w:smallCaps w:val="false"/>
                <w:sz w:val="20"/>
              </w:rPr>
              <w:t>1-40193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85-1286799</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5400 Betsy Ross Drive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Santa Clara, </w:t>
            </w:r>
            <w:bookmarkStart w:id="10" w:name="xdx_900_edei--EntityAddressStateOrProvin"/>
            <w:bookmarkEnd w:id="10"/>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AddressPostalZipCode"/>
            <w:bookmarkEnd w:id="11"/>
            <w:r>
              <w:rPr>
                <w:rFonts w:ascii="Times New Roman;Times;Serif" w:hAnsi="Times New Roman;Times;Serif"/>
                <w:b/>
                <w:i w:val="false"/>
                <w:caps w:val="false"/>
                <w:smallCaps w:val="false"/>
                <w:sz w:val="20"/>
              </w:rPr>
              <w:t>95054</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904__20"/>
      <w:bookmarkEnd w:id="12"/>
      <w:r>
        <w:rPr>
          <w:rFonts w:ascii="Times New Roman;Times;Serif" w:hAnsi="Times New Roman;Times;Serif"/>
          <w:b/>
          <w:i w:val="false"/>
          <w:caps w:val="false"/>
          <w:smallCaps w:val="false"/>
          <w:sz w:val="20"/>
        </w:rPr>
        <w:t xml:space="preserve">408) </w:t>
      </w:r>
      <w:bookmarkStart w:id="13" w:name="xdx_901_edei--LocalPhoneNumber_c20260904"/>
      <w:bookmarkEnd w:id="13"/>
      <w:r>
        <w:rPr>
          <w:rFonts w:ascii="Times New Roman;Times;Serif" w:hAnsi="Times New Roman;Times;Serif"/>
          <w:b/>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8"/>
        <w:gridCol w:w="60"/>
        <w:gridCol w:w="814"/>
        <w:gridCol w:w="60"/>
        <w:gridCol w:w="2013"/>
      </w:tblGrid>
      <w:tr>
        <w:trPr/>
        <w:tc>
          <w:tcPr>
            <w:tcW w:w="725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725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904"/>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904__2"/>
            <w:bookmarkEnd w:id="19"/>
            <w:r>
              <w:rPr>
                <w:rFonts w:ascii="Times New Roman;Times;Serif" w:hAnsi="Times New Roman;Times;Serif"/>
                <w:b w:val="false"/>
                <w:i w:val="false"/>
                <w:caps w:val="false"/>
                <w:smallCaps w:val="false"/>
                <w:sz w:val="20"/>
              </w:rPr>
              <w:t>SOUN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6"/>
            <w:bookmarkEnd w:id="20"/>
            <w:r>
              <w:rPr>
                <w:rFonts w:ascii="Times New Roman;Times;Serif" w:hAnsi="Times New Roman;Times;Serif"/>
                <w:b w:val="false"/>
                <w:i w:val="false"/>
                <w:caps w:val="false"/>
                <w:smallCaps w:val="false"/>
                <w:sz w:val="20"/>
              </w:rPr>
              <w:t>Nasdaq Stock Market LLC</w:t>
            </w:r>
          </w:p>
        </w:tc>
      </w:tr>
      <w:tr>
        <w:trPr/>
        <w:tc>
          <w:tcPr>
            <w:tcW w:w="725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12bTitle_c20260904"/>
            <w:bookmarkEnd w:id="21"/>
            <w:r>
              <w:rPr>
                <w:rFonts w:ascii="Times New Roman;Times;Serif" w:hAnsi="Times New Roman;Times;Serif"/>
                <w:b w:val="false"/>
                <w:i w:val="false"/>
                <w:caps w:val="false"/>
                <w:smallCaps w:val="false"/>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TradingSymbol_c20260904__2"/>
            <w:bookmarkEnd w:id="22"/>
            <w:r>
              <w:rPr>
                <w:rFonts w:ascii="Times New Roman;Times;Serif" w:hAnsi="Times New Roman;Times;Serif"/>
                <w:b w:val="false"/>
                <w:i w:val="false"/>
                <w:caps w:val="false"/>
                <w:smallCaps w:val="false"/>
                <w:sz w:val="20"/>
              </w:rPr>
              <w:t>SOUNW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8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pursuant to the Amended and Restated Merger Agreement, dated as of July 2,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SoundHound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Lightspeed Merger Sub II Inc., a Delaware corporation and an indirect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Merger Sub I merged with and into LivePerson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LivePerson surviving the First Merger as an indirect wholly owned subsidiary of the Company. Immediately thereafter, Merger Sub II merged with and into LivePerson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LivePerson surviving the Second Merger as an indirect wholly owned subsidiary of the Company. Each of the Mergers became effective at the time of the filing of the respective certificate of merger with the Secretary of State of the State of Delaware on the Closing Date (the “</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as applicable). All defined terms used in Current Report on Form 8-K that are not otherwise defined herein have the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entered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with the holders of First Lien Convertible Senior Notes due 2029 (the “</w:t>
      </w:r>
      <w:r>
        <w:rPr>
          <w:rFonts w:ascii="Times New Roman;Times;Serif" w:hAnsi="Times New Roman;Times;Serif"/>
          <w:b w:val="false"/>
          <w:i w:val="false"/>
          <w:caps w:val="false"/>
          <w:smallCaps w:val="false"/>
          <w:sz w:val="20"/>
          <w:u w:val="single"/>
        </w:rPr>
        <w:t>First Lien Secured Notes</w:t>
      </w:r>
      <w:r>
        <w:rPr>
          <w:rFonts w:ascii="Times New Roman;Times;Serif" w:hAnsi="Times New Roman;Times;Serif"/>
          <w:b w:val="false"/>
          <w:i w:val="false"/>
          <w:caps w:val="false"/>
          <w:smallCaps w:val="false"/>
          <w:sz w:val="20"/>
        </w:rPr>
        <w:t>”) and 10.0% Second Lien Senior Subordinated Secured Notes (the “</w:t>
      </w:r>
      <w:r>
        <w:rPr>
          <w:rFonts w:ascii="Times New Roman;Times;Serif" w:hAnsi="Times New Roman;Times;Serif"/>
          <w:b w:val="false"/>
          <w:i w:val="false"/>
          <w:caps w:val="false"/>
          <w:smallCaps w:val="false"/>
          <w:sz w:val="20"/>
          <w:u w:val="single"/>
        </w:rPr>
        <w:t>Second Lien Secured Notes</w:t>
      </w:r>
      <w:r>
        <w:rPr>
          <w:rFonts w:ascii="Times New Roman;Times;Serif" w:hAnsi="Times New Roman;Times;Serif"/>
          <w:b w:val="false"/>
          <w:i w:val="false"/>
          <w:caps w:val="false"/>
          <w:smallCaps w:val="false"/>
          <w:sz w:val="20"/>
        </w:rPr>
        <w:t>” and, together with the First Lien Secured Notes, the “</w:t>
      </w:r>
      <w:r>
        <w:rPr>
          <w:rFonts w:ascii="Times New Roman;Times;Serif" w:hAnsi="Times New Roman;Times;Serif"/>
          <w:b w:val="false"/>
          <w:i w:val="false"/>
          <w:caps w:val="false"/>
          <w:smallCaps w:val="false"/>
          <w:sz w:val="20"/>
          <w:u w:val="single"/>
        </w:rPr>
        <w:t>Secured Notes,</w:t>
      </w:r>
      <w:r>
        <w:rPr>
          <w:rFonts w:ascii="Times New Roman;Times;Serif" w:hAnsi="Times New Roman;Times;Serif"/>
          <w:b w:val="false"/>
          <w:i w:val="false"/>
          <w:caps w:val="false"/>
          <w:smallCaps w:val="false"/>
          <w:sz w:val="20"/>
        </w:rPr>
        <w:t>” and the holders of such Secured Notes, the “</w:t>
      </w:r>
      <w:r>
        <w:rPr>
          <w:rFonts w:ascii="Times New Roman;Times;Serif" w:hAnsi="Times New Roman;Times;Serif"/>
          <w:b w:val="false"/>
          <w:i w:val="false"/>
          <w:caps w:val="false"/>
          <w:smallCaps w:val="false"/>
          <w:sz w:val="20"/>
          <w:u w:val="single"/>
        </w:rPr>
        <w:t>Secured Holders</w:t>
      </w:r>
      <w:r>
        <w:rPr>
          <w:rFonts w:ascii="Times New Roman;Times;Serif" w:hAnsi="Times New Roman;Times;Serif"/>
          <w:b w:val="false"/>
          <w:i w:val="false"/>
          <w:caps w:val="false"/>
          <w:smallCaps w:val="false"/>
          <w:sz w:val="20"/>
        </w:rPr>
        <w:t>”) of LivePerson providing for certain resale shelf registration rights with respect to the shares of Class A Common Stock, par value $0.0001 per share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issuable pursuant to the Notes Restructuring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requires the Company to file a registration statement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providing for the resale of all or part of the Company Common Stock received by the Secured Holders pursuant to the Notes Restructuring Agreement, on the date of the Registration Rights Agreement, subject to certain permissible delays, and to use reasonable best efforts to cause such registration statement to be declared effective as soon as practicable, and thereafter to keep such registration statement effective for the periods specified therein. The Registration Rights Agreement also contains customary indemnity, exculpation and contribution obligations by the Company and the other parties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Registration Rights Agreement does not purport to be complete and is subject to and qualified in its entirety by reference to the full text of the Registration Rights Agreement, a copy of which is filed as Exhibit 10.2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First Merger Effective Time, each share of LivePerson’s common stock, par value $0.001 (“</w:t>
            </w:r>
            <w:r>
              <w:rPr>
                <w:rFonts w:ascii="Times New Roman;Times;Serif" w:hAnsi="Times New Roman;Times;Serif"/>
                <w:b w:val="false"/>
                <w:i w:val="false"/>
                <w:caps w:val="false"/>
                <w:smallCaps w:val="false"/>
                <w:sz w:val="20"/>
                <w:u w:val="single"/>
              </w:rPr>
              <w:t>LivePerson Common Stock</w:t>
            </w:r>
            <w:r>
              <w:rPr>
                <w:rFonts w:ascii="Times New Roman;Times;Serif" w:hAnsi="Times New Roman;Times;Serif"/>
                <w:b w:val="false"/>
                <w:i w:val="false"/>
                <w:caps w:val="false"/>
                <w:smallCaps w:val="false"/>
                <w:sz w:val="20"/>
              </w:rPr>
              <w:t>”) issued and outstanding immediately prior to the First Merger Effective Time (other than certain excluded shares, including shares of LivePerson Common Stock that are held through the Tel-Aviv Stock Exchange Clearing House Ltd. (“</w:t>
            </w:r>
            <w:r>
              <w:rPr>
                <w:rFonts w:ascii="Times New Roman;Times;Serif" w:hAnsi="Times New Roman;Times;Serif"/>
                <w:b w:val="false"/>
                <w:i w:val="false"/>
                <w:caps w:val="false"/>
                <w:smallCaps w:val="false"/>
                <w:sz w:val="20"/>
                <w:u w:val="single"/>
              </w:rPr>
              <w:t>TASE Shares</w:t>
            </w:r>
            <w:r>
              <w:rPr>
                <w:rFonts w:ascii="Times New Roman;Times;Serif" w:hAnsi="Times New Roman;Times;Serif"/>
                <w:b w:val="false"/>
                <w:i w:val="false"/>
                <w:caps w:val="false"/>
                <w:smallCaps w:val="false"/>
                <w:sz w:val="20"/>
              </w:rPr>
              <w:t>”)) automatically converted into the right to receive 0.4673 shares of Company Common Stock (the “</w:t>
            </w:r>
            <w:r>
              <w:rPr>
                <w:rFonts w:ascii="Times New Roman;Times;Serif" w:hAnsi="Times New Roman;Times;Serif"/>
                <w:b w:val="false"/>
                <w:i w:val="false"/>
                <w:caps w:val="false"/>
                <w:smallCaps w:val="false"/>
                <w:sz w:val="20"/>
                <w:u w:val="single"/>
              </w:rPr>
              <w:t>Per Share Merger Consideration</w:t>
            </w:r>
            <w:r>
              <w:rPr>
                <w:rFonts w:ascii="Times New Roman;Times;Serif" w:hAnsi="Times New Roman;Times;Serif"/>
                <w:b w:val="false"/>
                <w:i w:val="false"/>
                <w:caps w:val="false"/>
                <w:smallCaps w:val="false"/>
                <w:sz w:val="20"/>
              </w:rPr>
              <w:t>”) in accordance with the previously disclosed terms of the Merger Agreement;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Second Merger Effective Time, each share of LivePerson’s Common Stock that was a TASE Share that was issued and outstanding immediately prior to the Second Merger Effective Time automatically converted into the right to receive $3.31 in cash in accordance with the previously disclosed terms of the Merger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at the First Merger Effective Time, (i) each option to purchase shares of LivePerson Common Stock was cancelled for no consideration; (ii) restricted stock units with respect to shares of LivePerson Common Stock (the “</w:t>
      </w:r>
      <w:r>
        <w:rPr>
          <w:rFonts w:ascii="Times New Roman;Times;Serif" w:hAnsi="Times New Roman;Times;Serif"/>
          <w:b w:val="false"/>
          <w:i w:val="false"/>
          <w:caps w:val="false"/>
          <w:smallCaps w:val="false"/>
          <w:sz w:val="20"/>
          <w:u w:val="single"/>
        </w:rPr>
        <w:t>LivePerson RSUs</w:t>
      </w:r>
      <w:r>
        <w:rPr>
          <w:rFonts w:ascii="Times New Roman;Times;Serif" w:hAnsi="Times New Roman;Times;Serif"/>
          <w:b w:val="false"/>
          <w:i w:val="false"/>
          <w:caps w:val="false"/>
          <w:smallCaps w:val="false"/>
          <w:sz w:val="20"/>
        </w:rPr>
        <w:t>”) held by non-employee directors of LivePerson and each LivePerson RSU that was vested but not yet settled became entitled to receive the Per Share Merger Consideration in respect of each LivePerson RSU (or otherwise the cash value of such Per Share Merger Consideration, if applicable), less applicable tax withholdings; (iii) all other LivePerson RSUs were assumed by the Company and converted into corresponding awards denominated in shares of the Company Common Stock, and (iv) all warrants to purchase shares of LivePerson Common Stock were cancelled for no consideration, in each case, in accordance with the previously disclosed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the Company Common Stock to the former stockholders of LivePerson was registered under the Securities Act pursuant to a registration statement on Form S-4 (File No. 333-296284), as amended, filed by the Company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declared effective on July 9,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proxy statement/prospectus included in the Registration Statement contains additional information about the Mergers, the Merger Agreement and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Introductory Note of this Current Report on Form 8-K is incorporated by reference into this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Mergers and the Merger Agreement does not purport to be complete and is qualified in its entirety by reference to the full text of the Merger Agreement, which was filed with the SEC as Exhibit 2.1 to the Company’s Current Report on Form 8-K filed on July 2,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and Item 8.01 of this Current Report on Form 8-K is incorporated by reference into this Item 3.02. The shares of Company Common Stock issued pursuant to the Notes Restructuring Agreement were issued in reliance upon an exemption from registration pursuant to Section 4(a)(2) of the Securities Act on the basis that the transaction did not involve a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consummation of the Mergers, the Board of Directors of the Company appointed John Collins as Chief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and other information regarding Mr. Collins required by Item 5.02(c) of Form 8-K is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Collins, age 43, served as Chief Financial Officer of LivePerson since February 2020 and Chief Operating Officer of LivePerson since January 2024, and Interim Chief Executive Officer of LivePerson from August 2023 to January 2024. Prior to joining LivePerson in September 2019 to lead the development of automations and machine learning to support strategic decision making and predictive analytics as SVP of Quantitative Strategy, Mr. Collins co-founded Thasos in 2013, a New York City-based predictive intelligence company powering large-scale equity trading platforms. Mr. Collins earned his J.D. from Chicago-Kent College of Law at Illinois Institute of Technology, his M.B.A. from the Massachusetts Institute of Technology, and his B.S. from the University of Central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 appointment, the Company entered into an Employment Agreement with Mr. Collins (the “CFO Employment Agreement”). Under the CFO Employment Agreement, Mr. Collins will receive an annual base salary of $465,000 and will also be eligible to receive a discretionary annual bonus with a target bonus equal to 65% of his annual base salary. In addition, in connection with his commencement of employment, Mr. Collins will be granted a signing bonus of $150,000 and sign-on equity awards, with approximately 63% granted in the form of time-based restricted stock units that will vest over a period of four years and the remaining 37% granted in the form of performance stock units. Mr. Collins will also be eligible for future equity awards at the discretion of the board of directors or the compensation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Collins and any other persons pursuant to which he was selected to be an officer of the Company. There are also no family relationships between Mr. Collins and any director or executive officer of the Company and he has no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Company issued a press release announcing the completion of the Mergers and the Notes Restructuring Transactions. A copy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furnished pursuant to Item 7.01, including Exhibit 99.1 attached hereto, shall not be deemed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It may only be incorporated by reference in another filing under the Exchange Act or the Securities Act, if such subsequent filing specifically references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Mergers, on the Closing Date, the Company, LivePerson and each of the Secured Holders consummated the transactions contemplated by the Notes Restructuring Agreement, dated as of April 21, 2026, by and among the Company, LivePerson and the Secured Holders (the “</w:t>
      </w:r>
      <w:r>
        <w:rPr>
          <w:rFonts w:ascii="Times New Roman;Times;Serif" w:hAnsi="Times New Roman;Times;Serif"/>
          <w:b w:val="false"/>
          <w:i w:val="false"/>
          <w:caps w:val="false"/>
          <w:smallCaps w:val="false"/>
          <w:sz w:val="20"/>
          <w:u w:val="single"/>
        </w:rPr>
        <w:t>Notes Restructuring Agreement</w:t>
      </w:r>
      <w:r>
        <w:rPr>
          <w:rFonts w:ascii="Times New Roman;Times;Serif" w:hAnsi="Times New Roman;Times;Serif"/>
          <w:b w:val="false"/>
          <w:i w:val="false"/>
          <w:caps w:val="false"/>
          <w:smallCaps w:val="false"/>
          <w:sz w:val="20"/>
        </w:rPr>
        <w:t>”), pursuant to which, and on the terms and subject to the conditions thereof, the Secured Holders released and deemed satisfied the Secured Notes for the consideration contemplated thereby and further described below (the transactions contemplated by the Notes Restructuring Agreement, “</w:t>
      </w:r>
      <w:r>
        <w:rPr>
          <w:rFonts w:ascii="Times New Roman;Times;Serif" w:hAnsi="Times New Roman;Times;Serif"/>
          <w:b w:val="false"/>
          <w:i w:val="false"/>
          <w:caps w:val="false"/>
          <w:smallCaps w:val="false"/>
          <w:sz w:val="20"/>
          <w:u w:val="single"/>
        </w:rPr>
        <w:t>Notes Restructuring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Notes Restructuring Agreement, (a) the holder of First Lien Secured Notes accepted, in full and complete satisfaction of all obligations of LivePerson to such holder under the First Lien Secured Notes, 25,142,335 shares of Company Common Stock and an aggregate amount of cash equal to $2,499,450 in accordance with the previously disclosed terms of the Notes Restructuring Agreement and (b) the holders of the Second Lien Secured Notes accepted, in full and complete satisfaction of all obligations of LivePerson to such holders under the Second Lien Secured Notes, an aggregate amount of 11,752,504 shares of Company Common Stock and an aggregate amount of cash equal to $3,348,550, which amounts were allocated among the holders of the Second Lien Secured Notes in accordance with the Notes Restructuring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Notes Restructuring Transactions and the Notes Restructuring Agreement in this Item 8.01 do not purport to be complete and are qualified in their entirety by reference to the Notes Restructuring Agreement, a copy of which was filed as Exhibit 10.1 to the Company’s Current Report on Form 8-K, filed with the Securities and Exchange Commission on April 21,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3"/>
        <w:gridCol w:w="60"/>
        <w:gridCol w:w="9372"/>
      </w:tblGrid>
      <w:tr>
        <w:trPr/>
        <w:tc>
          <w:tcPr>
            <w:tcW w:w="773"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2"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Amended and Restated Merger Agreement, dated as of July 2, 2026, by and among SoundHound AI, Inc., Lightspeed Merger Sub Inc., Lightspeed Merger Sub II Inc., and LivePerson, Inc. (incorporated by reference to Exhibit 2.1 the Current Report on Form 8-K filed by the Company on July 2, 2026).</w:t>
              </w:r>
            </w:hyperlink>
          </w:p>
        </w:tc>
      </w:tr>
      <w:tr>
        <w:trPr/>
        <w:tc>
          <w:tcPr>
            <w:tcW w:w="7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2" w:type="dxa"/>
            <w:tcBorders/>
            <w:shd w:fill="FFFF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Notes Restructuring Agreement, dated as of April 21, 2026, by and among SoundHound AI, Inc., LivePerson, Inc. and each holder of LivePerson’s Second Lien Senior Subordinated Secured Notes due 2029 (incorporated by reference to Exhibit 10.1 the Current Report on Form 8-K filed by the Company on April 21, 2026).</w:t>
              </w:r>
            </w:hyperlink>
          </w:p>
        </w:tc>
      </w:tr>
      <w:tr>
        <w:trPr/>
        <w:tc>
          <w:tcPr>
            <w:tcW w:w="7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left"/>
              <w:rPr/>
            </w:pPr>
            <w:hyperlink w:anchor="ea030469101ex10-2.htm">
              <w:r>
                <w:rPr>
                  <w:rStyle w:val="InternetLink"/>
                  <w:rFonts w:ascii="Times New Roman;Times;Serif" w:hAnsi="Times New Roman;Times;Serif"/>
                  <w:b w:val="false"/>
                  <w:i w:val="false"/>
                  <w:caps w:val="false"/>
                  <w:smallCaps w:val="false"/>
                  <w:sz w:val="20"/>
                </w:rPr>
                <w:t>Registration Rights Agreement, dated September 2, 2026, by and among SoundHound AI, Inc. and each holder of LivePerson, Inc.’s First Lien Convertible Secured Notes due 2029 and LivePerson’s Second Lien Senior Subordinated Secured Notes due 2029.</w:t>
              </w:r>
            </w:hyperlink>
          </w:p>
        </w:tc>
      </w:tr>
      <w:tr>
        <w:trPr/>
        <w:tc>
          <w:tcPr>
            <w:tcW w:w="7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2" w:type="dxa"/>
            <w:tcBorders/>
            <w:shd w:fill="FFFFFF" w:val="clear"/>
            <w:tcMar>
              <w:bottom w:w="0" w:type="dxa"/>
            </w:tcMar>
            <w:vAlign w:val="center"/>
          </w:tcPr>
          <w:p>
            <w:pPr>
              <w:pStyle w:val="TableContents"/>
              <w:bidi w:val="0"/>
              <w:spacing w:before="0" w:after="283"/>
              <w:jc w:val="left"/>
              <w:rPr/>
            </w:pPr>
            <w:hyperlink w:anchor="ea030469101ex99-1.htm">
              <w:r>
                <w:rPr>
                  <w:rStyle w:val="InternetLink"/>
                  <w:rFonts w:ascii="Times New Roman;Times;Serif" w:hAnsi="Times New Roman;Times;Serif"/>
                  <w:b w:val="false"/>
                  <w:i w:val="false"/>
                  <w:caps w:val="false"/>
                  <w:smallCaps w:val="false"/>
                  <w:sz w:val="20"/>
                </w:rPr>
                <w:t>Press Release issued by SoundHound dated September 4, 2026.</w:t>
              </w:r>
            </w:hyperlink>
          </w:p>
        </w:tc>
      </w:tr>
      <w:tr>
        <w:trPr/>
        <w:tc>
          <w:tcPr>
            <w:tcW w:w="7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and exhibits have been omitted pursuant to Item 601(a)(5) and (a)(6) of Regulation S-K. The Company hereby undertakes to furnish supplemental copies of any of the omitted schedules and exhibits upon request by the SEC</w:t>
            </w:r>
          </w:p>
        </w:tc>
      </w:tr>
    </w:tbl>
    <w:p>
      <w:pPr>
        <w:pStyle w:val="TextBody"/>
        <w:bidi w:val="0"/>
        <w:spacing w:before="0" w:after="283"/>
        <w:jc w:val="left"/>
        <w:rPr/>
      </w:pPr>
      <w:r>
        <w:rPr/>
        <w:t> </w:t>
      </w:r>
    </w:p>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(indicated by “***”) have been redacted pursuant to Item 601(a)(6) of Regulation S-K.</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p>
      <w:pPr>
        <w:pStyle w:val="TextBody"/>
        <w:bidi w:val="0"/>
        <w:spacing w:before="0" w:after="0"/>
        <w:ind w:left="0" w:right="0" w:hanging="0"/>
        <w:jc w:val="left"/>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376"/>
        <w:gridCol w:w="2373"/>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b/>
              </w:rPr>
            </w:pPr>
            <w:r>
              <w:rPr>
                <w:b/>
              </w:rPr>
              <w:t>SOUNDHOUND AI, INC.</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pPr>
            <w:r>
              <w:rPr/>
              <w:t>(Registrant)</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2373" w:type="dxa"/>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283"/>
              <w:jc w:val="left"/>
              <w:rPr/>
            </w:pPr>
            <w:r>
              <w:rPr/>
              <w:t>Chief Executive Officer</w:t>
            </w:r>
          </w:p>
        </w:tc>
      </w:tr>
    </w:tbl>
    <w:p>
      <w:pPr>
        <w:pStyle w:val="TextBody"/>
        <w:bidi w:val="0"/>
        <w:jc w:val="center"/>
        <w:rPr/>
      </w:pPr>
      <w:r>
        <w:rPr/>
        <w:t> </w:t>
      </w:r>
    </w:p>
    <w:p>
      <w:pPr>
        <w:pStyle w:val="TextBody"/>
        <w:bidi w:val="0"/>
        <w:jc w:val="center"/>
        <w:rPr/>
      </w:pPr>
      <w:r>
        <w:rPr/>
        <w:t> </w:t>
      </w:r>
    </w:p>
    <w:p>
      <w:pPr>
        <w:pStyle w:val="TextBody"/>
        <w:bidi w:val="0"/>
        <w:jc w:val="center"/>
        <w:rPr/>
      </w:pPr>
      <w:r>
        <w:rPr/>
        <w:t>5</w:t>
      </w:r>
    </w:p>
    <w:p>
      <w:pPr>
        <w:pStyle w:val="TextBody"/>
        <w:bidi w:val="0"/>
        <w:jc w:val="left"/>
        <w:rPr>
          <w:bdr w:val="single" w:sz="12" w:space="1" w:color="000000"/>
        </w:rPr>
      </w:pPr>
      <w:r>
        <w:rPr>
          <w:bdr w:val="single" w:sz="12" w:space="1" w:color="000000"/>
        </w:rPr>
        <w:t> </w:t>
      </w:r>
    </w:p>
    <w:p>
      <w:pPr>
        <w:pStyle w:val="TextBody"/>
        <w:bidi w:val="0"/>
        <w:jc w:val="center"/>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25" w:name="ea030469101ex10-2.htm"/>
      <w:bookmarkStart w:id="26" w:name="ksea030469101ex102"/>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HOLDERS FROM TIME TO TIME PARTIES</w:t>
        <w:br/>
        <w: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75"/>
        <w:gridCol w:w="1205"/>
        <w:gridCol w:w="4175"/>
        <w:gridCol w:w="710"/>
      </w:tblGrid>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455" w:type="dxa"/>
            <w:gridSpan w:val="3"/>
            <w:tcBorders/>
            <w:shd w:fill="CCEEFF" w:val="clear"/>
            <w:vAlign w:val="center"/>
          </w:tcPr>
          <w:p>
            <w:pPr>
              <w:pStyle w:val="TableContents"/>
              <w:bidi w:val="0"/>
              <w:spacing w:before="0" w:after="283"/>
              <w:jc w:val="left"/>
              <w:rPr/>
            </w:pPr>
            <w:r>
              <w:rPr>
                <w:b/>
              </w:rPr>
              <w:t>Article I. DEFINITIONS</w:t>
            </w:r>
            <w:r>
              <w:rPr/>
              <w:t xml:space="preserve"> </w:t>
            </w:r>
          </w:p>
        </w:tc>
        <w:tc>
          <w:tcPr>
            <w:tcW w:w="710" w:type="dxa"/>
            <w:tcBorders/>
            <w:shd w:fill="CCEEFF" w:val="clear"/>
            <w:vAlign w:val="center"/>
          </w:tcPr>
          <w:p>
            <w:pPr>
              <w:pStyle w:val="TableContents"/>
              <w:bidi w:val="0"/>
              <w:spacing w:before="0" w:after="283"/>
              <w:jc w:val="center"/>
              <w:rPr>
                <w:b/>
              </w:rPr>
            </w:pPr>
            <w:r>
              <w:rPr>
                <w:b/>
              </w:rPr>
              <w:t>1</w:t>
            </w:r>
          </w:p>
        </w:tc>
      </w:tr>
      <w:tr>
        <w:trPr/>
        <w:tc>
          <w:tcPr>
            <w:tcW w:w="5455" w:type="dxa"/>
            <w:gridSpan w:val="3"/>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1.01</w:t>
            </w:r>
          </w:p>
        </w:tc>
        <w:tc>
          <w:tcPr>
            <w:tcW w:w="4175" w:type="dxa"/>
            <w:tcBorders/>
            <w:shd w:fill="CCEEFF" w:val="clear"/>
            <w:vAlign w:val="center"/>
          </w:tcPr>
          <w:p>
            <w:pPr>
              <w:pStyle w:val="TableContents"/>
              <w:bidi w:val="0"/>
              <w:spacing w:before="0" w:after="283"/>
              <w:jc w:val="left"/>
              <w:rPr/>
            </w:pPr>
            <w:r>
              <w:rPr/>
              <w:t>Definitions.</w:t>
            </w:r>
          </w:p>
        </w:tc>
        <w:tc>
          <w:tcPr>
            <w:tcW w:w="710" w:type="dxa"/>
            <w:tcBorders/>
            <w:shd w:fill="CCEEFF" w:val="clear"/>
            <w:vAlign w:val="center"/>
          </w:tcPr>
          <w:p>
            <w:pPr>
              <w:pStyle w:val="TableContents"/>
              <w:bidi w:val="0"/>
              <w:spacing w:before="0" w:after="283"/>
              <w:jc w:val="center"/>
              <w:rPr/>
            </w:pPr>
            <w:r>
              <w:rPr/>
              <w:t>1</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5455" w:type="dxa"/>
            <w:gridSpan w:val="3"/>
            <w:tcBorders/>
            <w:shd w:fill="CCEEFF" w:val="clear"/>
            <w:vAlign w:val="center"/>
          </w:tcPr>
          <w:p>
            <w:pPr>
              <w:pStyle w:val="TableContents"/>
              <w:bidi w:val="0"/>
              <w:spacing w:before="0" w:after="283"/>
              <w:jc w:val="left"/>
              <w:rPr>
                <w:b/>
              </w:rPr>
            </w:pPr>
            <w:r>
              <w:rPr>
                <w:b/>
              </w:rPr>
              <w:t>Article II. REGISTRATION RIGHTS</w:t>
            </w:r>
          </w:p>
        </w:tc>
        <w:tc>
          <w:tcPr>
            <w:tcW w:w="710" w:type="dxa"/>
            <w:tcBorders/>
            <w:shd w:fill="CCEEFF" w:val="clear"/>
            <w:vAlign w:val="center"/>
          </w:tcPr>
          <w:p>
            <w:pPr>
              <w:pStyle w:val="TableContents"/>
              <w:bidi w:val="0"/>
              <w:spacing w:before="0" w:after="283"/>
              <w:jc w:val="center"/>
              <w:rPr>
                <w:b/>
              </w:rPr>
            </w:pPr>
            <w:r>
              <w:rPr>
                <w:b/>
              </w:rPr>
              <w:t>3</w:t>
            </w:r>
          </w:p>
        </w:tc>
      </w:tr>
      <w:tr>
        <w:trPr/>
        <w:tc>
          <w:tcPr>
            <w:tcW w:w="5455" w:type="dxa"/>
            <w:gridSpan w:val="3"/>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2.01</w:t>
            </w:r>
          </w:p>
        </w:tc>
        <w:tc>
          <w:tcPr>
            <w:tcW w:w="4175" w:type="dxa"/>
            <w:tcBorders/>
            <w:shd w:fill="CCEEFF" w:val="clear"/>
            <w:vAlign w:val="center"/>
          </w:tcPr>
          <w:p>
            <w:pPr>
              <w:pStyle w:val="TableContents"/>
              <w:bidi w:val="0"/>
              <w:spacing w:before="0" w:after="283"/>
              <w:jc w:val="left"/>
              <w:rPr/>
            </w:pPr>
            <w:r>
              <w:rPr/>
              <w:t>Resale Shelf Registration.</w:t>
            </w:r>
          </w:p>
        </w:tc>
        <w:tc>
          <w:tcPr>
            <w:tcW w:w="710" w:type="dxa"/>
            <w:tcBorders/>
            <w:shd w:fill="CCEEFF" w:val="clear"/>
            <w:vAlign w:val="center"/>
          </w:tcPr>
          <w:p>
            <w:pPr>
              <w:pStyle w:val="TableContents"/>
              <w:bidi w:val="0"/>
              <w:spacing w:before="0" w:after="283"/>
              <w:jc w:val="center"/>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2.02</w:t>
            </w:r>
          </w:p>
        </w:tc>
        <w:tc>
          <w:tcPr>
            <w:tcW w:w="4175" w:type="dxa"/>
            <w:tcBorders/>
            <w:shd w:fill="FFFFFF" w:val="clear"/>
            <w:vAlign w:val="center"/>
          </w:tcPr>
          <w:p>
            <w:pPr>
              <w:pStyle w:val="TableContents"/>
              <w:bidi w:val="0"/>
              <w:spacing w:before="0" w:after="283"/>
              <w:jc w:val="left"/>
              <w:rPr/>
            </w:pPr>
            <w:r>
              <w:rPr/>
              <w:t>Registration Procedures.</w:t>
            </w:r>
          </w:p>
        </w:tc>
        <w:tc>
          <w:tcPr>
            <w:tcW w:w="710" w:type="dxa"/>
            <w:tcBorders/>
            <w:shd w:fill="FFFFFF" w:val="clear"/>
            <w:vAlign w:val="center"/>
          </w:tcPr>
          <w:p>
            <w:pPr>
              <w:pStyle w:val="TableContents"/>
              <w:bidi w:val="0"/>
              <w:spacing w:before="0" w:after="283"/>
              <w:jc w:val="center"/>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2.03</w:t>
            </w:r>
          </w:p>
        </w:tc>
        <w:tc>
          <w:tcPr>
            <w:tcW w:w="4175" w:type="dxa"/>
            <w:tcBorders/>
            <w:shd w:fill="CCEEFF" w:val="clear"/>
            <w:vAlign w:val="center"/>
          </w:tcPr>
          <w:p>
            <w:pPr>
              <w:pStyle w:val="TableContents"/>
              <w:bidi w:val="0"/>
              <w:spacing w:before="0" w:after="283"/>
              <w:jc w:val="left"/>
              <w:rPr/>
            </w:pPr>
            <w:r>
              <w:rPr/>
              <w:t>Registration Expenses.</w:t>
            </w:r>
          </w:p>
        </w:tc>
        <w:tc>
          <w:tcPr>
            <w:tcW w:w="710" w:type="dxa"/>
            <w:tcBorders/>
            <w:shd w:fill="CCEEFF" w:val="clear"/>
            <w:vAlign w:val="center"/>
          </w:tcPr>
          <w:p>
            <w:pPr>
              <w:pStyle w:val="TableContents"/>
              <w:bidi w:val="0"/>
              <w:spacing w:before="0" w:after="283"/>
              <w:jc w:val="center"/>
              <w:rPr/>
            </w:pPr>
            <w:r>
              <w:rPr/>
              <w:t>7</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2.04</w:t>
            </w:r>
          </w:p>
        </w:tc>
        <w:tc>
          <w:tcPr>
            <w:tcW w:w="4175" w:type="dxa"/>
            <w:tcBorders/>
            <w:shd w:fill="FFFFFF" w:val="clear"/>
            <w:vAlign w:val="center"/>
          </w:tcPr>
          <w:p>
            <w:pPr>
              <w:pStyle w:val="TableContents"/>
              <w:bidi w:val="0"/>
              <w:spacing w:before="0" w:after="283"/>
              <w:jc w:val="left"/>
              <w:rPr/>
            </w:pPr>
            <w:r>
              <w:rPr/>
              <w:t>Indemnification.</w:t>
            </w:r>
          </w:p>
        </w:tc>
        <w:tc>
          <w:tcPr>
            <w:tcW w:w="710" w:type="dxa"/>
            <w:tcBorders/>
            <w:shd w:fill="FFFFFF" w:val="clear"/>
            <w:vAlign w:val="center"/>
          </w:tcPr>
          <w:p>
            <w:pPr>
              <w:pStyle w:val="TableContents"/>
              <w:bidi w:val="0"/>
              <w:spacing w:before="0" w:after="283"/>
              <w:jc w:val="center"/>
              <w:rPr/>
            </w:pPr>
            <w:r>
              <w:rPr/>
              <w:t>7</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2.05</w:t>
            </w:r>
          </w:p>
        </w:tc>
        <w:tc>
          <w:tcPr>
            <w:tcW w:w="4175" w:type="dxa"/>
            <w:tcBorders/>
            <w:shd w:fill="CCEEFF" w:val="clear"/>
            <w:vAlign w:val="center"/>
          </w:tcPr>
          <w:p>
            <w:pPr>
              <w:pStyle w:val="TableContents"/>
              <w:bidi w:val="0"/>
              <w:spacing w:before="0" w:after="283"/>
              <w:jc w:val="left"/>
              <w:rPr/>
            </w:pPr>
            <w:r>
              <w:rPr/>
              <w:t>Blackout Periods.</w:t>
            </w:r>
          </w:p>
        </w:tc>
        <w:tc>
          <w:tcPr>
            <w:tcW w:w="710" w:type="dxa"/>
            <w:tcBorders/>
            <w:shd w:fill="CCEEFF" w:val="clear"/>
            <w:vAlign w:val="center"/>
          </w:tcPr>
          <w:p>
            <w:pPr>
              <w:pStyle w:val="TableContents"/>
              <w:bidi w:val="0"/>
              <w:spacing w:before="0" w:after="283"/>
              <w:jc w:val="center"/>
              <w:rPr/>
            </w:pPr>
            <w:r>
              <w:rPr/>
              <w:t>9</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2.06</w:t>
            </w:r>
          </w:p>
        </w:tc>
        <w:tc>
          <w:tcPr>
            <w:tcW w:w="4175" w:type="dxa"/>
            <w:tcBorders/>
            <w:shd w:fill="FFFFFF" w:val="clear"/>
            <w:vAlign w:val="center"/>
          </w:tcPr>
          <w:p>
            <w:pPr>
              <w:pStyle w:val="TableContents"/>
              <w:bidi w:val="0"/>
              <w:spacing w:before="0" w:after="283"/>
              <w:jc w:val="left"/>
              <w:rPr/>
            </w:pPr>
            <w:r>
              <w:rPr/>
              <w:t>Participation in Registrations.</w:t>
            </w:r>
          </w:p>
        </w:tc>
        <w:tc>
          <w:tcPr>
            <w:tcW w:w="710" w:type="dxa"/>
            <w:tcBorders/>
            <w:shd w:fill="FFFFFF" w:val="clear"/>
            <w:vAlign w:val="center"/>
          </w:tcPr>
          <w:p>
            <w:pPr>
              <w:pStyle w:val="TableContents"/>
              <w:bidi w:val="0"/>
              <w:spacing w:before="0" w:after="283"/>
              <w:jc w:val="center"/>
              <w:rPr/>
            </w:pPr>
            <w:r>
              <w:rPr/>
              <w:t>9</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2.07</w:t>
            </w:r>
          </w:p>
        </w:tc>
        <w:tc>
          <w:tcPr>
            <w:tcW w:w="4175" w:type="dxa"/>
            <w:tcBorders/>
            <w:shd w:fill="CCEEFF" w:val="clear"/>
            <w:vAlign w:val="center"/>
          </w:tcPr>
          <w:p>
            <w:pPr>
              <w:pStyle w:val="TableContents"/>
              <w:bidi w:val="0"/>
              <w:spacing w:before="0" w:after="283"/>
              <w:jc w:val="left"/>
              <w:rPr/>
            </w:pPr>
            <w:r>
              <w:rPr/>
              <w:t>Rule 144.</w:t>
            </w:r>
          </w:p>
        </w:tc>
        <w:tc>
          <w:tcPr>
            <w:tcW w:w="710" w:type="dxa"/>
            <w:tcBorders/>
            <w:shd w:fill="CCEEFF" w:val="clear"/>
            <w:vAlign w:val="center"/>
          </w:tcPr>
          <w:p>
            <w:pPr>
              <w:pStyle w:val="TableContents"/>
              <w:bidi w:val="0"/>
              <w:spacing w:before="0" w:after="283"/>
              <w:jc w:val="center"/>
              <w:rPr/>
            </w:pPr>
            <w:r>
              <w:rPr/>
              <w:t>9</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2.08</w:t>
            </w:r>
          </w:p>
        </w:tc>
        <w:tc>
          <w:tcPr>
            <w:tcW w:w="4175" w:type="dxa"/>
            <w:tcBorders/>
            <w:shd w:fill="FFFFFF" w:val="clear"/>
            <w:vAlign w:val="center"/>
          </w:tcPr>
          <w:p>
            <w:pPr>
              <w:pStyle w:val="TableContents"/>
              <w:bidi w:val="0"/>
              <w:spacing w:before="0" w:after="283"/>
              <w:jc w:val="left"/>
              <w:rPr/>
            </w:pPr>
            <w:r>
              <w:rPr/>
              <w:t>Further Assurance.</w:t>
            </w:r>
          </w:p>
        </w:tc>
        <w:tc>
          <w:tcPr>
            <w:tcW w:w="710" w:type="dxa"/>
            <w:tcBorders/>
            <w:shd w:fill="FFFFFF" w:val="clear"/>
            <w:vAlign w:val="center"/>
          </w:tcPr>
          <w:p>
            <w:pPr>
              <w:pStyle w:val="TableContents"/>
              <w:bidi w:val="0"/>
              <w:spacing w:before="0" w:after="283"/>
              <w:jc w:val="center"/>
              <w:rPr/>
            </w:pPr>
            <w:r>
              <w:rPr/>
              <w:t>9</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p>
        </w:tc>
      </w:tr>
      <w:tr>
        <w:trPr/>
        <w:tc>
          <w:tcPr>
            <w:tcW w:w="5455" w:type="dxa"/>
            <w:gridSpan w:val="3"/>
            <w:tcBorders/>
            <w:shd w:fill="FFFFFF" w:val="clear"/>
            <w:vAlign w:val="center"/>
          </w:tcPr>
          <w:p>
            <w:pPr>
              <w:pStyle w:val="TableContents"/>
              <w:bidi w:val="0"/>
              <w:spacing w:before="0" w:after="283"/>
              <w:jc w:val="left"/>
              <w:rPr>
                <w:b/>
              </w:rPr>
            </w:pPr>
            <w:r>
              <w:rPr>
                <w:b/>
              </w:rPr>
              <w:t>Article III. MISCELLANEOUS</w:t>
            </w:r>
          </w:p>
        </w:tc>
        <w:tc>
          <w:tcPr>
            <w:tcW w:w="710" w:type="dxa"/>
            <w:tcBorders/>
            <w:shd w:fill="FFFFFF" w:val="clear"/>
            <w:vAlign w:val="center"/>
          </w:tcPr>
          <w:p>
            <w:pPr>
              <w:pStyle w:val="TableContents"/>
              <w:bidi w:val="0"/>
              <w:spacing w:before="0" w:after="283"/>
              <w:jc w:val="center"/>
              <w:rPr>
                <w:b/>
              </w:rPr>
            </w:pPr>
            <w:r>
              <w:rPr>
                <w:b/>
              </w:rPr>
              <w:t>10</w:t>
            </w:r>
          </w:p>
        </w:tc>
      </w:tr>
      <w:tr>
        <w:trPr/>
        <w:tc>
          <w:tcPr>
            <w:tcW w:w="5455" w:type="dxa"/>
            <w:gridSpan w:val="3"/>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3.01</w:t>
            </w:r>
          </w:p>
        </w:tc>
        <w:tc>
          <w:tcPr>
            <w:tcW w:w="4175" w:type="dxa"/>
            <w:tcBorders/>
            <w:shd w:fill="FFFFFF" w:val="clear"/>
            <w:vAlign w:val="center"/>
          </w:tcPr>
          <w:p>
            <w:pPr>
              <w:pStyle w:val="TableContents"/>
              <w:bidi w:val="0"/>
              <w:spacing w:before="0" w:after="283"/>
              <w:jc w:val="left"/>
              <w:rPr/>
            </w:pPr>
            <w:r>
              <w:rPr/>
              <w:t>Notices.</w:t>
            </w:r>
          </w:p>
        </w:tc>
        <w:tc>
          <w:tcPr>
            <w:tcW w:w="710" w:type="dxa"/>
            <w:tcBorders/>
            <w:shd w:fill="FFFFFF" w:val="clear"/>
            <w:vAlign w:val="center"/>
          </w:tcPr>
          <w:p>
            <w:pPr>
              <w:pStyle w:val="TableContents"/>
              <w:bidi w:val="0"/>
              <w:spacing w:before="0" w:after="283"/>
              <w:jc w:val="center"/>
              <w:rPr/>
            </w:pPr>
            <w:r>
              <w:rPr/>
              <w:t>10</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3.02</w:t>
            </w:r>
          </w:p>
        </w:tc>
        <w:tc>
          <w:tcPr>
            <w:tcW w:w="4175" w:type="dxa"/>
            <w:tcBorders/>
            <w:shd w:fill="CCEEFF" w:val="clear"/>
            <w:vAlign w:val="center"/>
          </w:tcPr>
          <w:p>
            <w:pPr>
              <w:pStyle w:val="TableContents"/>
              <w:bidi w:val="0"/>
              <w:spacing w:before="0" w:after="283"/>
              <w:jc w:val="left"/>
              <w:rPr/>
            </w:pPr>
            <w:r>
              <w:rPr/>
              <w:t>Binding Effect; Benefits; Entire Agreement.</w:t>
            </w:r>
          </w:p>
        </w:tc>
        <w:tc>
          <w:tcPr>
            <w:tcW w:w="710" w:type="dxa"/>
            <w:tcBorders/>
            <w:shd w:fill="CCEEFF" w:val="clear"/>
            <w:vAlign w:val="center"/>
          </w:tcPr>
          <w:p>
            <w:pPr>
              <w:pStyle w:val="TableContents"/>
              <w:bidi w:val="0"/>
              <w:spacing w:before="0" w:after="283"/>
              <w:jc w:val="center"/>
              <w:rPr/>
            </w:pPr>
            <w:r>
              <w:rPr/>
              <w:t>10</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3.03</w:t>
            </w:r>
          </w:p>
        </w:tc>
        <w:tc>
          <w:tcPr>
            <w:tcW w:w="4175" w:type="dxa"/>
            <w:tcBorders/>
            <w:shd w:fill="FFFFFF" w:val="clear"/>
            <w:vAlign w:val="center"/>
          </w:tcPr>
          <w:p>
            <w:pPr>
              <w:pStyle w:val="TableContents"/>
              <w:bidi w:val="0"/>
              <w:spacing w:before="0" w:after="283"/>
              <w:jc w:val="left"/>
              <w:rPr/>
            </w:pPr>
            <w:r>
              <w:rPr/>
              <w:t>No Waiver.</w:t>
            </w:r>
          </w:p>
        </w:tc>
        <w:tc>
          <w:tcPr>
            <w:tcW w:w="710" w:type="dxa"/>
            <w:tcBorders/>
            <w:shd w:fill="FFFFFF" w:val="clear"/>
            <w:vAlign w:val="center"/>
          </w:tcPr>
          <w:p>
            <w:pPr>
              <w:pStyle w:val="TableContents"/>
              <w:bidi w:val="0"/>
              <w:spacing w:before="0" w:after="283"/>
              <w:jc w:val="center"/>
              <w:rPr/>
            </w:pPr>
            <w:r>
              <w:rPr/>
              <w:t>10</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3.04</w:t>
            </w:r>
          </w:p>
        </w:tc>
        <w:tc>
          <w:tcPr>
            <w:tcW w:w="4175" w:type="dxa"/>
            <w:tcBorders/>
            <w:shd w:fill="CCEEFF" w:val="clear"/>
            <w:vAlign w:val="center"/>
          </w:tcPr>
          <w:p>
            <w:pPr>
              <w:pStyle w:val="TableContents"/>
              <w:bidi w:val="0"/>
              <w:spacing w:before="0" w:after="283"/>
              <w:jc w:val="left"/>
              <w:rPr/>
            </w:pPr>
            <w:r>
              <w:rPr/>
              <w:t>Amendment.</w:t>
            </w:r>
          </w:p>
        </w:tc>
        <w:tc>
          <w:tcPr>
            <w:tcW w:w="710" w:type="dxa"/>
            <w:tcBorders/>
            <w:shd w:fill="CCEEFF" w:val="clear"/>
            <w:vAlign w:val="center"/>
          </w:tcPr>
          <w:p>
            <w:pPr>
              <w:pStyle w:val="TableContents"/>
              <w:bidi w:val="0"/>
              <w:spacing w:before="0" w:after="283"/>
              <w:jc w:val="center"/>
              <w:rPr/>
            </w:pPr>
            <w:r>
              <w:rPr/>
              <w:t>10</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3.05</w:t>
            </w:r>
          </w:p>
        </w:tc>
        <w:tc>
          <w:tcPr>
            <w:tcW w:w="4175" w:type="dxa"/>
            <w:tcBorders/>
            <w:shd w:fill="FFFFFF" w:val="clear"/>
            <w:vAlign w:val="center"/>
          </w:tcPr>
          <w:p>
            <w:pPr>
              <w:pStyle w:val="TableContents"/>
              <w:bidi w:val="0"/>
              <w:spacing w:before="0" w:after="283"/>
              <w:jc w:val="left"/>
              <w:rPr/>
            </w:pPr>
            <w:r>
              <w:rPr/>
              <w:t>Assignability.</w:t>
            </w:r>
          </w:p>
        </w:tc>
        <w:tc>
          <w:tcPr>
            <w:tcW w:w="710" w:type="dxa"/>
            <w:tcBorders/>
            <w:shd w:fill="FFFFFF" w:val="clear"/>
            <w:vAlign w:val="center"/>
          </w:tcPr>
          <w:p>
            <w:pPr>
              <w:pStyle w:val="TableContents"/>
              <w:bidi w:val="0"/>
              <w:spacing w:before="0" w:after="283"/>
              <w:jc w:val="center"/>
              <w:rPr/>
            </w:pPr>
            <w:r>
              <w:rPr/>
              <w:t>10</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3.06</w:t>
            </w:r>
          </w:p>
        </w:tc>
        <w:tc>
          <w:tcPr>
            <w:tcW w:w="4175" w:type="dxa"/>
            <w:tcBorders/>
            <w:shd w:fill="CCEEFF" w:val="clear"/>
            <w:vAlign w:val="center"/>
          </w:tcPr>
          <w:p>
            <w:pPr>
              <w:pStyle w:val="TableContents"/>
              <w:bidi w:val="0"/>
              <w:spacing w:before="0" w:after="283"/>
              <w:jc w:val="left"/>
              <w:rPr/>
            </w:pPr>
            <w:r>
              <w:rPr/>
              <w:t>Termination; Survival.</w:t>
            </w:r>
          </w:p>
        </w:tc>
        <w:tc>
          <w:tcPr>
            <w:tcW w:w="710" w:type="dxa"/>
            <w:tcBorders/>
            <w:shd w:fill="CCEEFF" w:val="clear"/>
            <w:vAlign w:val="center"/>
          </w:tcPr>
          <w:p>
            <w:pPr>
              <w:pStyle w:val="TableContents"/>
              <w:bidi w:val="0"/>
              <w:spacing w:before="0" w:after="283"/>
              <w:jc w:val="center"/>
              <w:rPr/>
            </w:pPr>
            <w:r>
              <w:rPr/>
              <w:t>11</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3.07</w:t>
            </w:r>
          </w:p>
        </w:tc>
        <w:tc>
          <w:tcPr>
            <w:tcW w:w="4175" w:type="dxa"/>
            <w:tcBorders/>
            <w:shd w:fill="FFFFFF" w:val="clear"/>
            <w:vAlign w:val="center"/>
          </w:tcPr>
          <w:p>
            <w:pPr>
              <w:pStyle w:val="TableContents"/>
              <w:bidi w:val="0"/>
              <w:spacing w:before="0" w:after="283"/>
              <w:jc w:val="left"/>
              <w:rPr/>
            </w:pPr>
            <w:r>
              <w:rPr/>
              <w:t>Applicable Law.</w:t>
            </w:r>
          </w:p>
        </w:tc>
        <w:tc>
          <w:tcPr>
            <w:tcW w:w="710" w:type="dxa"/>
            <w:tcBorders/>
            <w:shd w:fill="FFFFFF" w:val="clear"/>
            <w:vAlign w:val="center"/>
          </w:tcPr>
          <w:p>
            <w:pPr>
              <w:pStyle w:val="TableContents"/>
              <w:bidi w:val="0"/>
              <w:spacing w:before="0" w:after="283"/>
              <w:jc w:val="center"/>
              <w:rPr/>
            </w:pPr>
            <w:r>
              <w:rPr/>
              <w:t>11</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3.08</w:t>
            </w:r>
          </w:p>
        </w:tc>
        <w:tc>
          <w:tcPr>
            <w:tcW w:w="4175" w:type="dxa"/>
            <w:tcBorders/>
            <w:shd w:fill="CCEEFF" w:val="clear"/>
            <w:vAlign w:val="center"/>
          </w:tcPr>
          <w:p>
            <w:pPr>
              <w:pStyle w:val="TableContents"/>
              <w:bidi w:val="0"/>
              <w:spacing w:before="0" w:after="283"/>
              <w:jc w:val="left"/>
              <w:rPr/>
            </w:pPr>
            <w:r>
              <w:rPr/>
              <w:t>Specific Performance.</w:t>
            </w:r>
          </w:p>
        </w:tc>
        <w:tc>
          <w:tcPr>
            <w:tcW w:w="710" w:type="dxa"/>
            <w:tcBorders/>
            <w:shd w:fill="CCEEFF" w:val="clear"/>
            <w:vAlign w:val="center"/>
          </w:tcPr>
          <w:p>
            <w:pPr>
              <w:pStyle w:val="TableContents"/>
              <w:bidi w:val="0"/>
              <w:spacing w:before="0" w:after="283"/>
              <w:jc w:val="center"/>
              <w:rPr/>
            </w:pPr>
            <w:r>
              <w:rPr/>
              <w:t>11</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3.09</w:t>
            </w:r>
          </w:p>
        </w:tc>
        <w:tc>
          <w:tcPr>
            <w:tcW w:w="4175" w:type="dxa"/>
            <w:tcBorders/>
            <w:shd w:fill="FFFFFF" w:val="clear"/>
            <w:vAlign w:val="center"/>
          </w:tcPr>
          <w:p>
            <w:pPr>
              <w:pStyle w:val="TableContents"/>
              <w:bidi w:val="0"/>
              <w:spacing w:before="0" w:after="283"/>
              <w:jc w:val="left"/>
              <w:rPr/>
            </w:pPr>
            <w:r>
              <w:rPr/>
              <w:t>Severability.</w:t>
            </w:r>
          </w:p>
        </w:tc>
        <w:tc>
          <w:tcPr>
            <w:tcW w:w="710" w:type="dxa"/>
            <w:tcBorders/>
            <w:shd w:fill="FFFFFF" w:val="clear"/>
            <w:vAlign w:val="center"/>
          </w:tcPr>
          <w:p>
            <w:pPr>
              <w:pStyle w:val="TableContents"/>
              <w:bidi w:val="0"/>
              <w:spacing w:before="0" w:after="283"/>
              <w:jc w:val="center"/>
              <w:rPr/>
            </w:pPr>
            <w:r>
              <w:rPr/>
              <w:t>11</w:t>
            </w:r>
          </w:p>
        </w:tc>
      </w:tr>
      <w:tr>
        <w:trPr/>
        <w:tc>
          <w:tcPr>
            <w:tcW w:w="7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Section 3.10</w:t>
            </w:r>
          </w:p>
        </w:tc>
        <w:tc>
          <w:tcPr>
            <w:tcW w:w="4175" w:type="dxa"/>
            <w:tcBorders/>
            <w:shd w:fill="CCEEFF" w:val="clear"/>
            <w:vAlign w:val="center"/>
          </w:tcPr>
          <w:p>
            <w:pPr>
              <w:pStyle w:val="TableContents"/>
              <w:bidi w:val="0"/>
              <w:spacing w:before="0" w:after="283"/>
              <w:jc w:val="left"/>
              <w:rPr/>
            </w:pPr>
            <w:r>
              <w:rPr/>
              <w:t>Section and Other Headings; Interpretation.</w:t>
            </w:r>
          </w:p>
        </w:tc>
        <w:tc>
          <w:tcPr>
            <w:tcW w:w="710" w:type="dxa"/>
            <w:tcBorders/>
            <w:shd w:fill="CCEEFF" w:val="clear"/>
            <w:vAlign w:val="center"/>
          </w:tcPr>
          <w:p>
            <w:pPr>
              <w:pStyle w:val="TableContents"/>
              <w:bidi w:val="0"/>
              <w:spacing w:before="0" w:after="283"/>
              <w:jc w:val="center"/>
              <w:rPr/>
            </w:pPr>
            <w:r>
              <w:rPr/>
              <w:t>11</w:t>
            </w:r>
          </w:p>
        </w:tc>
      </w:tr>
      <w:tr>
        <w:trPr/>
        <w:tc>
          <w:tcPr>
            <w:tcW w:w="7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Section 3.11</w:t>
            </w:r>
          </w:p>
        </w:tc>
        <w:tc>
          <w:tcPr>
            <w:tcW w:w="4175" w:type="dxa"/>
            <w:tcBorders/>
            <w:shd w:fill="FFFFFF" w:val="clear"/>
            <w:vAlign w:val="center"/>
          </w:tcPr>
          <w:p>
            <w:pPr>
              <w:pStyle w:val="TableContents"/>
              <w:bidi w:val="0"/>
              <w:spacing w:before="0" w:after="283"/>
              <w:jc w:val="left"/>
              <w:rPr/>
            </w:pPr>
            <w:r>
              <w:rPr/>
              <w:t>Counterparts.</w:t>
            </w:r>
          </w:p>
        </w:tc>
        <w:tc>
          <w:tcPr>
            <w:tcW w:w="710" w:type="dxa"/>
            <w:tcBorders/>
            <w:shd w:fill="FFFFFF" w:val="clear"/>
            <w:vAlign w:val="center"/>
          </w:tcPr>
          <w:p>
            <w:pPr>
              <w:pStyle w:val="TableContents"/>
              <w:bidi w:val="0"/>
              <w:spacing w:before="0" w:after="283"/>
              <w:jc w:val="center"/>
              <w:rPr/>
            </w:pPr>
            <w:r>
              <w:rPr/>
              <w:t>11</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dated as of September 4, 2026, is by and among (i) SoundHound AI,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Holders (as defined herein) party hereto for which an authorized signatory has provided a signature across from such 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entered into that certain notes restructuring agreement the (““</w:t>
      </w:r>
      <w:r>
        <w:rPr>
          <w:rFonts w:ascii="Times New Roman;Times;Serif" w:hAnsi="Times New Roman;Times;Serif"/>
          <w:b w:val="false"/>
          <w:i w:val="false"/>
          <w:caps w:val="false"/>
          <w:smallCaps w:val="false"/>
          <w:sz w:val="20"/>
          <w:u w:val="single"/>
        </w:rPr>
        <w:t>Notes Restructuring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with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and the Holders, dated April 21, 2026, and has agreed to provide the Holders with certain resale shelf registration rights with respect to the Registrable Securities (as herein after defined) received by the Holders pursuant to the Notes Restructuring Agreement;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LivePerson and Lightspeed Merger Sub Inc., a Delaware corporation and a direct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have entered into that certain Merger Agreement (as amended, supplemented or modified from time to time in accordance with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April 21, 2026, as amended and restated on July 2, 2026, pursuant to which, upon the terms and subject to the satisfaction or waiver of the conditions set forth in the Merger Agreement, among other things, at the Effective Time (as defined in the Merger Agreement), Merger Sub shall merge with and into LivePerson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the separate corporate existence of Merger Sub shall cease and LivePerson shall continue as the surviving corporation of the Merger and a direct, wholly owned subsidiary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1.01 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terms, as used herein, have the following meanings: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Persons directly or indirectly, whether through the ownership of voting securities, by contract or otherwise; and the terms “controlling” and “controlled” have meanings correlative to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“Affiliate” shall not include any portfolio company of any specified Person and (ii) with respect to the Company, “Affiliates” means the Company and any Person that is controlled, directly or indirectly,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Monday, Tuesday, Wednesday, Thursday and Friday that is not a day on which banking institutions in the City of New York are authorized or obligated by law or executive order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 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shares of Class A common stock, par value $0.0001 per share, of the Company (NASDAQ:SOUN).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from time to time of Registrable Securities that is a Party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xml:space="preserve">” means a joinder agreement to this Agreement, a form of which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limited liability entity, an association, a trust or any other entity or organization, including a government, a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istrable Securities</w:t>
      </w:r>
      <w:r>
        <w:rPr>
          <w:rFonts w:ascii="Times New Roman;Times;Serif" w:hAnsi="Times New Roman;Times;Serif"/>
          <w:b w:val="false"/>
          <w:i w:val="false"/>
          <w:caps w:val="false"/>
          <w:smallCaps w:val="false"/>
          <w:sz w:val="20"/>
        </w:rPr>
        <w:t>” means (i) the Common Stock received by the Holders pursuant to the Notes Restructuring Agreement and (ii) any other common securities issued or issuable therefor or with respect thereto, whether by way of stock split, stock dividend, reclassification, subdivision or reorganization, recapitalization, merger, consolidation, distribution or similar event.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pursuant to such registration statement, (2) such securities have been sold pursuant to a Rule 144 Transfer, (3) such securities shall have been repurchased by the Company or ceased to be outstanding, (4) such securities shall have been otherwise transferred by such Holder to an entity or Person other than pursuant to Section 3.05, new certificates for such securities not bearing (or book-entry positions not subject to) a 1933 Act legend restricting further transfer shall have been delivered by the Company and subsequent disposition of them shall not require registration or qualification of them under the 1933 Act or any state securities or blue sky law then in effect or (5) such Holder is able to dispose of all of its Registrable Securities pursuant to Rule 144 without volume limitation or other restrictions on transfer thereunder and without any requirement that current public information be available with respect to the Company or that the Company has complied with public reporting requirements under the 1934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1933 Act (or any successor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 Transfer</w:t>
      </w:r>
      <w:r>
        <w:rPr>
          <w:rFonts w:ascii="Times New Roman;Times;Serif" w:hAnsi="Times New Roman;Times;Serif"/>
          <w:b w:val="false"/>
          <w:i w:val="false"/>
          <w:caps w:val="false"/>
          <w:smallCaps w:val="false"/>
          <w:sz w:val="20"/>
        </w:rPr>
        <w:t>” means any transfer for value conducted in accordance with Rule 144 (or any successor rule promulgated thereafter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terms are defined in the respective Sections set opposite each such term below</w:t>
      </w:r>
    </w:p>
    <w:p>
      <w:pPr>
        <w:pStyle w:val="TextBody"/>
        <w:bidi w:val="0"/>
        <w:spacing w:before="0" w:after="0"/>
        <w:ind w:left="0" w:right="0" w:firstLine="720"/>
        <w:jc w:val="left"/>
        <w:rPr>
          <w:caps w:val="false"/>
          <w:smallCaps w:val="false"/>
        </w:rPr>
      </w:pPr>
      <w:r>
        <w:rPr>
          <w:caps w:val="false"/>
          <w:smallCaps w:val="false"/>
        </w:rPr>
        <w:t> </w:t>
      </w:r>
    </w:p>
    <w:tbl>
      <w:tblPr>
        <w:tblW w:w="4420" w:type="dxa"/>
        <w:jc w:val="left"/>
        <w:tblInd w:w="0" w:type="dxa"/>
        <w:tblLayout w:type="fixed"/>
        <w:tblCellMar>
          <w:top w:w="0" w:type="dxa"/>
          <w:left w:w="0" w:type="dxa"/>
          <w:bottom w:w="28" w:type="dxa"/>
          <w:right w:w="0" w:type="dxa"/>
        </w:tblCellMar>
      </w:tblPr>
      <w:tblGrid>
        <w:gridCol w:w="2825"/>
        <w:gridCol w:w="60"/>
        <w:gridCol w:w="1535"/>
      </w:tblGrid>
      <w:tr>
        <w:trPr/>
        <w:tc>
          <w:tcPr>
            <w:tcW w:w="2825" w:type="dxa"/>
            <w:tcBorders>
              <w:bottom w:val="single" w:sz="12" w:space="0" w:color="000000"/>
            </w:tcBorders>
            <w:vAlign w:val="center"/>
          </w:tcPr>
          <w:p>
            <w:pPr>
              <w:pStyle w:val="TableContents"/>
              <w:bidi w:val="0"/>
              <w:spacing w:before="0" w:after="283"/>
              <w:jc w:val="left"/>
              <w:rPr>
                <w:b/>
              </w:rPr>
            </w:pPr>
            <w:r>
              <w:rPr>
                <w:b/>
              </w:rPr>
              <w:t>Term</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rPr>
            </w:pPr>
            <w:r>
              <w:rPr>
                <w:b/>
              </w:rPr>
              <w:t>Section</w:t>
            </w:r>
          </w:p>
        </w:tc>
      </w:tr>
      <w:tr>
        <w:trPr/>
        <w:tc>
          <w:tcPr>
            <w:tcW w:w="2825" w:type="dxa"/>
            <w:tcBorders/>
            <w:tcMar>
              <w:bottom w:w="0" w:type="dxa"/>
            </w:tcMar>
            <w:vAlign w:val="center"/>
          </w:tcPr>
          <w:p>
            <w:pPr>
              <w:pStyle w:val="TableContents"/>
              <w:bidi w:val="0"/>
              <w:spacing w:before="0" w:after="283"/>
              <w:jc w:val="left"/>
              <w:rPr/>
            </w:pPr>
            <w:r>
              <w:rPr/>
              <w:t>Advice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2.02</w:t>
            </w:r>
          </w:p>
        </w:tc>
      </w:tr>
      <w:tr>
        <w:trPr/>
        <w:tc>
          <w:tcPr>
            <w:tcW w:w="2825" w:type="dxa"/>
            <w:tcBorders/>
            <w:tcMar>
              <w:bottom w:w="0" w:type="dxa"/>
            </w:tcMar>
            <w:vAlign w:val="center"/>
          </w:tcPr>
          <w:p>
            <w:pPr>
              <w:pStyle w:val="TableContents"/>
              <w:bidi w:val="0"/>
              <w:spacing w:before="0" w:after="283"/>
              <w:jc w:val="left"/>
              <w:rPr/>
            </w:pPr>
            <w:r>
              <w:rPr/>
              <w:t>Agreement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r>
              <w:rPr/>
              <w:t>Preamble</w:t>
            </w:r>
          </w:p>
        </w:tc>
      </w:tr>
      <w:tr>
        <w:trPr/>
        <w:tc>
          <w:tcPr>
            <w:tcW w:w="2825" w:type="dxa"/>
            <w:tcBorders/>
            <w:tcMar>
              <w:bottom w:w="0" w:type="dxa"/>
            </w:tcMar>
            <w:vAlign w:val="center"/>
          </w:tcPr>
          <w:p>
            <w:pPr>
              <w:pStyle w:val="TableContents"/>
              <w:bidi w:val="0"/>
              <w:spacing w:before="0" w:after="283"/>
              <w:jc w:val="left"/>
              <w:rPr/>
            </w:pPr>
            <w:r>
              <w:rPr/>
              <w:t>Blackout Period</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2.05</w:t>
            </w:r>
          </w:p>
        </w:tc>
      </w:tr>
      <w:tr>
        <w:trPr/>
        <w:tc>
          <w:tcPr>
            <w:tcW w:w="2825" w:type="dxa"/>
            <w:tcBorders/>
            <w:tcMar>
              <w:bottom w:w="0" w:type="dxa"/>
            </w:tcMar>
            <w:vAlign w:val="center"/>
          </w:tcPr>
          <w:p>
            <w:pPr>
              <w:pStyle w:val="TableContents"/>
              <w:bidi w:val="0"/>
              <w:spacing w:before="0" w:after="283"/>
              <w:jc w:val="left"/>
              <w:rPr/>
            </w:pPr>
            <w:r>
              <w:rPr/>
              <w:t>Company</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Preamble</w:t>
            </w:r>
          </w:p>
        </w:tc>
      </w:tr>
      <w:tr>
        <w:trPr/>
        <w:tc>
          <w:tcPr>
            <w:tcW w:w="2825" w:type="dxa"/>
            <w:tcBorders/>
            <w:tcMar>
              <w:bottom w:w="0" w:type="dxa"/>
            </w:tcMar>
            <w:vAlign w:val="center"/>
          </w:tcPr>
          <w:p>
            <w:pPr>
              <w:pStyle w:val="TableContents"/>
              <w:bidi w:val="0"/>
              <w:spacing w:before="0" w:after="283"/>
              <w:jc w:val="left"/>
              <w:rPr/>
            </w:pPr>
            <w:r>
              <w:rPr/>
              <w:t>Filing Deadline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2.01(a)</w:t>
            </w:r>
          </w:p>
        </w:tc>
      </w:tr>
      <w:tr>
        <w:trPr/>
        <w:tc>
          <w:tcPr>
            <w:tcW w:w="2825" w:type="dxa"/>
            <w:tcBorders/>
            <w:tcMar>
              <w:bottom w:w="0" w:type="dxa"/>
            </w:tcMar>
            <w:vAlign w:val="center"/>
          </w:tcPr>
          <w:p>
            <w:pPr>
              <w:pStyle w:val="TableContents"/>
              <w:bidi w:val="0"/>
              <w:spacing w:before="0" w:after="283"/>
              <w:jc w:val="left"/>
              <w:rPr/>
            </w:pPr>
            <w:r>
              <w:rPr/>
              <w:t>Registration Default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2.01(e)</w:t>
            </w:r>
          </w:p>
        </w:tc>
      </w:tr>
      <w:tr>
        <w:trPr/>
        <w:tc>
          <w:tcPr>
            <w:tcW w:w="2825" w:type="dxa"/>
            <w:tcBorders/>
            <w:tcMar>
              <w:bottom w:w="0" w:type="dxa"/>
            </w:tcMar>
            <w:vAlign w:val="center"/>
          </w:tcPr>
          <w:p>
            <w:pPr>
              <w:pStyle w:val="TableContents"/>
              <w:bidi w:val="0"/>
              <w:spacing w:before="0" w:after="283"/>
              <w:jc w:val="left"/>
              <w:rPr/>
            </w:pPr>
            <w:r>
              <w:rPr/>
              <w:t>Registration Default Payment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2.01(e)</w:t>
            </w:r>
          </w:p>
        </w:tc>
      </w:tr>
      <w:tr>
        <w:trPr/>
        <w:tc>
          <w:tcPr>
            <w:tcW w:w="2825" w:type="dxa"/>
            <w:tcBorders/>
            <w:tcMar>
              <w:bottom w:w="0" w:type="dxa"/>
            </w:tcMar>
            <w:vAlign w:val="center"/>
          </w:tcPr>
          <w:p>
            <w:pPr>
              <w:pStyle w:val="TableContents"/>
              <w:bidi w:val="0"/>
              <w:spacing w:before="0" w:after="283"/>
              <w:jc w:val="left"/>
              <w:rPr/>
            </w:pPr>
            <w:r>
              <w:rPr/>
              <w:t>Opt-Out Request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3.01</w:t>
            </w:r>
          </w:p>
        </w:tc>
      </w:tr>
      <w:tr>
        <w:trPr/>
        <w:tc>
          <w:tcPr>
            <w:tcW w:w="2825" w:type="dxa"/>
            <w:tcBorders/>
            <w:tcMar>
              <w:bottom w:w="0" w:type="dxa"/>
            </w:tcMar>
            <w:vAlign w:val="center"/>
          </w:tcPr>
          <w:p>
            <w:pPr>
              <w:pStyle w:val="TableContents"/>
              <w:bidi w:val="0"/>
              <w:spacing w:before="0" w:after="283"/>
              <w:jc w:val="left"/>
              <w:rPr/>
            </w:pPr>
            <w:r>
              <w:rPr/>
              <w:t>Shelf Registration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r>
              <w:rPr/>
              <w:t>Section 2.01(a)</w:t>
            </w:r>
          </w:p>
        </w:tc>
      </w:tr>
      <w:tr>
        <w:trPr/>
        <w:tc>
          <w:tcPr>
            <w:tcW w:w="2825" w:type="dxa"/>
            <w:tcBorders/>
            <w:tcMar>
              <w:bottom w:w="0" w:type="dxa"/>
            </w:tcMar>
            <w:vAlign w:val="center"/>
          </w:tcPr>
          <w:p>
            <w:pPr>
              <w:pStyle w:val="TableContents"/>
              <w:bidi w:val="0"/>
              <w:spacing w:before="0" w:after="283"/>
              <w:jc w:val="left"/>
              <w:rPr/>
            </w:pPr>
            <w:r>
              <w:rPr/>
              <w:t>Shelf Registration Statement</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Section 2.01(a)</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REGISTRATION RIGHTS</w:t>
      </w:r>
    </w:p>
    <w:p>
      <w:pPr>
        <w:pStyle w:val="TextBody"/>
        <w:bidi w:val="0"/>
        <w:spacing w:before="0" w:after="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2.01 Resale Shelf Registration.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(i) file on the date hereof (the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a registration statement on Form S-3, including but not limited to by way of a prospectus supplement to an existing shelf registration statement of the Company, to register for resale from time to time the Registrable Securities of the Holders then outstanding on a delayed or continuous basis pursuant to Rule 415 under the 1933 Act or any successor rule thereto (such shelf registration, a “</w:t>
      </w:r>
      <w:r>
        <w:rPr>
          <w:rFonts w:ascii="Times New Roman;Times;Serif" w:hAnsi="Times New Roman;Times;Serif"/>
          <w:b w:val="false"/>
          <w:i w:val="false"/>
          <w:caps w:val="false"/>
          <w:smallCaps w:val="false"/>
          <w:sz w:val="20"/>
          <w:u w:val="single"/>
        </w:rPr>
        <w:t>Shelf 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istration</w:t>
      </w:r>
      <w:r>
        <w:rPr>
          <w:rFonts w:ascii="Times New Roman;Times;Serif" w:hAnsi="Times New Roman;Times;Serif"/>
          <w:b w:val="false"/>
          <w:i w:val="false"/>
          <w:caps w:val="false"/>
          <w:smallCaps w:val="false"/>
          <w:sz w:val="20"/>
        </w:rPr>
        <w:t>”, and such registration statement, a “</w:t>
      </w:r>
      <w:r>
        <w:rPr>
          <w:rFonts w:ascii="Times New Roman;Times;Serif" w:hAnsi="Times New Roman;Times;Serif"/>
          <w:b w:val="false"/>
          <w:i w:val="false"/>
          <w:caps w:val="false"/>
          <w:smallCaps w:val="false"/>
          <w:sz w:val="20"/>
          <w:u w:val="single"/>
        </w:rPr>
        <w:t>Shelf 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istration Statement</w:t>
      </w:r>
      <w:r>
        <w:rPr>
          <w:rFonts w:ascii="Times New Roman;Times;Serif" w:hAnsi="Times New Roman;Times;Serif"/>
          <w:b w:val="false"/>
          <w:i w:val="false"/>
          <w:caps w:val="false"/>
          <w:smallCaps w:val="false"/>
          <w:sz w:val="20"/>
        </w:rPr>
        <w:t xml:space="preserve">”) and (ii) use its reasonable best effort to maintain the effectiveness of such registration statement in accordance with clause (b) of this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The Shelf Registration Statement shall be an “automatic shelf registration statement” as defined under Rule 405 of the 1933 Act and shall become effective upon filing with the Commission pursuant to Rule 462(e) under the 1933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is not eligible to use an “automatic shelf registration statement” as of the Filing Deadline, the Company shall nevertheless file a Shelf Registration Statement on Form S-3 (or such other appropriate form) on the Filing Deadline and shall use its reasonable best efforts to cause such Shelf Registration Statement to be declared effective by the Commission as soon as practicable after the filing thereof, but in no event later than the earlier of (i) sixty (60) calendar days following the Filing Deadline if the Commission notifies the Company that it will “review” the Shelf Registration Statement and (ii)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the date the Company is notified (orally or in writing, whichever is earlier) by the Commission that the registration statement will not be “reviewed” or will not be subject to further review (such earlier time, the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The “Plan of Distribution” section of such Shelf Registration Statement shall permit all methods of distribution permitted by applicable law, including underwritten offerings, at-the-market transactions, brokerage transactions, Rule 144 sales, private transactions, “bought deals,” overnight underwritten offerings, block trades, trades through options, short sales, forward sales, puts, agented transactions, stock lending transactions, hedging and other derivative transactions and sales not involving a public offering by its pledgees, assignees, donees, transferees or successors-in-interest.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as to such Registrable Securities, until the date as of which such securities cease to be Registrable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will use reasonable best efforts to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contained herein, in the event that the Commission requires the Company to reduce the number of Registrable Securities to be included in a Shelf Registration Statement in order to allow the Company to rely on Rule 415 with respect to such Shelf Registration Statement, then the Company shall reduce the number of Registrable Securities to be included in such Shelf Registration Statement to the maximum number of securities as is permitted to be registered by the Commission. Any such reduction shall be allocated among the Holders on a pro rata basis based on the number of Registrable Securities held by each Holder relative to the aggregate number of Registrable Securities held by all Holders. In the event of any reduction in Registrable Securities pursuant to this paragraph, the Company shall use its reasonable best efforts to file one or more additional Shelf Registration Statements so as to cover all of the Registrable Securities not covered by such initial Shelf Registration Statement until such time as all Registrable Securities have been included in Shelf Registration Statements that have been declared effective and the prospectuses contained therein are available for use by the Holders, in each case as soon as practicable (taking into account any position of the staff of the Commission with respect to the date on which the Commission will permit such additional Shelf Registration Statement(s) to be filed and the rules and regulations of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(i) the Shelf Registration Statement is not filed by the Filing Deadline (regardless of application of a Blackout Period), (ii) the Shelf Registration Statement has not been declared effective by the Effectiveness Deadline, (iii) after the Shelf Registration Statement has been declared effective, such Shelf Registration Statement ceases to be effective or the prospectus contained therein ceases to be usable for a period in excess of any Blackout Period permitted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or (iv) the Holders are otherwise unable to use the Shelf Registration Statement or the prospectus contained therein due to the operation of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xml:space="preserve"> or the last paragraph of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(each such event, a “</w:t>
      </w:r>
      <w:r>
        <w:rPr>
          <w:rFonts w:ascii="Times New Roman;Times;Serif" w:hAnsi="Times New Roman;Times;Serif"/>
          <w:b w:val="false"/>
          <w:i w:val="false"/>
          <w:caps w:val="false"/>
          <w:smallCaps w:val="false"/>
          <w:sz w:val="20"/>
          <w:u w:val="single"/>
        </w:rPr>
        <w:t>Registration Default</w:t>
      </w:r>
      <w:r>
        <w:rPr>
          <w:rFonts w:ascii="Times New Roman;Times;Serif" w:hAnsi="Times New Roman;Times;Serif"/>
          <w:b w:val="false"/>
          <w:i w:val="false"/>
          <w:caps w:val="false"/>
          <w:smallCaps w:val="false"/>
          <w:sz w:val="20"/>
        </w:rPr>
        <w:t>”), then the Company shall pay to each Holder, as liquidated damages and not as a penalty, an amount equal to 1.0% of such Holder’s pro rata portion, determined based on the Holder Shares (as defined in the Notes Restructuring Agreement) actually received by the Holder on the date hereof or transferred to the Holder in connection with an assignment pursuant to Section 3.05, of (x) the First Lien Holder Aggregate Stock Consideration Amount (as defined in the Notes Restructuring Agreement) or (y) the Second Lien Holder Aggregate Stock Consideration Amount (as defined in the Notes Restructuring Agreement), as applicable, constituting Registrable Securities subject to such Registration Default (the “</w:t>
      </w:r>
      <w:r>
        <w:rPr>
          <w:rFonts w:ascii="Times New Roman;Times;Serif" w:hAnsi="Times New Roman;Times;Serif"/>
          <w:b w:val="false"/>
          <w:i w:val="false"/>
          <w:caps w:val="false"/>
          <w:smallCaps w:val="false"/>
          <w:sz w:val="20"/>
          <w:u w:val="single"/>
        </w:rPr>
        <w:t>Consideration Amount</w:t>
      </w:r>
      <w:r>
        <w:rPr>
          <w:rFonts w:ascii="Times New Roman;Times;Serif" w:hAnsi="Times New Roman;Times;Serif"/>
          <w:b w:val="false"/>
          <w:i w:val="false"/>
          <w:caps w:val="false"/>
          <w:smallCaps w:val="false"/>
          <w:sz w:val="20"/>
        </w:rPr>
        <w:t>”) for each 30-day period (or pro rata portion thereof) during which such Registration Default continues (each such payment, a “</w:t>
      </w:r>
      <w:r>
        <w:rPr>
          <w:rFonts w:ascii="Times New Roman;Times;Serif" w:hAnsi="Times New Roman;Times;Serif"/>
          <w:b w:val="false"/>
          <w:i w:val="false"/>
          <w:caps w:val="false"/>
          <w:smallCaps w:val="false"/>
          <w:sz w:val="20"/>
          <w:u w:val="single"/>
        </w:rPr>
        <w:t>Registration Delay Payment</w:t>
      </w:r>
      <w:r>
        <w:rPr>
          <w:rFonts w:ascii="Times New Roman;Times;Serif" w:hAnsi="Times New Roman;Times;Serif"/>
          <w:b w:val="false"/>
          <w:i w:val="false"/>
          <w:caps w:val="false"/>
          <w:smallCaps w:val="false"/>
          <w:sz w:val="20"/>
        </w:rPr>
        <w:t>”). Registration Delay Payments shall be paid on the first Business Day following each 30-day period during which a Registration Default is continuing and shall accrue from and including the date on which the applicable Registration Default first occurs until such Registration Default is cured; provided that the aggregate Registration Delay Payments made to any Holder pursuant to this Agreement shall in no event exceed 3.0% of such Holder’s Consideration Amount. The Parties agree that the Registration Delay Payments represent a reasonable estimate of the damages that may be incurred by the Holders by reason of any Registration Default and shall not be deemed to constitute a penalty.</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 Registration Procedures.</w:t>
      </w:r>
      <w:r>
        <w:rPr>
          <w:rFonts w:ascii="Times New Roman;Times;Serif" w:hAnsi="Times New Roman;Times;Serif"/>
          <w:b w:val="false"/>
          <w:i w:val="false"/>
          <w:caps w:val="false"/>
          <w:smallCaps w:val="false"/>
          <w:sz w:val="20"/>
        </w:rPr>
        <w:t xml:space="preserve"> With respect to any registration which includes Registrable Securities held by a Holder, the Company will, subject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promptly: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prepare and file with the Commission a registration statement on the appropriate form prescribed by the Commission and cause such registration statement to become effective, each in accordance with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and to be maintained in effect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copies of or drafts of all such documents proposed to be filed, at least ten (10) Business Days prior to the filing thereof, which documents will be subject to the reasonable review of such Holders and their counsel. Each Holder will have the opportunity to object to any information pertaining to such Holder that is contained therein and the Company will make the corrections reasonably requested by such Holder with respect to such information two (2) Business Days prior to filing any registration statement or amendment thereto or any prospectus or any supplement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will not include on any registration statement or amendment thereto (excluding any filings required to be made pursuant to the 1934 Act in the reasonable determination of the Company) or any prospectus or any supplement thereto Registrable Securities of any Holder that objects in writing one (1) Business Days prior to such filing to such inclusion in such filing or to any description of it therein. In no event shall any Holder be identified as a statutory underwriter in the registration statement unless in response to a comment or request from the staff of the Commission or another regulatory agency;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Commission requests that a Holder be identified as a statutory underwriter in the registration statement, such Holder will have an opportunity to withdraw from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may reasonably request in order to facilitate the disposition of the securities being sold by such Holder (it being understood that the Company consents in writing to the use by the Holder covered by the registration statement in connection with the offering and sale of the securities covered by the prospectus or any amendments or supplements thereto of the prospectus and any amendment or supplement thereto that is prepared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 prospectus, in light of the circumstances under which they were made) not misleading and, as promptly as practicable thereafter, and in any event within five (5) Business Days of the Company becoming aware of such event,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and cause to be maintained a transfer agent and registrar for all such Registrable Securities not later than the effective date of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use its reasonable best efforts to cause all securities included in such registration statement to be listed, by the date of the first sale of securities pursuant to such registration statement, on any national securities exchange, quotation system or other market on which the Common Stock is then listed or proposed to be listed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such Holder, promptly incorporate in a prospectus supplement or post-effective amendment such information as such Holder reasonably requests to be included therein; and make all required filings of such prospectus supplement or post-effective amendment as soon as practicable after being notified of the matters to be incorporated in such prospectus supplement or post-effective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or prior to the date on which the registration statement is declared effective, use its reasonable best efforts to register or qualify, and cooperate with such Holder and their counsel in connection with the registration or qualification of, the securities covered by the registration statement for offer and sale under the securities or blue sky laws of each state and other jurisdiction of the United States as such Holder requests in writing, to use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provided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cooperate with such Holder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such Holder may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pay the filing fee covering all Registrable Securities included in a registration statement at the time such registration statement is filed;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otherwise use its reasonable best efforts to take or cause to be taken all other actions necessary or reasonably advisable to effect the registration of such Registrable Securities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xml:space="preserve">) will forthwith discontinue disposition of the securities until the Holders’ receipt of the copies of the supplemented or amended prospectus contemplated by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or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prospectus may be resumed, and has received copies of any additional or supplemental filings which are incorporated by reference in the prospectus, and, if so directed by the Company, each Holder will deliver to the Company (at the Company’s sole expense) all copies, other than permanent file copies then in such Holder’s possession, of the prospectus covering such securities current at the time of receipt of such notice.</w:t>
      </w:r>
    </w:p>
    <w:p>
      <w:pPr>
        <w:pStyle w:val="TextBody"/>
        <w:bidi w:val="0"/>
        <w:spacing w:before="0" w:after="0"/>
        <w:ind w:left="270" w:right="0" w:firstLine="720"/>
        <w:jc w:val="left"/>
        <w:rPr>
          <w:caps/>
        </w:rPr>
      </w:pPr>
      <w:r>
        <w:rPr>
          <w:caps/>
        </w:rPr>
        <w:t> </w:t>
      </w:r>
    </w:p>
    <w:p>
      <w:pPr>
        <w:pStyle w:val="TextBody"/>
        <w:bidi w:val="0"/>
        <w:spacing w:before="0" w:after="0"/>
        <w:ind w:left="27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2.03 Registration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any registration hereunder, the Company shall bear all expenses incident to the performance of or compliance with this Agreement, including all Commission filing fees and expenses, fees and expenses of listing any Registrable Securities on any securities exchange on which the shares of Common Stock are then listed, fees and expenses of compliance with securities or blue sky laws, the costs and charges of any transfer agent and any registrar, all expenses and application fees incurred in connection with any filing with, and clearance of an offering by, the Financial Industry Regulatory Authority, Inc., printing expenses, messenger, telephone and delivery expenses, fees and disbursements of counsel for the Company and all independent certified public accountants and subject to the limitations set forth in Schedule B hereto, the reasonable and documented fees and disbursements of counsel to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obligation of the Company to bear the expenses described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Section 2.04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 (ii) 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Holders</w:t>
      </w:r>
      <w:r>
        <w:rPr>
          <w:rFonts w:ascii="Times New Roman;Times;Serif" w:hAnsi="Times New Roman;Times;Serif"/>
          <w:b w:val="false"/>
          <w:i w:val="false"/>
          <w:caps w:val="false"/>
          <w:smallCaps w:val="false"/>
          <w:sz w:val="20"/>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and the liability of each such Holder shall be in proportion to and limited to the net amount received by 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for any reason the indemnification provided for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is unavailable to an indemnified party as contemplated by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then the indemnifying party shall contribute to the amount paid or payable by the indemnified party as a result of such loss, claim, damage or liability in such proportion as is appropriate to reflect not only the relative benefits received by the indemnified party and the indemnifying party, but also the relative fault of the indemnified party and the indemnifying party, as well as any other relevant equitable considerations. In no event shall the liability of any selling Holder be greater in amount than the amount of the net proceeds received by such Holder upon such sale or the amount for which such indemnifying party would have been obligated to pay by way of indemnification if the indemnification provided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had been available. No Person guilty (as determined in a final non-appealable judgement) of fraudulent misrepresentation (within the meaning of the 1933 Act) shall be entitled to contribution from any Person who was not guilty of such fraudulent misrepresentation.</w:t>
      </w:r>
    </w:p>
    <w:p>
      <w:pPr>
        <w:pStyle w:val="TextBody"/>
        <w:bidi w:val="0"/>
        <w:spacing w:before="0" w:after="0"/>
        <w:ind w:left="270" w:right="0" w:firstLine="720"/>
        <w:jc w:val="left"/>
        <w:rPr>
          <w:caps/>
        </w:rPr>
      </w:pPr>
      <w:r>
        <w:rPr>
          <w:caps/>
        </w:rPr>
        <w:t> </w:t>
      </w:r>
    </w:p>
    <w:p>
      <w:pPr>
        <w:pStyle w:val="TextBody"/>
        <w:bidi w:val="0"/>
        <w:spacing w:before="0" w:after="0"/>
        <w:ind w:left="27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 Blackout Periods</w:t>
      </w:r>
      <w:r>
        <w:rPr>
          <w:rFonts w:ascii="Times New Roman;Times;Serif" w:hAnsi="Times New Roman;Times;Serif"/>
          <w:b w:val="false"/>
          <w:i w:val="false"/>
          <w:caps w:val="false"/>
          <w:smallCaps w:val="false"/>
          <w:sz w:val="20"/>
        </w:rPr>
        <w:t>.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only to the extent reasonably necessary, if (a)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such registration statement, or (b) the Board determines such registration would render the Company unable to comply with applicable securities laws, in each case as certified in a certificate of the Chief Executive Officer or Chief Financial Officer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 the Company may not delay the filing or effectiveness of, or suspend, any registration statement for longer than forty-five (45) consecutive calendar days (such period, a “</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in excess of ninety (90) days in any 12-month period or more than two (2) times in any 12-month period, (ii) the Company may not commence a Blackout Period within twenty (20) calendar days after the expiration of a prior Blackout Period, (iii) the Company shall promptly notify the Holders in writing upon the termination of any Blackout Period, and (iv) the Company may not file any registration statement during a Blackout Period (other than on Form S-4 or Form S-8 or any similar successor forms or another form used for a purpose similar to the intended use for such forms).</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 Participation in Registrations</w:t>
      </w:r>
      <w:r>
        <w:rPr>
          <w:rFonts w:ascii="Times New Roman;Times;Serif" w:hAnsi="Times New Roman;Times;Serif"/>
          <w:b w:val="false"/>
          <w:i w:val="false"/>
          <w:caps w:val="false"/>
          <w:smallCaps w:val="false"/>
          <w:sz w:val="20"/>
        </w:rPr>
        <w:t xml:space="preserve">. No Holder may participate in any registration hereunder unless such Holder (a) agrees to sell its securities on the basis provided in the “Plan of Distribution”, and (b) completes and executes all questionnaires and other documents customarily required under the terms of such registration and provides such written information concerning itself as may be required for registration, including for inclusion in any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 Rule 144</w:t>
      </w:r>
      <w:r>
        <w:rPr>
          <w:rFonts w:ascii="Times New Roman;Times;Serif" w:hAnsi="Times New Roman;Times;Serif"/>
          <w:b w:val="false"/>
          <w:i w:val="false"/>
          <w:caps w:val="false"/>
          <w:smallCaps w:val="false"/>
          <w:sz w:val="20"/>
        </w:rPr>
        <w:t xml:space="preserve">. The Company shall use its reasonable best efforts to timely file the reports required to be filed by it under the 1934 Act or the 1933 Act (including the reports under Sections 13 and 15(d) of the 1934 Act referred to in subparagraph (c)(1) of Rule 144), and shall take such further action as any Holder may reasonably request, all to the extent required from time to time to enable the Holders to sell Registrable Securities without registration under the 1933 Act within the limitations of the exemption provided by Rule 144. Promptly upon request, the Company shall deliver to any Holder a written statement as to whether it has complied with such requirements and any other documents reasonably requested to remove restrictive legends or sell shares under Rule 144. The Company shall instruct the transfer agent to remove any legend, notation or similar designation restricting transferability of the Registrable Securities from the certificates or book-entries evidencing Registrable Securities if (a) such shares of Common Stock are sold pursuant to an effective registration statement under the 1933 Act; (b) a registration statement covering the resale of such shares of Common Stock is effective under the 1933 Act and the applicable Holder and any broker-dealer in custody of such securities delivers to the Company a “will comply” representation letter reasonably acceptable to the Company and its counsel; (c) such shares of Common Stock are sold or transferred pursuant to Rule 144 or (d) such shares of Common Stock are eligible for sale under Rule 144 without the requirement that the Company has complied with the public reporting requirements of the 1934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each of subsections (a) through (d), the Company and its transfer agent have timely received from Holder and any broker-dealer in custody of such securities customary representation and other documentation reasonably acceptable to the Company and the transfer agent in connection therewith. The Company shall bear all reasonable fees and expenses, including any legal opinion fees, reasonable and documented legal fees and expenses of counsel to the Holders subject to the limitations set forth in Schedule B hereto, transfer agent fees, and other out-of-pocket costs, incurred in connection with the removal of such legends.</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 Further Assurance</w:t>
      </w:r>
      <w:r>
        <w:rPr>
          <w:rFonts w:ascii="Times New Roman;Times;Serif" w:hAnsi="Times New Roman;Times;Serif"/>
          <w:b w:val="false"/>
          <w:i w:val="false"/>
          <w:caps w:val="false"/>
          <w:smallCaps w:val="false"/>
          <w:sz w:val="20"/>
        </w:rPr>
        <w:t>. Each Holder hereby agrees to take any and all reasonable actions required to be taken hereunder to ensure the performance by it of its obligations pursuant to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MISCELLANEOUS</w:t>
      </w:r>
    </w:p>
    <w:p>
      <w:pPr>
        <w:pStyle w:val="TextBody"/>
        <w:bidi w:val="0"/>
        <w:spacing w:before="0" w:after="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 Notices</w:t>
      </w:r>
      <w:r>
        <w:rPr>
          <w:rFonts w:ascii="Times New Roman;Times;Serif" w:hAnsi="Times New Roman;Times;Serif"/>
          <w:b w:val="false"/>
          <w:i w:val="false"/>
          <w:caps w:val="false"/>
          <w:smallCaps w:val="false"/>
          <w:sz w:val="20"/>
        </w:rPr>
        <w:t xml:space="preserve">. All notices, requests, demands, and other communications under this Agreement shall be sent by email and shall be deemed to have been duly given upon confirmation of receipt, including by a “read receipt requested” function, and can also (in addition to email) be delivered personally or sent by overnight courier to the Parties at the addresses set forth on the signature pages or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at such other address as a Party may designate by notice to the other Parties and shall be deemed to have been duly given one (1) Business Day after being sent.</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 Binding Effect; Benefits; Entire Agreement</w:t>
      </w:r>
      <w:r>
        <w:rPr>
          <w:rFonts w:ascii="Times New Roman;Times;Serif" w:hAnsi="Times New Roman;Times;Serif"/>
          <w:b w:val="false"/>
          <w:i w:val="false"/>
          <w:caps w:val="false"/>
          <w:smallCaps w:val="false"/>
          <w:sz w:val="20"/>
        </w:rPr>
        <w:t>.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 No Waiver</w:t>
      </w:r>
      <w:r>
        <w:rPr>
          <w:rFonts w:ascii="Times New Roman;Times;Serif" w:hAnsi="Times New Roman;Times;Serif"/>
          <w:b w:val="false"/>
          <w:i w:val="false"/>
          <w:caps w:val="false"/>
          <w:smallCaps w:val="false"/>
          <w:sz w:val="20"/>
        </w:rPr>
        <w:t>.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 Amendment</w:t>
      </w:r>
      <w:r>
        <w:rPr>
          <w:rFonts w:ascii="Times New Roman;Times;Serif" w:hAnsi="Times New Roman;Times;Serif"/>
          <w:b w:val="false"/>
          <w:i w:val="false"/>
          <w:caps w:val="false"/>
          <w:smallCaps w:val="false"/>
          <w:sz w:val="20"/>
        </w:rPr>
        <w:t xml:space="preserve">. No amendment, modification, or waiver of any provision of this Agreement shall be effective unless in writing and signed by (a) in the case of any amendment, the Company, Lynrock Lake Master Fund LP and the Holders that beneficially own a majority of Registrable Securities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amendment that disproportionately and adversely affects any individual Holder shall be effective without that Holder’s written consent, and (b) in the case of a waiver, the Party waiving its rights hereunder.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sz w:val="20"/>
        </w:rPr>
        <w:t>Assignability</w:t>
      </w:r>
      <w:r>
        <w:rPr>
          <w:rFonts w:ascii="Times New Roman;Times;Serif" w:hAnsi="Times New Roman;Times;Serif"/>
          <w:b w:val="false"/>
          <w:i w:val="false"/>
          <w:caps w:val="false"/>
          <w:smallCaps w:val="false"/>
          <w:sz w:val="20"/>
        </w:rPr>
        <w:t xml:space="preserve">. This Agreement and the rights and obligations of any Holder hereunder may be assigned or transferred, in whole or in part, (a) to any Affiliate of such Holder or (b) to any transferee of Registrable Securities who acquires such securities from such Holder (including by way of (i) sales to third parties or (ii) distributions or other transfers to partners, members, or shareholders of such Holder, or to any investment fund or other entity controlled by, controlling, or under common control with such Holder) and is unable to immediately sell, without limitations (including, but not limited to, any limitation on volume or manner of sale) or restrictions under Rule 144 (including, for the avoidance of doubt, any requirement that current public information be available with respect to the Company or that the Company to be in compliance with public reporting requirements under the 1934 Act), all Registrable Securities held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transferee executes and delivers a Joinder Agreement in the form attached hereto as Exhibit A, agreeing to be bound by the terms and conditions of this Agreement as a “Holder” and, for any transfer under clause (b) of this section, other than a transfer contemplated by clause (b)(ii), the aggregate value of the Registrable Securities being transferred to such transferee in such transaction is equal to or greater than five million dollars ($5,000,000). Any such permitted assignment or transfer shall not be deemed to terminate or otherwise affect any rights or obligations under this Agreement, and all references herein to the “Holder” shall be deemed to include such permitted assignees.</w:t>
      </w:r>
    </w:p>
    <w:p>
      <w:pPr>
        <w:pStyle w:val="TextBody"/>
        <w:bidi w:val="0"/>
        <w:spacing w:before="0" w:after="0"/>
        <w:ind w:left="270" w:right="0" w:firstLine="720"/>
        <w:jc w:val="left"/>
        <w:rPr>
          <w:caps/>
        </w:rPr>
      </w:pPr>
      <w:r>
        <w:rPr>
          <w:caps/>
        </w:rPr>
        <w:t> </w:t>
      </w:r>
    </w:p>
    <w:p>
      <w:pPr>
        <w:pStyle w:val="TextBody"/>
        <w:bidi w:val="0"/>
        <w:spacing w:before="0" w:after="0"/>
        <w:ind w:left="27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TERMINATION; </w:t>
      </w:r>
      <w:r>
        <w:rPr>
          <w:rFonts w:ascii="Times New Roman;Times;Serif" w:hAnsi="Times New Roman;Times;Serif"/>
          <w:b w:val="false"/>
          <w:i w:val="false"/>
          <w:caps/>
          <w:sz w:val="20"/>
        </w:rPr>
        <w:t>Survival.</w:t>
      </w:r>
      <w:r>
        <w:rPr>
          <w:rFonts w:ascii="Times New Roman;Times;Serif" w:hAnsi="Times New Roman;Times;Serif"/>
          <w:b w:val="false"/>
          <w:i w:val="false"/>
          <w:caps w:val="false"/>
          <w:smallCaps w:val="false"/>
          <w:sz w:val="20"/>
        </w:rPr>
        <w:t xml:space="preserve"> Except for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of this Agreement, which shall survive any such termination, (i) this Agreement shall terminate, with respect to any Holder, automatically when such Holder no longer holds any Registrable Securities, and (ii) this Agreement shall terminate as to all Parties when no Holder holds any Registrable Securities.</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 APplicable Law</w:t>
      </w:r>
      <w:r>
        <w:rPr>
          <w:rFonts w:ascii="Times New Roman;Times;Serif" w:hAnsi="Times New Roman;Times;Serif"/>
          <w:b w:val="false"/>
          <w:i w:val="false"/>
          <w:caps w:val="false"/>
          <w:smallCaps w:val="false"/>
          <w:sz w:val="20"/>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applicable matter is vested exclusively in the federal courts of the United States of America, the Federal court of the United States of America sitting in the district of Delaware, and any appellate court from any thereof,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 Specific Performance</w:t>
      </w:r>
      <w:r>
        <w:rPr>
          <w:rFonts w:ascii="Times New Roman;Times;Serif" w:hAnsi="Times New Roman;Times;Serif"/>
          <w:b w:val="false"/>
          <w:i w:val="false"/>
          <w:caps w:val="false"/>
          <w:smallCaps w:val="false"/>
          <w:sz w:val="20"/>
        </w:rPr>
        <w:t>.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 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non-prevailing party to such proceeding shall reimburse the prevailing party for the reasonable costs of and expenses for counsel for such prevailing party incurred in connection with any such proceeding.</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 Severability</w:t>
      </w:r>
      <w:r>
        <w:rPr>
          <w:rFonts w:ascii="Times New Roman;Times;Serif" w:hAnsi="Times New Roman;Times;Serif"/>
          <w:b w:val="false"/>
          <w:i w:val="false"/>
          <w:caps w:val="false"/>
          <w:smallCaps w:val="false"/>
          <w:sz w:val="20"/>
        </w:rPr>
        <w:t>. If any provision of this Agreement is declared by any court of competent jurisdiction to be illegal, void or unenforceable, all other provisions of the Agreement will not be affected and will remain in full force and effect.</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 Section and Other Headings; Interpretation</w:t>
      </w:r>
      <w:r>
        <w:rPr>
          <w:rFonts w:ascii="Times New Roman;Times;Serif" w:hAnsi="Times New Roman;Times;Serif"/>
          <w:b w:val="false"/>
          <w:i w:val="false"/>
          <w:caps w:val="false"/>
          <w:smallCaps w:val="false"/>
          <w:sz w:val="20"/>
        </w:rPr>
        <w:t>.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pStyle w:val="TextBody"/>
        <w:bidi w:val="0"/>
        <w:spacing w:before="0" w:after="0"/>
        <w:ind w:left="27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 Counterparts</w:t>
      </w:r>
      <w:r>
        <w:rPr>
          <w:rFonts w:ascii="Times New Roman;Times;Serif" w:hAnsi="Times New Roman;Times;Serif"/>
          <w:b w:val="false"/>
          <w:i w:val="false"/>
          <w:caps w:val="false"/>
          <w:smallCaps w:val="false"/>
          <w:sz w:val="20"/>
        </w:rPr>
        <w:t>.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SOUNDHOUND AI,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 xml:space="preserve">/s/ Keyvan Mohajer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Notice Address: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SoundHound AI,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5400 Betsy Ross Drive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Santa Clara, CA 95054</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and Notice Information of Holders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3272"/>
        <w:gridCol w:w="860"/>
        <w:gridCol w:w="950"/>
        <w:gridCol w:w="2391"/>
        <w:gridCol w:w="2732"/>
      </w:tblGrid>
      <w:tr>
        <w:trPr/>
        <w:tc>
          <w:tcPr>
            <w:tcW w:w="32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Address</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Email Address</w:t>
            </w:r>
          </w:p>
        </w:tc>
        <w:tc>
          <w:tcPr>
            <w:tcW w:w="239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Signature of Authorized Signatory</w:t>
            </w:r>
          </w:p>
        </w:tc>
        <w:tc>
          <w:tcPr>
            <w:tcW w:w="273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u w:val="single"/>
              </w:rPr>
            </w:pPr>
            <w:r>
              <w:rPr>
                <w:b/>
                <w:u w:val="single"/>
              </w:rPr>
              <w:t>Name/Title</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LYNROCK LAKE MASTER FUND LP</w:t>
            </w:r>
          </w:p>
          <w:p>
            <w:pPr>
              <w:pStyle w:val="TableContents"/>
              <w:bidi w:val="0"/>
              <w:spacing w:before="0" w:after="0"/>
              <w:ind w:left="0" w:right="0" w:hanging="0"/>
              <w:jc w:val="left"/>
              <w:rPr>
                <w:caps w:val="false"/>
                <w:smallCaps w:val="false"/>
              </w:rPr>
            </w:pPr>
            <w:r>
              <w:rPr>
                <w:caps w:val="false"/>
                <w:smallCaps w:val="false"/>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/s/Cynthia Paul</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Lynrock Lake Partners LLC, 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Cynthia Paul</w:t>
              <w:br/>
              <w:t>Title: Member</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Aequim Alternative Investments as Investment Manager</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David Goldstein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Goldstein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Calamos Advisors LLC, a Delaware limited liability company as Investment adviser to holders of the 2L Notes set forth below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Calamos Market Neutral Income Fund, a series of the Calamos Investment Trust, a Massachusetts business trust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Calamos Global Convertible Fund , a series of the Calamos Investment Trust, a Massachusetts business trust</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Calamos Global Dynamic Income Fund , a Delaware statutory business trust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Oblate International Pastoral Investment Trust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Calamos Global Convertible Fund (sub fund of GemCap Investment Funds (Ireland) plc)</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Eli Pars</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Pars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Co-CIO</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 E. Shaw Valence Portfolios, L.L.C.</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Harry Chiel</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Harry Chiel, Authorized Signatory</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Davidson Kempner Equities, Arbitrage and Relative Value LP</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Gabriel T. Schwartz</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T. Schwartz</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Co-Deputy Executive Managing Member</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M.H. Davidson &amp; Co.</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Gabriel T. Schwartz</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T. Schwartz</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Co-Deputy Executive Managing Member</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Linden Capital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PCH Manager Fund, SPC. solely on behalf of and for the account of Segregated Portfolio 214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Crown Managed Accounts SPC acting for and on behalf of Crown/Linden Segregated Portfolio</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Saul Ahn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LINDEN ADVISORS LP, on behalf of the accounts managed by 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Saul Ahn, Authorized Signatory</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CHI-RHO MULTI-STRATEGY MASTER FUND, LTD</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Xiuping Li</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Xiuping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CIO Opti Capital Management, LP</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Eagle Harbor Multi Strategy Master Fund, LTD</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Xiuping Li</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Xiuping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CIO Opti Capital Management, LP</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Opti Opportunity Master Fund, LP</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Xiuping Li</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Xiuping Li General Partner Opti Opportunity Associates</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Silverback Opportunistic Credit Master Fund Limited</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Robert Barron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Barron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CIO</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Blackwell Partners Series B</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Robert Barron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Barron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CIO</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KASAD 2, L.P.</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Robert Barron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Barron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CIO</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Tenor Opportunity Master Fund, Ltd.</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Daniel Kochav</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Kochav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32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Palogic Value Fund, LP</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c>
          <w:tcPr>
            <w:tcW w:w="23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 Ryan Vardeman</w:t>
            </w:r>
          </w:p>
        </w:tc>
        <w:tc>
          <w:tcPr>
            <w:tcW w:w="273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Vardeman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 of Palogic Capital Management, LLC, the general partner of Palogic Value Management LP, the general partner of Palogic Value Fund, LP</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reimbursement of reasonable and documented fees and disbursements of counsel to the Holders set forth in Section 2.03 and 2.07 hereto shall not exceed, in the aggregate for Section 2.03 and 2.07, $10,000 per Holder (or $10,000 per group of Holders, to the extent any such Holders are affiliated and inclusive of any transferees pursuant to Section 3.05). Such Holders shall keep the Company reasonably apprised of the amount of any such expenses incurred in advance of the invoicing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AND JOINDER AGREEMENT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Signature Page and Joinder Agreement, the undersigned hereby agrees, to (i) become a party to that certain Registration Rights Agreement, dated September 4, 2026 (as amended, modified or supplemented from time to time in accordance with the terms thereof,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by and among SoundHound AI, Inc., a Delaware corporation, and the other parties thereto and (ii) be deemed to be and be bound as a Holder (as defined in the Registration Rights Agreement) with such rights (and related obligations and liabilities) in respect of the Registrable Securities (as defined in the Registration Rights Agreement) being acquired by the undersigned in connection with the execution of this Signature Page and Joinder Agreement and subject to the terms and conditions of the Registration Rights Agreement as if an original party thereto.</w:t>
      </w:r>
    </w:p>
    <w:p>
      <w:pPr>
        <w:pStyle w:val="TextBody"/>
        <w:bidi w:val="0"/>
        <w:spacing w:before="0" w:after="0"/>
        <w:ind w:left="0" w:right="0" w:firstLine="720"/>
        <w:jc w:val="left"/>
        <w:rPr>
          <w:caps w:val="false"/>
          <w:smallCaps w:val="false"/>
        </w:rPr>
      </w:pPr>
      <w:r>
        <w:rPr>
          <w:caps w:val="false"/>
          <w:smallCaps w:val="false"/>
        </w:rPr>
        <w:t> </w:t>
      </w:r>
    </w:p>
    <w:tbl>
      <w:tblPr>
        <w:tblW w:w="2004" w:type="dxa"/>
        <w:jc w:val="left"/>
        <w:tblInd w:w="0" w:type="dxa"/>
        <w:tblLayout w:type="fixed"/>
        <w:tblCellMar>
          <w:top w:w="0" w:type="dxa"/>
          <w:left w:w="0" w:type="dxa"/>
          <w:bottom w:w="0" w:type="dxa"/>
          <w:right w:w="0" w:type="dxa"/>
        </w:tblCellMar>
      </w:tblPr>
      <w:tblGrid>
        <w:gridCol w:w="75"/>
        <w:gridCol w:w="365"/>
        <w:gridCol w:w="1388"/>
        <w:gridCol w:w="176"/>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564" w:type="dxa"/>
            <w:gridSpan w:val="2"/>
            <w:tcBorders>
              <w:bottom w:val="single" w:sz="12" w:space="0" w:color="000000"/>
            </w:tcBorders>
            <w:tcMar>
              <w:bottom w:w="80"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left"/>
              <w:rPr/>
            </w:pPr>
            <w:r>
              <w:rPr/>
              <w:t>Name:</w:t>
            </w:r>
          </w:p>
        </w:tc>
        <w:tc>
          <w:tcPr>
            <w:tcW w:w="1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left"/>
              <w:rPr/>
            </w:pPr>
            <w:r>
              <w:rPr/>
              <w:t>Title:</w:t>
            </w:r>
          </w:p>
        </w:tc>
        <w:tc>
          <w:tcPr>
            <w:tcW w:w="1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Notice Address: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left"/>
              <w:rPr/>
            </w:pPr>
            <w:r>
              <w:rPr/>
              <w:t>Email:</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469101ex99-1.htm"/>
      <w:bookmarkStart w:id="28" w:name="ksea0304691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Completes Acquisition of LivePerson, Creating a World-Leading Omnichannel Conversational AI Powerhouse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Combined company appoints John Collins as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943600" cy="297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5943600" cy="2971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SANTA CLARA, Calif. — September 04, 2026</w:t>
      </w:r>
      <w:r>
        <w:rPr>
          <w:rFonts w:ascii="Times New Roman;Times;Serif" w:hAnsi="Times New Roman;Times;Serif"/>
          <w:b w:val="false"/>
          <w:i w:val="false"/>
          <w:caps w:val="false"/>
          <w:smallCaps w:val="false"/>
          <w:sz w:val="20"/>
        </w:rPr>
        <w:t xml:space="preserve"> — SoundHound AI, Inc. (Nasdaq: SOUN), a global leader in voice and agentic AI, today announced the successful completion of its acquisition of LivePerson, Inc., and the appointment of John Collins as the combined company’s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transaction officially closed, SoundHound AI immediately expands its market footprint, with a customer base that includes 25 of the Fortune 100, and a strengthened IP portfolio of over 750 patents. The combination brings together LivePerson’s extensive enterprise digital messaging infrastructure with SoundHound’s proprietary voice agentic AI. LivePerson’s platform will be integrated into OASYS, SoundHound’s self-learning Orchestrated Agent System, which is the result of decades of innovation from SoundHound and its recent acquisitions. The unified platform will deliver a world-leading fully integrated, end-to-end customer engagement solution that operates natively across voice, web, mobile, SMS, and social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This merger represents a defining moment for the new agentic AI era. Together, we are delivering the most complete AI platform to the most comprehensive enterprise customer base in the industry,” </w:t>
      </w:r>
      <w:r>
        <w:rPr>
          <w:rFonts w:ascii="Times New Roman;Times;Serif" w:hAnsi="Times New Roman;Times;Serif"/>
          <w:b/>
          <w:i w:val="false"/>
          <w:caps w:val="false"/>
          <w:smallCaps w:val="false"/>
          <w:sz w:val="20"/>
        </w:rPr>
        <w:t>said Keyvan Mohajer, CEO and Co-Founder of SoundHound 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Now global brands have a single, unified engine to power intelligent customer interactions — scaling SoundHound’s reach to serve every enterprise, on every channel, at an unprecedented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Highlights of the closed transaction include a strong and fully debt-free combined balance sheet, establishing a resilient financial foundation for accelerated commercial growth and continuous product innovation. With expanded global scale, an enriched customer base spanning key enterprise verticals, and enhanced cross-selling capabilities, the unified company is strategically positioned to target more than $500M in future revenue from the existing customer base alone. The acquisition accelerates the combined company’s ability to address the rapid rise of agentic AI, with Gartner® forecasting that enterprise spend on the software will reach $985 billion by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Chief Financial Officer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 extensive executive search, SoundHound AI has selected John Collins to join the company as its Chief Financial Officer. As CFO, Collins will focus on accelerating SoundHound AI’s path to sustainable profitability, while maintaining its strong growth trajectory and disciplined approach to capital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Collins brings over 15 years of leadership experience at the intersection of enterprise software, data science, capital markets, corporate finance, and artificial intelligence. With a rare blend of operator expertise, financial stewardship, and entrepreneurial vision, he has previously been a founder, as well as Chief Financial Officer, Chief Operating Officer, and Interim Chief Executive Officer at LivePerson.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his career, Collins has consistently met the strategic and financial needs of the business, from supporting R&amp;D innovation and high growth, to driving cost-optimization initiatives that yielded free cash flow and improved operational efficiency. Notably, Collins led a transformation from more than $100M of annual cash burn to positive free cash flow in a single year while supporting double-digit growth, executed cost-reduction programs in excess of $200M, and led multi-year debt restructurings that captured $227M of debt discount, improving liquidity and shifting enterprise value from debt holders to equity holders. This proven background in managing complex enterprise infrastructure equips Collins to drive the financial integration of SoundHound AI and LivePerson post-close, helping to create a world leader in AI for customer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both a JD and an MBA, Collins will oversee the combined company’s financial strategy with a focus on accelerating margin expansion, enforcing tight cost discipline, and driving seamless operational synergies to capitalize on SoundHound AI’s expanded footprint and the rapidly growing agentic AI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Joining SoundHound AI at this pivotal juncture is an extraordinary opportunity to help steer the company’s next phase of global growth at a time of rapid agentic AI adoption by large enterprises,”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said John Collins, incoming CFO of SoundHound AI.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Backed by a strong, debt-free balance sheet and market momentum, my focus will be on driving seamless operational integration, enforcing cost discipline, and accelerating our path to sustainable, high-margin profitability.”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Day One Combination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following regulatory and shareholder approvals, integration is actively underway to deliver immediate value to customers and shareholders: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b/>
              </w:rPr>
              <w:t>Unified Omnichannel Solutions:</w:t>
            </w:r>
            <w:r>
              <w:rPr/>
              <w:t xml:space="preserve"> Enterprise customers can now deploy a single conversational AI platform capable of driving voice interactions, digital chat, and social messaging natively.</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left"/>
              <w:rPr/>
            </w:pPr>
            <w:r>
              <w:rPr>
                <w:b/>
              </w:rPr>
              <w:t xml:space="preserve">Enhanced AI Capabilities for LivePerson Customers: </w:t>
            </w:r>
            <w:r>
              <w:rPr/>
              <w:t>SoundHound’s fully agentic platform, OASYS, and AI models will deliver improvements in performance, user experience, containment, and overall customer health across LivePerson’s enterprise customer base spanning digital and voice channels.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left"/>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left"/>
              <w:rPr/>
            </w:pPr>
            <w:r>
              <w:rPr>
                <w:b/>
              </w:rPr>
              <w:t>Smarter, Faster AI Across Every Channel</w:t>
            </w:r>
            <w:r>
              <w:rPr/>
              <w:t>: By combining SoundHound’s deep voice capabilities with LivePerson’s proven digital engagement, enterprise deployments benefit from an even richer foundation of customer interaction insights. This means higher containment rates, faster resolution times, and smoother experiences.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Strengthened Financial Footprint:</w:t>
            </w:r>
            <w:r>
              <w:rPr/>
              <w:t xml:space="preserve"> As part of the close, SoundHound has retired LivePerson’s outstanding debt, establishing a strong, debt-free balance sheet positioned to drive efficient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Our shared focus is clear: accelerate innovation and deliver immediate impact for our customers,” </w:t>
      </w:r>
      <w:r>
        <w:rPr>
          <w:rFonts w:ascii="Times New Roman;Times;Serif" w:hAnsi="Times New Roman;Times;Serif"/>
          <w:b w:val="false"/>
          <w:i w:val="false"/>
          <w:caps w:val="false"/>
          <w:smallCaps w:val="false"/>
          <w:sz w:val="20"/>
        </w:rPr>
        <w:t xml:space="preserve">said </w:t>
      </w:r>
      <w:r>
        <w:rPr>
          <w:rFonts w:ascii="Times New Roman;Times;Serif" w:hAnsi="Times New Roman;Times;Serif"/>
          <w:b/>
          <w:i w:val="false"/>
          <w:caps w:val="false"/>
          <w:smallCaps w:val="false"/>
          <w:sz w:val="20"/>
        </w:rPr>
        <w:t>John Sabino, CEO of LivePerson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Together, we offer an unparalleled value proposition for enterprises seeking to modernize their contact centers and digital touchpoints with a trusted, enterprise-grade AI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transaction closed, LivePerson common stock will cease trading on the Nasdaq stock market. Functional integration is already underway, with combined product offerings and expanded capabilities set to roll out to global clients in the coming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SoundHound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(Nasdaq:SOUN) is a voice and agentic AI company that enables businesses to deliver natural, end-to-end conversational experiences across digital and physical channels, including phones, kiosks, chat, smart devices, drive-thrus, TVs, in-vehicle, and more. Its agentic platform, OASYS, is a self-learning, orchestrated AI system where organizations can build and deploy conversational AI agents to handle transactions, tasks, and workflows on behalf of customers and employees. Built on proprietary technology backed by 750+ patents and years of AI research, SoundHound serves leading brands across industries including automotive, financial services, healthcare, retail, telecommunications, and more. It powers millions of products and processes billions of interactions annually for enterprise customers worldwide. Learn more at: www.soundhound.com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 looking statements” within the meaning of the U.S. federal securities laws about the expectations, beliefs, plans, intentions, prospects, financial results and strategies relating to SoundHound AI’s acquisition of LivePerson. Such forward looking statements include, among others, statements regarding future product capabilities and offerings, expected benefits to SoundHound AI and LivePerson and their customers arising from and in relation to the acquisition, SoundHound AI’s plans for future operations and anticipated product offerings, the parties’ expectations for value creation and strategic advantages, market and growth opportunities, SoundHound AI’s anticipated revenue growth and profitability, future financial condition and performance and expected financial impacts of the acquisition, and the parties’ expectations, intentions, strategies, assumptions or beliefs about future events, results of operations or performance or that do not solely relate to historical or current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Factors that may cause actual results to differ materially from those in any forward looking statements include, without limitation, the effect of the acquisition on SoundHound AI’s or LivePerson’s business, operating results, and relationships with customers, suppliers, competitors and others; risks that the acquisition may disrupt SoundHound AI’s or LivePerson’s current plans and business operations; failure to realize the anticipated benefits of the acquisition; challenges or delays in assimilating or integrating LivePerson’s technology into SoundHound AI’s platform; challenges retaining employees of LivePerson; unanticipated obligations or liabilities related to LivePerson’s legacy business; potential adverse tax consequences and the potential effects on the accounting of the acquisition; changes in applicable laws or regulations and extensive and evolving government regulations that impact SoundHound AI’s or LivePerson’s operations and business; investigations, claims, disputes, enforcement actions, litigation and/or other regulatory or legal proceedings, including with respect to AI technology; risks that SoundHound AI may not be able to manage strains associated with its growth; dependence on key personnel; stock price volatility; SoundHound AI’s and LivePerson’s ability to protect their intellectual property and related litigation risks; the risk that LivePerson’s usage patterns, customer renewals, customer outcomes and similar metrics differ from expectations; the risk of cybersecurity incidents or breaches impacting LivePerson’s business; risks related to the use and regulation of artificial intelligence and machine learning; changes in business, market, financial, political and regulatory conditions; and disruption to SoundHound AI’s business and diversion of our management’s attention and other resources. The foregoing list of risk factors is not exhaustive. Further information on factors that could affect our financial and other results is included in the filings that SoundHound AI and/or LivePerson filed, or that will be filed,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based on information available to SoundHound AI as of the date hereof, and SoundHound AI assumes no obligation to update any forward-looking statements,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0856/000121390026075086/ea029685601ex2-1.htm" TargetMode="External"/><Relationship Id="rId3" Type="http://schemas.openxmlformats.org/officeDocument/2006/relationships/hyperlink" Target="https://www.sec.gov/Archives/edgar/data/1840856/000121390026045987/ea028711701ex10-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12531</Words>
  <Characters>68969</Characters>
  <CharactersWithSpaces>81427</CharactersWithSpaces>
  <Paragraphs>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