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380" w:right="256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§240.13d-2</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ARCHIMEDES TECH SPAC PARTNERS CO</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38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039562 103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2942590</wp:posOffset>
            </wp:positionH>
            <wp:positionV relativeFrom="paragraph">
              <wp:posOffset>-7620</wp:posOffset>
            </wp:positionV>
            <wp:extent cx="12566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2809875</wp:posOffset>
            </wp:positionH>
            <wp:positionV relativeFrom="paragraph">
              <wp:posOffset>-7620</wp:posOffset>
            </wp:positionV>
            <wp:extent cx="1522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 (c)</w:t>
      </w:r>
    </w:p>
    <w:p>
      <w:pPr>
        <w:spacing w:after="0" w:line="225" w:lineRule="exact"/>
        <w:rPr>
          <w:sz w:val="24"/>
          <w:szCs w:val="24"/>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 (d)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620" w:type="dxa"/>
            <w:vAlign w:val="bottom"/>
            <w:tcBorders>
              <w:top w:val="single" w:sz="8" w:color="auto"/>
              <w:left w:val="single" w:sz="8" w:color="auto"/>
            </w:tcBorders>
            <w:gridSpan w:val="2"/>
          </w:tcPr>
          <w:p>
            <w:pPr>
              <w:ind w:left="14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right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640" w:type="dxa"/>
            <w:vAlign w:val="bottom"/>
            <w:tcBorders>
              <w:top w:val="single" w:sz="8" w:color="auto"/>
              <w:bottom w:val="single" w:sz="8" w:color="auto"/>
            </w:tcBorders>
            <w:gridSpan w:val="10"/>
          </w:tcPr>
          <w:p>
            <w:pPr>
              <w:spacing w:after="0"/>
              <w:rPr>
                <w:sz w:val="20"/>
                <w:szCs w:val="20"/>
                <w:color w:val="auto"/>
              </w:rPr>
            </w:pPr>
            <w:r>
              <w:rPr>
                <w:rFonts w:ascii="Arial" w:cs="Arial" w:eastAsia="Arial" w:hAnsi="Arial"/>
                <w:sz w:val="18"/>
                <w:szCs w:val="18"/>
                <w:color w:val="auto"/>
                <w:w w:val="95"/>
              </w:rPr>
              <w:t>NAME OF REPORTING PERSON</w:t>
            </w:r>
          </w:p>
        </w:tc>
        <w:tc>
          <w:tcPr>
            <w:tcW w:w="7680" w:type="dxa"/>
            <w:vAlign w:val="bottom"/>
            <w:tcBorders>
              <w:top w:val="single" w:sz="8" w:color="auto"/>
              <w:right w:val="single" w:sz="8" w:color="auto"/>
            </w:tcBorders>
            <w:gridSpan w:val="10"/>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320" w:type="dxa"/>
            <w:vAlign w:val="bottom"/>
            <w:tcBorders>
              <w:right w:val="single" w:sz="8" w:color="auto"/>
            </w:tcBorders>
            <w:gridSpan w:val="20"/>
          </w:tcPr>
          <w:p>
            <w:pPr>
              <w:spacing w:after="0"/>
              <w:rPr>
                <w:sz w:val="20"/>
                <w:szCs w:val="20"/>
                <w:color w:val="auto"/>
              </w:rPr>
            </w:pPr>
            <w:r>
              <w:rPr>
                <w:rFonts w:ascii="Arial" w:cs="Arial" w:eastAsia="Arial" w:hAnsi="Arial"/>
                <w:sz w:val="18"/>
                <w:szCs w:val="18"/>
                <w:b w:val="1"/>
                <w:bCs w:val="1"/>
                <w:color w:val="auto"/>
              </w:rPr>
              <w:t>Archimedes Tech SPAC Sponsors LLC</w:t>
            </w:r>
          </w:p>
        </w:tc>
        <w:tc>
          <w:tcPr>
            <w:tcW w:w="0" w:type="dxa"/>
            <w:vAlign w:val="bottom"/>
          </w:tcPr>
          <w:p>
            <w:pPr>
              <w:spacing w:after="0"/>
              <w:rPr>
                <w:sz w:val="1"/>
                <w:szCs w:val="1"/>
                <w:color w:val="auto"/>
              </w:rPr>
            </w:pPr>
          </w:p>
        </w:tc>
      </w:tr>
      <w:tr>
        <w:trPr>
          <w:trHeight w:val="74"/>
        </w:trPr>
        <w:tc>
          <w:tcPr>
            <w:tcW w:w="14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92"/>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320" w:type="dxa"/>
            <w:vAlign w:val="bottom"/>
            <w:tcBorders>
              <w:right w:val="single" w:sz="8" w:color="auto"/>
            </w:tcBorders>
            <w:gridSpan w:val="20"/>
          </w:tcPr>
          <w:p>
            <w:pPr>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90"/>
        </w:trPr>
        <w:tc>
          <w:tcPr>
            <w:tcW w:w="140" w:type="dxa"/>
            <w:vAlign w:val="bottom"/>
            <w:tcBorders>
              <w:lef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gridSpan w:val="7"/>
          </w:tcPr>
          <w:p>
            <w:pPr>
              <w:spacing w:after="0" w:line="18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4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2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7"/>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7"/>
          </w:tcPr>
          <w:p>
            <w:pPr>
              <w:spacing w:after="0"/>
              <w:rPr>
                <w:sz w:val="20"/>
                <w:szCs w:val="20"/>
                <w:color w:val="auto"/>
              </w:rPr>
            </w:pPr>
            <w:r>
              <w:rPr>
                <w:rFonts w:ascii="Arial" w:cs="Arial" w:eastAsia="Arial" w:hAnsi="Arial"/>
                <w:sz w:val="18"/>
                <w:szCs w:val="18"/>
                <w:color w:val="auto"/>
              </w:rPr>
              <w:t>SEC USE ONLY</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320" w:type="dxa"/>
            <w:vAlign w:val="bottom"/>
            <w:tcBorders>
              <w:right w:val="single" w:sz="8" w:color="auto"/>
            </w:tcBorders>
            <w:gridSpan w:val="20"/>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Delaware</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left w:val="single" w:sz="8" w:color="auto"/>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0" w:type="dxa"/>
            <w:vAlign w:val="bottom"/>
            <w:tcBorders>
              <w:lef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8080" w:type="dxa"/>
            <w:vAlign w:val="bottom"/>
            <w:tcBorders>
              <w:right w:val="single" w:sz="8" w:color="auto"/>
            </w:tcBorders>
            <w:gridSpan w:val="1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9"/>
            <w:vMerge w:val="restart"/>
          </w:tcPr>
          <w:p>
            <w:pPr>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3,599,500</w:t>
            </w: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40" w:type="dxa"/>
            <w:vAlign w:val="bottom"/>
            <w:tcBorders>
              <w:left w:val="single" w:sz="8" w:color="auto"/>
            </w:tcBorders>
          </w:tcPr>
          <w:p>
            <w:pPr>
              <w:spacing w:after="0"/>
              <w:rPr>
                <w:sz w:val="8"/>
                <w:szCs w:val="8"/>
                <w:color w:val="auto"/>
              </w:rPr>
            </w:pPr>
          </w:p>
        </w:tc>
        <w:tc>
          <w:tcPr>
            <w:tcW w:w="2140" w:type="dxa"/>
            <w:vAlign w:val="bottom"/>
            <w:tcBorders>
              <w:right w:val="single" w:sz="8" w:color="auto"/>
            </w:tcBorders>
            <w:gridSpan w:val="9"/>
            <w:vMerge w:val="continue"/>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89"/>
              </w:rPr>
              <w:t>SHARES</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8080" w:type="dxa"/>
            <w:vAlign w:val="bottom"/>
            <w:tcBorders>
              <w:right w:val="single" w:sz="8" w:color="auto"/>
            </w:tcBorders>
            <w:gridSpan w:val="12"/>
          </w:tcPr>
          <w:p>
            <w:pPr>
              <w:spacing w:after="0" w:line="19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1260" w:type="dxa"/>
            <w:vAlign w:val="bottom"/>
            <w:gridSpan w:val="7"/>
            <w:vMerge w:val="restart"/>
          </w:tcPr>
          <w:p>
            <w:pPr>
              <w:spacing w:after="0" w:line="182" w:lineRule="exact"/>
              <w:rPr>
                <w:sz w:val="20"/>
                <w:szCs w:val="20"/>
                <w:color w:val="auto"/>
              </w:rPr>
            </w:pPr>
            <w:r>
              <w:rPr>
                <w:rFonts w:ascii="Arial" w:cs="Arial" w:eastAsia="Arial" w:hAnsi="Arial"/>
                <w:sz w:val="18"/>
                <w:szCs w:val="18"/>
                <w:color w:val="auto"/>
                <w:w w:val="97"/>
              </w:rPr>
              <w:t>BENEFICIALLY</w:t>
            </w:r>
          </w:p>
        </w:tc>
        <w:tc>
          <w:tcPr>
            <w:tcW w:w="880" w:type="dxa"/>
            <w:vAlign w:val="bottom"/>
            <w:tcBorders>
              <w:right w:val="single" w:sz="8" w:color="auto"/>
            </w:tcBorders>
            <w:gridSpan w:val="2"/>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40" w:type="dxa"/>
            <w:vAlign w:val="bottom"/>
            <w:tcBorders>
              <w:left w:val="single" w:sz="8" w:color="auto"/>
            </w:tcBorders>
          </w:tcPr>
          <w:p>
            <w:pPr>
              <w:spacing w:after="0"/>
              <w:rPr>
                <w:sz w:val="13"/>
                <w:szCs w:val="13"/>
                <w:color w:val="auto"/>
              </w:rPr>
            </w:pPr>
          </w:p>
        </w:tc>
        <w:tc>
          <w:tcPr>
            <w:tcW w:w="1260" w:type="dxa"/>
            <w:vAlign w:val="bottom"/>
            <w:tcBorders>
              <w:bottom w:val="single" w:sz="8" w:color="auto"/>
            </w:tcBorders>
            <w:gridSpan w:val="7"/>
            <w:vMerge w:val="continue"/>
          </w:tcPr>
          <w:p>
            <w:pPr>
              <w:spacing w:after="0"/>
              <w:rPr>
                <w:sz w:val="13"/>
                <w:szCs w:val="13"/>
                <w:color w:val="auto"/>
              </w:rPr>
            </w:pPr>
          </w:p>
        </w:tc>
        <w:tc>
          <w:tcPr>
            <w:tcW w:w="880" w:type="dxa"/>
            <w:vAlign w:val="bottom"/>
            <w:tcBorders>
              <w:right w:val="single" w:sz="8" w:color="auto"/>
            </w:tcBorders>
            <w:gridSpan w:val="2"/>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440" w:type="dxa"/>
            <w:vAlign w:val="bottom"/>
            <w:gridSpan w:val="2"/>
          </w:tcPr>
          <w:p>
            <w:pPr>
              <w:ind w:left="80"/>
              <w:spacing w:after="0" w:line="156" w:lineRule="exact"/>
              <w:rPr>
                <w:sz w:val="20"/>
                <w:szCs w:val="20"/>
                <w:color w:val="auto"/>
              </w:rPr>
            </w:pPr>
            <w:r>
              <w:rPr>
                <w:rFonts w:ascii="Arial" w:cs="Arial" w:eastAsia="Arial" w:hAnsi="Arial"/>
                <w:sz w:val="18"/>
                <w:szCs w:val="18"/>
                <w:b w:val="1"/>
                <w:bCs w:val="1"/>
                <w:color w:val="auto"/>
              </w:rPr>
              <w:t>-0-</w:t>
            </w: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auto"/>
            </w:tcBorders>
            <w:vMerge w:val="restart"/>
          </w:tcPr>
          <w:p>
            <w:pPr>
              <w:spacing w:after="0"/>
              <w:rPr>
                <w:sz w:val="10"/>
                <w:szCs w:val="10"/>
                <w:color w:val="auto"/>
              </w:rPr>
            </w:pPr>
          </w:p>
        </w:tc>
        <w:tc>
          <w:tcPr>
            <w:tcW w:w="2140" w:type="dxa"/>
            <w:vAlign w:val="bottom"/>
            <w:tcBorders>
              <w:right w:val="single" w:sz="8" w:color="auto"/>
            </w:tcBorders>
            <w:gridSpan w:val="9"/>
            <w:vMerge w:val="restart"/>
          </w:tcPr>
          <w:p>
            <w:pPr>
              <w:spacing w:after="0" w:line="196" w:lineRule="exact"/>
              <w:rPr>
                <w:sz w:val="20"/>
                <w:szCs w:val="20"/>
                <w:color w:val="auto"/>
              </w:rPr>
            </w:pPr>
            <w:r>
              <w:rPr>
                <w:rFonts w:ascii="Arial" w:cs="Arial" w:eastAsia="Arial" w:hAnsi="Arial"/>
                <w:sz w:val="18"/>
                <w:szCs w:val="18"/>
                <w:color w:val="auto"/>
              </w:rPr>
              <w:t>OWNED BY</w:t>
            </w:r>
          </w:p>
        </w:tc>
        <w:tc>
          <w:tcPr>
            <w:tcW w:w="80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vMerge w:val="continue"/>
          </w:tcPr>
          <w:p>
            <w:pPr>
              <w:spacing w:after="0"/>
              <w:rPr>
                <w:sz w:val="4"/>
                <w:szCs w:val="4"/>
                <w:color w:val="auto"/>
              </w:rPr>
            </w:pPr>
          </w:p>
        </w:tc>
        <w:tc>
          <w:tcPr>
            <w:tcW w:w="2140" w:type="dxa"/>
            <w:vAlign w:val="bottom"/>
            <w:tcBorders>
              <w:right w:val="single" w:sz="8" w:color="auto"/>
            </w:tcBorders>
            <w:gridSpan w:val="9"/>
            <w:vMerge w:val="continue"/>
          </w:tcPr>
          <w:p>
            <w:pPr>
              <w:spacing w:after="0"/>
              <w:rPr>
                <w:sz w:val="4"/>
                <w:szCs w:val="4"/>
                <w:color w:val="auto"/>
              </w:rPr>
            </w:pPr>
          </w:p>
        </w:tc>
        <w:tc>
          <w:tcPr>
            <w:tcW w:w="80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4"/>
                <w:szCs w:val="4"/>
                <w:color w:val="auto"/>
              </w:rPr>
            </w:pPr>
          </w:p>
        </w:tc>
        <w:tc>
          <w:tcPr>
            <w:tcW w:w="2260" w:type="dxa"/>
            <w:vAlign w:val="bottom"/>
            <w:gridSpan w:val="6"/>
            <w:vMerge w:val="restart"/>
          </w:tcPr>
          <w:p>
            <w:pPr>
              <w:spacing w:after="0"/>
              <w:rPr>
                <w:sz w:val="20"/>
                <w:szCs w:val="20"/>
                <w:color w:val="auto"/>
              </w:rPr>
            </w:pPr>
            <w:r>
              <w:rPr>
                <w:rFonts w:ascii="Arial" w:cs="Arial" w:eastAsia="Arial" w:hAnsi="Arial"/>
                <w:sz w:val="18"/>
                <w:szCs w:val="18"/>
                <w:color w:val="auto"/>
                <w:w w:val="93"/>
              </w:rPr>
              <w:t>SOLE DISPOSITIVE POWER</w:t>
            </w: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8"/>
                <w:szCs w:val="18"/>
                <w:color w:val="auto"/>
              </w:rPr>
              <w:t>EACH</w:t>
            </w: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Borders>
              <w:bottom w:val="single" w:sz="8" w:color="auto"/>
            </w:tcBorders>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40" w:type="dxa"/>
            <w:vAlign w:val="bottom"/>
            <w:tcBorders>
              <w:right w:val="single" w:sz="8" w:color="auto"/>
            </w:tcBorders>
            <w:gridSpan w:val="4"/>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52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3,599,500</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9"/>
          </w:tcPr>
          <w:p>
            <w:pPr>
              <w:spacing w:after="0" w:line="183" w:lineRule="exact"/>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vMerge w:val="restart"/>
          </w:tcPr>
          <w:p>
            <w:pPr>
              <w:spacing w:after="0"/>
              <w:rPr>
                <w:sz w:val="5"/>
                <w:szCs w:val="5"/>
                <w:color w:val="auto"/>
              </w:rPr>
            </w:pPr>
          </w:p>
        </w:tc>
        <w:tc>
          <w:tcPr>
            <w:tcW w:w="700" w:type="dxa"/>
            <w:vAlign w:val="bottom"/>
            <w:tcBorders>
              <w:top w:val="single" w:sz="8" w:color="auto"/>
              <w:bottom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auto"/>
                <w:w w:val="86"/>
              </w:rPr>
              <w:t>PERSON</w:t>
            </w:r>
          </w:p>
        </w:tc>
        <w:tc>
          <w:tcPr>
            <w:tcW w:w="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40" w:type="dxa"/>
            <w:vAlign w:val="bottom"/>
            <w:tcBorders>
              <w:left w:val="single" w:sz="8" w:color="auto"/>
            </w:tcBorders>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9"/>
                <w:szCs w:val="9"/>
                <w:color w:val="auto"/>
              </w:rPr>
            </w:pPr>
          </w:p>
        </w:tc>
        <w:tc>
          <w:tcPr>
            <w:tcW w:w="2540" w:type="dxa"/>
            <w:vAlign w:val="bottom"/>
            <w:gridSpan w:val="7"/>
            <w:vMerge w:val="restart"/>
          </w:tcPr>
          <w:p>
            <w:pPr>
              <w:spacing w:after="0"/>
              <w:rPr>
                <w:sz w:val="20"/>
                <w:szCs w:val="20"/>
                <w:color w:val="auto"/>
              </w:rPr>
            </w:pPr>
            <w:r>
              <w:rPr>
                <w:rFonts w:ascii="Arial" w:cs="Arial" w:eastAsia="Arial" w:hAnsi="Arial"/>
                <w:sz w:val="18"/>
                <w:szCs w:val="18"/>
                <w:color w:val="auto"/>
                <w:w w:val="94"/>
              </w:rPr>
              <w:t>SHARED DISPOSITIVE POWER</w:t>
            </w:r>
          </w:p>
        </w:tc>
        <w:tc>
          <w:tcPr>
            <w:tcW w:w="5540" w:type="dxa"/>
            <w:vAlign w:val="bottom"/>
            <w:tcBorders>
              <w:right w:val="single" w:sz="8" w:color="auto"/>
            </w:tcBorders>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40" w:type="dxa"/>
            <w:vAlign w:val="bottom"/>
            <w:tcBorders>
              <w:left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Borders>
              <w:bottom w:val="single" w:sz="8" w:color="auto"/>
            </w:tcBorders>
            <w:gridSpan w:val="7"/>
            <w:vMerge w:val="continue"/>
          </w:tcPr>
          <w:p>
            <w:pPr>
              <w:spacing w:after="0"/>
              <w:rPr>
                <w:sz w:val="10"/>
                <w:szCs w:val="10"/>
                <w:color w:val="auto"/>
              </w:rPr>
            </w:pPr>
          </w:p>
        </w:tc>
        <w:tc>
          <w:tcPr>
            <w:tcW w:w="554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b w:val="1"/>
                <w:bCs w:val="1"/>
                <w:color w:val="auto"/>
              </w:rPr>
              <w:t>-0-</w:t>
            </w: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4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20"/>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3,599,500</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4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20"/>
          </w:tcPr>
          <w:p>
            <w:pPr>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1"/>
        </w:trPr>
        <w:tc>
          <w:tcPr>
            <w:tcW w:w="1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244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20"/>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20.61%</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4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20"/>
          </w:tcPr>
          <w:p>
            <w:pPr>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Borders>
              <w:top w:val="single" w:sz="8" w:color="auto"/>
            </w:tcBorders>
            <w:gridSpan w:val="7"/>
          </w:tcPr>
          <w:p>
            <w:pPr>
              <w:spacing w:after="0"/>
              <w:rPr>
                <w:sz w:val="20"/>
                <w:szCs w:val="20"/>
                <w:color w:val="auto"/>
              </w:rPr>
            </w:pPr>
            <w:r>
              <w:rPr>
                <w:rFonts w:ascii="Arial" w:cs="Arial" w:eastAsia="Arial" w:hAnsi="Arial"/>
                <w:sz w:val="18"/>
                <w:szCs w:val="18"/>
                <w:b w:val="1"/>
                <w:bCs w:val="1"/>
                <w:color w:val="auto"/>
              </w:rPr>
              <w:t>OO</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4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6"/>
        </w:trPr>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22"/>
                <w:szCs w:val="22"/>
                <w:color w:val="auto"/>
              </w:rPr>
              <w:t>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20" w:type="dxa"/>
            <w:vAlign w:val="bottom"/>
            <w:tcBorders>
              <w:top w:val="single" w:sz="8" w:color="auto"/>
              <w:left w:val="single" w:sz="8" w:color="auto"/>
            </w:tcBorders>
            <w:gridSpan w:val="2"/>
          </w:tcPr>
          <w:p>
            <w:pPr>
              <w:ind w:left="14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right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0320" w:type="dxa"/>
            <w:vAlign w:val="bottom"/>
            <w:tcBorders>
              <w:top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6"/>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Borders>
              <w:top w:val="single" w:sz="8" w:color="auto"/>
            </w:tcBorders>
            <w:gridSpan w:val="7"/>
          </w:tcPr>
          <w:p>
            <w:pPr>
              <w:spacing w:after="0"/>
              <w:rPr>
                <w:sz w:val="20"/>
                <w:szCs w:val="20"/>
                <w:color w:val="auto"/>
              </w:rPr>
            </w:pPr>
            <w:r>
              <w:rPr>
                <w:rFonts w:ascii="Arial" w:cs="Arial" w:eastAsia="Arial" w:hAnsi="Arial"/>
                <w:sz w:val="18"/>
                <w:szCs w:val="18"/>
                <w:b w:val="1"/>
                <w:bCs w:val="1"/>
                <w:color w:val="auto"/>
              </w:rPr>
              <w:t>Stephen N. Cannon</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2</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19"/>
          </w:tcPr>
          <w:p>
            <w:pPr>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90"/>
        </w:trPr>
        <w:tc>
          <w:tcPr>
            <w:tcW w:w="140" w:type="dxa"/>
            <w:vAlign w:val="bottom"/>
            <w:tcBorders>
              <w:lef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6"/>
          </w:tcPr>
          <w:p>
            <w:pPr>
              <w:spacing w:after="0" w:line="18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auto"/>
                <w:w w:val="99"/>
              </w:rPr>
              <w:t>SEC USE ONLY</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1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19"/>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United States</w:t>
            </w: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 w:type="dxa"/>
            <w:vAlign w:val="bottom"/>
            <w:tcBorders>
              <w:lef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808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3,599,500</w:t>
            </w:r>
          </w:p>
        </w:tc>
        <w:tc>
          <w:tcPr>
            <w:tcW w:w="4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40" w:type="dxa"/>
            <w:vAlign w:val="bottom"/>
            <w:tcBorders>
              <w:left w:val="single" w:sz="8" w:color="auto"/>
            </w:tcBorders>
          </w:tcPr>
          <w:p>
            <w:pPr>
              <w:spacing w:after="0"/>
              <w:rPr>
                <w:sz w:val="6"/>
                <w:szCs w:val="6"/>
                <w:color w:val="auto"/>
              </w:rPr>
            </w:pPr>
          </w:p>
        </w:tc>
        <w:tc>
          <w:tcPr>
            <w:tcW w:w="1040" w:type="dxa"/>
            <w:vAlign w:val="bottom"/>
            <w:gridSpan w:val="6"/>
            <w:vMerge w:val="restart"/>
          </w:tcPr>
          <w:p>
            <w:pPr>
              <w:spacing w:after="0"/>
              <w:rPr>
                <w:sz w:val="20"/>
                <w:szCs w:val="20"/>
                <w:color w:val="auto"/>
              </w:rPr>
            </w:pPr>
            <w:r>
              <w:rPr>
                <w:rFonts w:ascii="Arial" w:cs="Arial" w:eastAsia="Arial" w:hAnsi="Arial"/>
                <w:sz w:val="18"/>
                <w:szCs w:val="18"/>
                <w:color w:val="auto"/>
                <w:w w:val="94"/>
              </w:rPr>
              <w:t>NUMBER OF</w:t>
            </w: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40" w:type="dxa"/>
            <w:vAlign w:val="bottom"/>
            <w:tcBorders>
              <w:left w:val="single" w:sz="8" w:color="auto"/>
            </w:tcBorders>
          </w:tcPr>
          <w:p>
            <w:pPr>
              <w:spacing w:after="0"/>
              <w:rPr>
                <w:sz w:val="18"/>
                <w:szCs w:val="18"/>
                <w:color w:val="auto"/>
              </w:rPr>
            </w:pPr>
          </w:p>
        </w:tc>
        <w:tc>
          <w:tcPr>
            <w:tcW w:w="1040" w:type="dxa"/>
            <w:vAlign w:val="bottom"/>
            <w:tcBorders>
              <w:bottom w:val="single" w:sz="8" w:color="auto"/>
            </w:tcBorders>
            <w:gridSpan w:val="6"/>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right w:val="single" w:sz="8" w:color="auto"/>
            </w:tcBorders>
            <w:gridSpan w:val="2"/>
          </w:tcPr>
          <w:p>
            <w:pPr>
              <w:spacing w:after="0"/>
              <w:rPr>
                <w:sz w:val="18"/>
                <w:szCs w:val="18"/>
                <w:color w:val="auto"/>
              </w:rPr>
            </w:pPr>
          </w:p>
        </w:tc>
        <w:tc>
          <w:tcPr>
            <w:tcW w:w="80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80" w:type="dxa"/>
            <w:vAlign w:val="bottom"/>
            <w:tcBorders>
              <w:right w:val="single" w:sz="8" w:color="auto"/>
            </w:tcBorders>
            <w:gridSpan w:val="11"/>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700" w:type="dxa"/>
            <w:vAlign w:val="bottom"/>
            <w:gridSpan w:val="2"/>
            <w:vMerge w:val="restart"/>
          </w:tcPr>
          <w:p>
            <w:pPr>
              <w:spacing w:after="0" w:line="182" w:lineRule="exact"/>
              <w:rPr>
                <w:sz w:val="20"/>
                <w:szCs w:val="20"/>
                <w:color w:val="auto"/>
              </w:rPr>
            </w:pPr>
            <w:r>
              <w:rPr>
                <w:rFonts w:ascii="Arial" w:cs="Arial" w:eastAsia="Arial" w:hAnsi="Arial"/>
                <w:sz w:val="18"/>
                <w:szCs w:val="18"/>
                <w:color w:val="auto"/>
                <w:w w:val="89"/>
              </w:rPr>
              <w:t>SHARES</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40" w:type="dxa"/>
            <w:vAlign w:val="bottom"/>
            <w:tcBorders>
              <w:left w:val="single" w:sz="8" w:color="auto"/>
            </w:tcBorders>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440" w:type="dxa"/>
            <w:vAlign w:val="bottom"/>
            <w:gridSpan w:val="2"/>
          </w:tcPr>
          <w:p>
            <w:pPr>
              <w:ind w:left="80"/>
              <w:spacing w:after="0" w:line="156" w:lineRule="exact"/>
              <w:rPr>
                <w:sz w:val="20"/>
                <w:szCs w:val="20"/>
                <w:color w:val="auto"/>
              </w:rPr>
            </w:pPr>
            <w:r>
              <w:rPr>
                <w:rFonts w:ascii="Arial" w:cs="Arial" w:eastAsia="Arial" w:hAnsi="Arial"/>
                <w:sz w:val="18"/>
                <w:szCs w:val="18"/>
                <w:b w:val="1"/>
                <w:bCs w:val="1"/>
                <w:color w:val="auto"/>
              </w:rPr>
              <w:t>-0-</w:t>
            </w: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40" w:type="dxa"/>
            <w:vAlign w:val="bottom"/>
            <w:tcBorders>
              <w:left w:val="single" w:sz="8" w:color="auto"/>
            </w:tcBorders>
          </w:tcPr>
          <w:p>
            <w:pPr>
              <w:spacing w:after="0"/>
              <w:rPr>
                <w:sz w:val="17"/>
                <w:szCs w:val="17"/>
                <w:color w:val="auto"/>
              </w:rPr>
            </w:pPr>
          </w:p>
        </w:tc>
        <w:tc>
          <w:tcPr>
            <w:tcW w:w="2140" w:type="dxa"/>
            <w:vAlign w:val="bottom"/>
            <w:tcBorders>
              <w:right w:val="single" w:sz="8" w:color="auto"/>
            </w:tcBorders>
            <w:gridSpan w:val="9"/>
          </w:tcPr>
          <w:p>
            <w:pPr>
              <w:spacing w:after="0" w:line="196" w:lineRule="exact"/>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auto"/>
            </w:tcBorders>
            <w:vMerge w:val="restart"/>
          </w:tcPr>
          <w:p>
            <w:pPr>
              <w:spacing w:after="0"/>
              <w:rPr>
                <w:sz w:val="10"/>
                <w:szCs w:val="10"/>
                <w:color w:val="auto"/>
              </w:rPr>
            </w:pPr>
          </w:p>
        </w:tc>
        <w:tc>
          <w:tcPr>
            <w:tcW w:w="1260" w:type="dxa"/>
            <w:vAlign w:val="bottom"/>
            <w:tcBorders>
              <w:top w:val="single" w:sz="8" w:color="auto"/>
              <w:bottom w:val="single" w:sz="8" w:color="auto"/>
            </w:tcBorders>
            <w:gridSpan w:val="7"/>
            <w:vMerge w:val="restart"/>
          </w:tcPr>
          <w:p>
            <w:pPr>
              <w:spacing w:after="0" w:line="196" w:lineRule="exact"/>
              <w:rPr>
                <w:sz w:val="20"/>
                <w:szCs w:val="20"/>
                <w:color w:val="auto"/>
              </w:rPr>
            </w:pPr>
            <w:r>
              <w:rPr>
                <w:rFonts w:ascii="Arial" w:cs="Arial" w:eastAsia="Arial" w:hAnsi="Arial"/>
                <w:sz w:val="18"/>
                <w:szCs w:val="18"/>
                <w:color w:val="auto"/>
              </w:rPr>
              <w:t>OWNED BY</w:t>
            </w:r>
          </w:p>
        </w:tc>
        <w:tc>
          <w:tcPr>
            <w:tcW w:w="880" w:type="dxa"/>
            <w:vAlign w:val="bottom"/>
            <w:tcBorders>
              <w:right w:val="single" w:sz="8" w:color="auto"/>
            </w:tcBorders>
            <w:gridSpan w:val="2"/>
            <w:vMerge w:val="restart"/>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vMerge w:val="continue"/>
          </w:tcPr>
          <w:p>
            <w:pPr>
              <w:spacing w:after="0"/>
              <w:rPr>
                <w:sz w:val="4"/>
                <w:szCs w:val="4"/>
                <w:color w:val="auto"/>
              </w:rPr>
            </w:pPr>
          </w:p>
        </w:tc>
        <w:tc>
          <w:tcPr>
            <w:tcW w:w="1260" w:type="dxa"/>
            <w:vAlign w:val="bottom"/>
            <w:gridSpan w:val="7"/>
            <w:vMerge w:val="continue"/>
          </w:tcPr>
          <w:p>
            <w:pPr>
              <w:spacing w:after="0"/>
              <w:rPr>
                <w:sz w:val="4"/>
                <w:szCs w:val="4"/>
                <w:color w:val="auto"/>
              </w:rPr>
            </w:pPr>
          </w:p>
        </w:tc>
        <w:tc>
          <w:tcPr>
            <w:tcW w:w="880" w:type="dxa"/>
            <w:vAlign w:val="bottom"/>
            <w:tcBorders>
              <w:right w:val="single" w:sz="8" w:color="auto"/>
            </w:tcBorders>
            <w:gridSpan w:val="2"/>
            <w:vMerge w:val="continue"/>
          </w:tcPr>
          <w:p>
            <w:pPr>
              <w:spacing w:after="0"/>
              <w:rPr>
                <w:sz w:val="4"/>
                <w:szCs w:val="4"/>
                <w:color w:val="auto"/>
              </w:rPr>
            </w:pPr>
          </w:p>
        </w:tc>
        <w:tc>
          <w:tcPr>
            <w:tcW w:w="80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4"/>
                <w:szCs w:val="4"/>
                <w:color w:val="auto"/>
              </w:rPr>
            </w:pPr>
          </w:p>
        </w:tc>
        <w:tc>
          <w:tcPr>
            <w:tcW w:w="2260" w:type="dxa"/>
            <w:vAlign w:val="bottom"/>
            <w:gridSpan w:val="5"/>
            <w:vMerge w:val="restart"/>
          </w:tcPr>
          <w:p>
            <w:pPr>
              <w:spacing w:after="0"/>
              <w:rPr>
                <w:sz w:val="20"/>
                <w:szCs w:val="20"/>
                <w:color w:val="auto"/>
              </w:rPr>
            </w:pPr>
            <w:r>
              <w:rPr>
                <w:rFonts w:ascii="Arial" w:cs="Arial" w:eastAsia="Arial" w:hAnsi="Arial"/>
                <w:sz w:val="18"/>
                <w:szCs w:val="18"/>
                <w:color w:val="auto"/>
                <w:w w:val="93"/>
              </w:rPr>
              <w:t>SOLE DISPOSITIVE POWER</w:t>
            </w: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40" w:type="dxa"/>
            <w:vAlign w:val="bottom"/>
            <w:tcBorders>
              <w:left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2"/>
          </w:tcPr>
          <w:p>
            <w:pPr>
              <w:spacing w:after="0" w:line="169" w:lineRule="exact"/>
              <w:rPr>
                <w:sz w:val="20"/>
                <w:szCs w:val="20"/>
                <w:color w:val="auto"/>
              </w:rPr>
            </w:pPr>
            <w:r>
              <w:rPr>
                <w:rFonts w:ascii="Arial" w:cs="Arial" w:eastAsia="Arial" w:hAnsi="Arial"/>
                <w:sz w:val="18"/>
                <w:szCs w:val="18"/>
                <w:color w:val="auto"/>
              </w:rPr>
              <w:t>EACH</w:t>
            </w: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Borders>
              <w:bottom w:val="single" w:sz="8" w:color="auto"/>
            </w:tcBorders>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40" w:type="dxa"/>
            <w:vAlign w:val="bottom"/>
            <w:tcBorders>
              <w:right w:val="single" w:sz="8" w:color="auto"/>
            </w:tcBorders>
            <w:gridSpan w:val="4"/>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3,599,500</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9"/>
          </w:tcPr>
          <w:p>
            <w:pPr>
              <w:spacing w:after="0" w:line="183" w:lineRule="exact"/>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vMerge w:val="restart"/>
          </w:tcPr>
          <w:p>
            <w:pPr>
              <w:spacing w:after="0"/>
              <w:rPr>
                <w:sz w:val="5"/>
                <w:szCs w:val="5"/>
                <w:color w:val="auto"/>
              </w:rPr>
            </w:pPr>
          </w:p>
        </w:tc>
        <w:tc>
          <w:tcPr>
            <w:tcW w:w="700" w:type="dxa"/>
            <w:vAlign w:val="bottom"/>
            <w:tcBorders>
              <w:top w:val="single" w:sz="8" w:color="auto"/>
              <w:bottom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auto"/>
                <w:w w:val="86"/>
              </w:rPr>
              <w:t>PERSON</w:t>
            </w:r>
          </w:p>
        </w:tc>
        <w:tc>
          <w:tcPr>
            <w:tcW w:w="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40" w:type="dxa"/>
            <w:vAlign w:val="bottom"/>
            <w:tcBorders>
              <w:left w:val="single" w:sz="8" w:color="auto"/>
            </w:tcBorders>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9"/>
                <w:szCs w:val="9"/>
                <w:color w:val="auto"/>
              </w:rPr>
            </w:pPr>
          </w:p>
        </w:tc>
        <w:tc>
          <w:tcPr>
            <w:tcW w:w="2540" w:type="dxa"/>
            <w:vAlign w:val="bottom"/>
            <w:gridSpan w:val="6"/>
            <w:vMerge w:val="restart"/>
          </w:tcPr>
          <w:p>
            <w:pPr>
              <w:spacing w:after="0"/>
              <w:rPr>
                <w:sz w:val="20"/>
                <w:szCs w:val="20"/>
                <w:color w:val="auto"/>
              </w:rPr>
            </w:pPr>
            <w:r>
              <w:rPr>
                <w:rFonts w:ascii="Arial" w:cs="Arial" w:eastAsia="Arial" w:hAnsi="Arial"/>
                <w:sz w:val="18"/>
                <w:szCs w:val="18"/>
                <w:color w:val="auto"/>
                <w:w w:val="94"/>
              </w:rPr>
              <w:t>SHARED DISPOSITIVE POWER</w:t>
            </w:r>
          </w:p>
        </w:tc>
        <w:tc>
          <w:tcPr>
            <w:tcW w:w="5540" w:type="dxa"/>
            <w:vAlign w:val="bottom"/>
            <w:tcBorders>
              <w:right w:val="single" w:sz="8" w:color="auto"/>
            </w:tcBorders>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40" w:type="dxa"/>
            <w:vAlign w:val="bottom"/>
            <w:tcBorders>
              <w:left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Borders>
              <w:bottom w:val="single" w:sz="8" w:color="auto"/>
            </w:tcBorders>
            <w:gridSpan w:val="6"/>
            <w:vMerge w:val="continue"/>
          </w:tcPr>
          <w:p>
            <w:pPr>
              <w:spacing w:after="0"/>
              <w:rPr>
                <w:sz w:val="10"/>
                <w:szCs w:val="10"/>
                <w:color w:val="auto"/>
              </w:rPr>
            </w:pPr>
          </w:p>
        </w:tc>
        <w:tc>
          <w:tcPr>
            <w:tcW w:w="5540" w:type="dxa"/>
            <w:vAlign w:val="bottom"/>
            <w:tcBorders>
              <w:right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b w:val="1"/>
                <w:bCs w:val="1"/>
                <w:color w:val="auto"/>
              </w:rPr>
              <w:t>-0-</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19"/>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3,599,500</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4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19"/>
          </w:tcPr>
          <w:p>
            <w:pPr>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1"/>
        </w:trPr>
        <w:tc>
          <w:tcPr>
            <w:tcW w:w="1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244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11</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19"/>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20.61%</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140" w:type="dxa"/>
            <w:vAlign w:val="bottom"/>
            <w:tcBorders>
              <w:left w:val="single" w:sz="8" w:color="auto"/>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2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320" w:type="dxa"/>
            <w:vAlign w:val="bottom"/>
            <w:tcBorders>
              <w:right w:val="single" w:sz="8" w:color="auto"/>
            </w:tcBorders>
            <w:gridSpan w:val="19"/>
          </w:tcPr>
          <w:p>
            <w:pPr>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37"/>
        </w:trPr>
        <w:tc>
          <w:tcPr>
            <w:tcW w:w="1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rPr>
              <w:t>IN</w:t>
            </w: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2600" w:hanging="1944"/>
        <w:spacing w:after="0" w:line="282" w:lineRule="auto"/>
        <w:tabs>
          <w:tab w:leader="none" w:pos="1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Name of Issuer: </w:t>
      </w:r>
      <w:r>
        <w:rPr>
          <w:rFonts w:ascii="Arial" w:cs="Arial" w:eastAsia="Arial" w:hAnsi="Arial"/>
          <w:sz w:val="18"/>
          <w:szCs w:val="18"/>
          <w:b w:val="1"/>
          <w:bCs w:val="1"/>
          <w:color w:val="auto"/>
        </w:rPr>
        <w:t>Archimedes Tech SPAC Partners Co, a corporation organized under the laws of the State of Delaware (the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Address of Issuer's Principal Executive Offices: </w:t>
      </w:r>
      <w:r>
        <w:rPr>
          <w:rFonts w:ascii="Arial" w:cs="Arial" w:eastAsia="Arial" w:hAnsi="Arial"/>
          <w:sz w:val="18"/>
          <w:szCs w:val="18"/>
          <w:b w:val="1"/>
          <w:bCs w:val="1"/>
          <w:color w:val="auto"/>
        </w:rPr>
        <w:t>2093 Philadelphia Pike #1968 Claymont, DE 19703.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ind w:left="3240" w:right="20" w:hanging="2584"/>
        <w:spacing w:after="0" w:line="282" w:lineRule="auto"/>
        <w:tabs>
          <w:tab w:leader="none" w:pos="129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Name of Person Filing: </w:t>
      </w:r>
      <w:r>
        <w:rPr>
          <w:rFonts w:ascii="Arial" w:cs="Arial" w:eastAsia="Arial" w:hAnsi="Arial"/>
          <w:sz w:val="18"/>
          <w:szCs w:val="18"/>
          <w:b w:val="1"/>
          <w:bCs w:val="1"/>
          <w:color w:val="auto"/>
        </w:rPr>
        <w:t>Archimedes Tech SPAC Sponsors LLC and Stephen N. Cannon. Stephen N. Cannon is the sole manager</w:t>
      </w:r>
      <w:r>
        <w:rPr>
          <w:rFonts w:ascii="Arial" w:cs="Arial" w:eastAsia="Arial" w:hAnsi="Arial"/>
          <w:sz w:val="18"/>
          <w:szCs w:val="18"/>
          <w:color w:val="auto"/>
        </w:rPr>
        <w:t xml:space="preserve"> </w:t>
      </w:r>
      <w:r>
        <w:rPr>
          <w:rFonts w:ascii="Arial" w:cs="Arial" w:eastAsia="Arial" w:hAnsi="Arial"/>
          <w:sz w:val="18"/>
          <w:szCs w:val="18"/>
          <w:b w:val="1"/>
          <w:bCs w:val="1"/>
          <w:color w:val="auto"/>
        </w:rPr>
        <w:t>of Archimedes Tech SPAC Sponsors LLC.</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300" w:right="676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The address for this entity and individual is: </w:t>
      </w:r>
      <w:r>
        <w:rPr>
          <w:rFonts w:ascii="Arial" w:cs="Arial" w:eastAsia="Arial" w:hAnsi="Arial"/>
          <w:sz w:val="16"/>
          <w:szCs w:val="16"/>
          <w:b w:val="1"/>
          <w:bCs w:val="1"/>
          <w:color w:val="auto"/>
        </w:rPr>
        <w:t>c/o Archimedes Tech SPAC Partners Co.</w:t>
      </w:r>
    </w:p>
    <w:p>
      <w:pPr>
        <w:ind w:left="1300" w:right="7680"/>
        <w:spacing w:after="0" w:line="290" w:lineRule="auto"/>
        <w:rPr>
          <w:rFonts w:ascii="Arial" w:cs="Arial" w:eastAsia="Arial" w:hAnsi="Arial"/>
          <w:sz w:val="18"/>
          <w:szCs w:val="18"/>
          <w:color w:val="auto"/>
        </w:rPr>
      </w:pPr>
      <w:r>
        <w:rPr>
          <w:rFonts w:ascii="Arial" w:cs="Arial" w:eastAsia="Arial" w:hAnsi="Arial"/>
          <w:sz w:val="17"/>
          <w:szCs w:val="17"/>
          <w:b w:val="1"/>
          <w:bCs w:val="1"/>
          <w:color w:val="auto"/>
        </w:rPr>
        <w:t>2093 Philadelphia Pike #1968 Claymont, DE 19703</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r>
        <w:rPr>
          <w:rFonts w:ascii="Arial" w:cs="Arial" w:eastAsia="Arial" w:hAnsi="Arial"/>
          <w:sz w:val="16"/>
          <w:szCs w:val="16"/>
          <w:b w:val="1"/>
          <w:bCs w:val="1"/>
          <w:color w:val="auto"/>
        </w:rPr>
        <w:t>Archimedes Tech SPAC Sponsors LLC – Delaware</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Stephen N. Cannon – United States</w:t>
      </w:r>
    </w:p>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Title of Class of Securities: </w:t>
      </w:r>
      <w:r>
        <w:rPr>
          <w:rFonts w:ascii="Arial" w:cs="Arial" w:eastAsia="Arial" w:hAnsi="Arial"/>
          <w:sz w:val="18"/>
          <w:szCs w:val="18"/>
          <w:b w:val="1"/>
          <w:bCs w:val="1"/>
          <w:color w:val="auto"/>
        </w:rPr>
        <w:t>Common Stock, par value $0.0001 per share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CUSIP Number: </w:t>
      </w:r>
      <w:r>
        <w:rPr>
          <w:rFonts w:ascii="Arial" w:cs="Arial" w:eastAsia="Arial" w:hAnsi="Arial"/>
          <w:sz w:val="18"/>
          <w:szCs w:val="18"/>
          <w:b w:val="1"/>
          <w:bCs w:val="1"/>
          <w:color w:val="auto"/>
        </w:rPr>
        <w:t>039562 103</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w:t>
      </w:r>
    </w:p>
    <w:p>
      <w:pPr>
        <w:spacing w:after="0" w:line="207"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3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3,599,500</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rFonts w:ascii="Arial" w:cs="Arial" w:eastAsia="Arial" w:hAnsi="Arial"/>
          <w:sz w:val="18"/>
          <w:szCs w:val="18"/>
          <w:color w:val="auto"/>
        </w:rPr>
      </w:pPr>
    </w:p>
    <w:p>
      <w:pPr>
        <w:ind w:left="1300" w:right="40"/>
        <w:spacing w:after="0" w:line="256" w:lineRule="auto"/>
        <w:rPr>
          <w:rFonts w:ascii="Arial" w:cs="Arial" w:eastAsia="Arial" w:hAnsi="Arial"/>
          <w:sz w:val="18"/>
          <w:szCs w:val="18"/>
          <w:color w:val="auto"/>
        </w:rPr>
      </w:pPr>
      <w:r>
        <w:rPr>
          <w:rFonts w:ascii="Arial" w:cs="Arial" w:eastAsia="Arial" w:hAnsi="Arial"/>
          <w:sz w:val="18"/>
          <w:szCs w:val="18"/>
          <w:b w:val="1"/>
          <w:bCs w:val="1"/>
          <w:color w:val="auto"/>
        </w:rPr>
        <w:t>Archimedes Tech SPAC Sponsors LLC beneficially own 3,599,500 shares of Common Stock and Mr. Cannon is the sole managing member of Archimedes Tech SPAC Sponsors LLC. Mr. Cannon disclaims beneficial ownership of the reported shares other than to the extent of his ultimate pecuniary interest therein. These shares account for 20.61% of the 17,461,000 shares of Common Stock outstanding as of January 10, 2022, as disclosed in the Company’s amended Form 10-Q filed with the SEC on January 10, 2022. Such amount does not include warrants that become exercisable for shares of Common Stock at the closing of the Company’s initial business combination.</w:t>
      </w:r>
    </w:p>
    <w:p>
      <w:pPr>
        <w:spacing w:after="0" w:line="191"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Archimedes Tech SPAC Sponsors LLC – 3,599,500 shares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Stephen N. Cannon - 3,599,500 shares</w:t>
      </w:r>
    </w:p>
    <w:p>
      <w:pPr>
        <w:spacing w:after="0" w:line="229" w:lineRule="exact"/>
        <w:rPr>
          <w:sz w:val="20"/>
          <w:szCs w:val="20"/>
          <w:color w:val="auto"/>
        </w:rPr>
      </w:pPr>
    </w:p>
    <w:p>
      <w:pPr>
        <w:ind w:left="1960" w:hanging="656"/>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Archimedes Tech SPAC Sponsors LLC – 0 shares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Stephen N. Cannon - 0 shares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p>
      <w:pPr>
        <w:ind w:left="1900" w:hanging="656"/>
        <w:spacing w:after="0"/>
        <w:tabs>
          <w:tab w:leader="none" w:pos="1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Archimedes Tech SPAC Sponsors LLC – 3,599,500 shares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Stephen N. Cannon - 3,599,500 shares</w:t>
      </w:r>
    </w:p>
    <w:p>
      <w:pPr>
        <w:spacing w:after="0" w:line="229" w:lineRule="exact"/>
        <w:rPr>
          <w:sz w:val="20"/>
          <w:szCs w:val="20"/>
          <w:color w:val="auto"/>
        </w:rPr>
      </w:pPr>
    </w:p>
    <w:p>
      <w:pPr>
        <w:ind w:left="1900" w:hanging="656"/>
        <w:spacing w:after="0"/>
        <w:tabs>
          <w:tab w:leader="none" w:pos="1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Archimedes Tech SPAC Sponsors LLC – 0 shares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Stephen N. Cannon - 0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 ]. </w:t>
      </w:r>
      <w:r>
        <w:rPr>
          <w:rFonts w:ascii="Arial" w:cs="Arial" w:eastAsia="Arial" w:hAnsi="Arial"/>
          <w:sz w:val="18"/>
          <w:szCs w:val="18"/>
          <w:b w:val="1"/>
          <w:bCs w:val="1"/>
          <w:color w:val="auto"/>
        </w:rPr>
        <w:t>Not Applicable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 xml:space="preserve">Ownership of More than Five Percent on Behalf of Another Person: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color w:val="auto"/>
        </w:rPr>
        <w:t xml:space="preserve">Identification and Classification of Subsidiary Which Acquired the Securities: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color w:val="auto"/>
        </w:rPr>
        <w:t xml:space="preserve">Identification and Classification of Members of the Group: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color w:val="auto"/>
        </w:rPr>
        <w:t xml:space="preserve">Notice of Dissolution of Group: </w:t>
      </w:r>
      <w:r>
        <w:rPr>
          <w:rFonts w:ascii="Arial" w:cs="Arial" w:eastAsia="Arial" w:hAnsi="Arial"/>
          <w:sz w:val="16"/>
          <w:szCs w:val="16"/>
          <w:b w:val="1"/>
          <w:bCs w:val="1"/>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color w:val="auto"/>
        </w:rPr>
        <w:t xml:space="preserve">Certifications: </w:t>
      </w:r>
      <w:r>
        <w:rPr>
          <w:rFonts w:ascii="Arial" w:cs="Arial" w:eastAsia="Arial" w:hAnsi="Arial"/>
          <w:sz w:val="16"/>
          <w:szCs w:val="16"/>
          <w:b w:val="1"/>
          <w:bCs w:val="1"/>
          <w:color w:val="auto"/>
        </w:rPr>
        <w:t>Not Applicable</w:t>
      </w: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80" w:top="908" w:right="59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SPONSORS LLC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Stephen N. Cannon</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Stephen N. Cannon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
    </w:lvl>
    <w:lvl w:ilvl="1">
      <w:lvlJc w:val="left"/>
      <w:lvlText w:val="(%2)"/>
      <w:numFmt w:val="lowerLetter"/>
      <w:start w:val="9"/>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2022-02-12T03:39:38Z</dcterms:created>
  <dcterms:modified xsi:type="dcterms:W3CDTF">2022-02-12T03:39:38Z</dcterms:modified>
</cp:coreProperties>
</file>