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44,157</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723,009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1,632 shares of common stock acquired in May 2025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05/14/2025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2025-05-14T18:21:51Z</dcterms:created>
  <dcterms:modified xsi:type="dcterms:W3CDTF">2025-05-14T18:21:51Z</dcterms:modified>
</cp:coreProperties>
</file>