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July 20, 2022</w:t>
      </w:r>
    </w:p>
    <w:p>
      <w:pPr>
        <w:spacing w:after="0" w:line="27"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8"/>
          <w:szCs w:val="18"/>
          <w:color w:val="auto"/>
        </w:rPr>
        <w:t>Registration No. 333-______________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 2022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 2016 Equity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Melodis Corporation 2006 Stock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1345 Avenue of the Americas, 11th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370-7889</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26, 2022, pursuant to the merger agreement dated as of November 15, 2021 by and among Archimedes Tech SPAC Partners Co. (“ATSP”), ATSPC Merger Sub, Inc. and SoundHound, Inc. (formerly known as Melodis Corporation),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Registration Statement is being filed by SoundHound AI, Inc., a Delaware corporation (the “Registrant”, “Company”, “us”, “our” or “we”), relating to 19,650,371 shares of our Class A Common Stock which may be offered and sold pursuant to the SoundHound AI, Inc. 2022 Equity Incentive Plan, 26,469,924 shares of our Class A Common Stock which may be offered and sold pursuant to the SoundHound, Inc. 2016 Equity Incentive Plan, 2,990,529 shares of our Class A Common Stock which may be offered and sold pursuant to the Melodis Corporation 2006 Stock Plan and 3,930,074 shares of our Class A Common Stock which may be offered and sold pursuant to the SoundHound AI, Inc. 2022 Employee Stock Purchase Plan.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Registration Statement includes, pursuant to General Instruction C to Form S-8, a re-offer prospectus in Part I (the “Reoffer Prospectus”). The Reoffer Prospectus may be utilized for reofferings and resales by certain executive officers and directors listed in the Reoffer Prospectus who may be deemed “affiliates” of the Company on a continuous or a delayed basis in the future of up to 27,639,208 shares of Class A Common Stock. These shares constitute “control securities” or “restricted securities” which have been issued prior to or issuable after the filing of this Registration Statement. The Reoffer Prospectus does not contain all of the information included in the Registration Statement, certain items of which are contained in schedules and exhibits to the Registration Statement, as permitted by the rules and regulations of the SEC. Statements contained in this Reoffer Prospectus as to the contents of any agreement, instrument or other document referred to are not necessarily complete. With respect to each such agreement, instrument or other document filed as an exhibit to the Registration Statement, we refer you to the exhibit for a more complete description of the matter involved, and each such statement shall be deemed qualified in its entirety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Inc., a Delaware corporation (the “Company”, “us”, “our” or “we”), has prepared this Registration Statement on Form S-8 (the “Registration Statement”) in accordance with the requirements of Form S-8 under the Securities Act of 1933, as amended (the “Securities Act”), to register an aggregate of 53,040,898 shares of our Class A common stock, par value $0.0001 per share (the “Common Stock”), which may be offered and sold pursuant to the SoundHound AI, Inc. 2022 Equity Incentive Plan (the “2022 Plan”), the SoundHound, Inc. 2016 Equity Incentive Plan (the “2016 Plan”), the Melodis Corporation 2006 Stock Plan (the “2006 Plan”) and the SoundHound AI, Inc. 2022 Employee Stock Purchase Plan (the “2022 ESPP”) and to file a prospectus, prepared in accordance with the requirements of Part I of Form S-3 and, pursuant to General Instruction C of Form S-8, to be used for reoffers and resales of Common Stock acquired by persons to be named therein upon the exercise of options and vesting of restricted stock awards granted under the 2022 Plan, 2016 Plan, 2006 Plan and 2022 ESPP (the “ESPP”).</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Note to Part I on Form S-8, the documents containing the information specified in Part I of this Registration Statement will be sent or given to plan participants (including to all employees eligible to participate in the 2022 ESPP) as specified by Rule 428(b)(1) of the Securities Act. Such documents are not required to be filed, and are not filed, with the United States Securities and Exchange Commission either as part of this Registration Statement or as prospectuses or prospectus supplements pursuant to Rule 424 of the Securities Act.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27,639,208 shares of Class A Common Stock under the SoundHound AI, Inc. 2022 Equity Incentive Plan, the SoundHound, Inc. 2016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 the Melodis Corporation 2006 Stock Plan and the SoundHound AI, Inc. 2022 Employee Stock Purchase Plan</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of up to 27,639,208 shares (the “Shares”) of Class A common stock, par value $0.0001 per share (the “Common Stock”), of SoundHound AI, Inc., a Delaware corporation (the “Company”, “SoundHound AI”, “us”, “our” or “we”), which may be offered and sold from time to time by certain stockholders of the Company (the “Selling Stockholders”) who have acquired or will acquire such Shares in connection with the exercise of stock options granted, and with stock or other awards made, and with the purchase of stock under, the SoundHound AI, Inc. 2022 Equity Incentive Plan (the “2022 Plan”), the SoundHound, Inc. 2016 Equity Incentive Plan (the “2016 Plan”), the Melodis Corporation 2006 Stock Plan (the “2006 Plan”) and the SoundHound AI, Inc. 2022 Employee Stock Purchase Plan (the “2022 ESPP”). The 2022 Plan, 2016 Plan, 2006 Plan and 2022 ESPP are intended to provide incentives which will attract, retain, and motivate highly competent persons such as officers, employees, directors, and consultants to our Company by providing them opportunities to acquire shares of our Common Stock. Additionally, the 2022 Plan, 2016 Plan, 2006 Plan and 2022 ESPP are intended to assist in further aligning the interests of our officers, employees, directors and consultants to those of the Company’s other stockholders.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persons who are issued such Shares may include our directors, officers, employees and consultants, certain of whom may be considered our “affiliates”. Such persons may, but are not required to, sell the Shares they acquire pursuant to this prospectus. If any additional awards are issued to or shares are purchased by affiliates under the 2022 Plan and 2022 ESPP, we will file with the Securities and Exchange Commission (the “Commission”) an update to this prospectus naming such person as a selling shareholder and indicating the number of shares such person is offering pursuant to the prospectus. See “Selling Stockholders” on page 36 of this prospectus. Our Common Stock is listed on The NASDAQ Global Market under the symbol “SOUN.” On July 19, 2022, the closing price of the Common Stock on The NASDAQ Global Market was $3.68 per share.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sales of the Shares by any of the Selling Stockholders. The Shares may be offered from time to time by any or all of the Selling Stockholders through ordinary brokerage transactions, in negotiated transactions or in other transactions, at such prices as such Selling Stockholder may determine, which may relate to market prices prevailing at the time of sale or be a negotiated price. See “Plan of Distribution.” Sales may be made through brokers or to dealers, who are expected to receive customary commissions or discounts. We are paying all expenses of registration incurred in connection with this offering but the Selling Stockholders will pay all brokerage commissions and other selling expenses.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Stockholders and participating brokers and dealers may be deemed to be “underwriters” within the meaning of the Securities Act, in which event any profit on the sale of shares of those Selling Stockholders and any commissions or discounts received by those brokers or dealers may be deemed to be underwriting compensation under the Securities Act.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“RISK FACTORS” BEGINNING ON PAGE 16 OF THIS PROSPECTUS FOR A DISCUSSION OF CERTAIN RISKS AND OTHER FACTORS THAT YOU SHOULD CONSIDER BEFORE PURCHASING OUR COMMON STOCK.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July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Page No</w:t>
            </w: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8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366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7580" w:type="dxa"/>
            <w:vAlign w:val="bottom"/>
            <w:gridSpan w:val="2"/>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on Forward Looking Statements</w:t>
            </w:r>
          </w:p>
        </w:tc>
        <w:tc>
          <w:tcPr>
            <w:tcW w:w="7580" w:type="dxa"/>
            <w:vAlign w:val="bottom"/>
            <w:gridSpan w:val="2"/>
            <w:shd w:val="clear" w:color="auto" w:fill="CCEEFF"/>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27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940" w:type="dxa"/>
            <w:vAlign w:val="bottom"/>
            <w:tcBorders>
              <w:top w:val="single" w:sz="8" w:color="CCEEFF"/>
            </w:tcBorders>
            <w:gridSpan w:val="2"/>
          </w:tcPr>
          <w:p>
            <w:pPr>
              <w:spacing w:after="0"/>
              <w:rPr>
                <w:sz w:val="15"/>
                <w:szCs w:val="15"/>
                <w:color w:val="auto"/>
              </w:rPr>
            </w:pPr>
          </w:p>
        </w:tc>
        <w:tc>
          <w:tcPr>
            <w:tcW w:w="7580" w:type="dxa"/>
            <w:vAlign w:val="bottom"/>
            <w:tcBorders>
              <w:top w:val="single" w:sz="8" w:color="CCEEFF"/>
            </w:tcBorders>
            <w:gridSpan w:val="2"/>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2740" w:type="dxa"/>
            <w:vAlign w:val="bottom"/>
            <w:tcBorders>
              <w:bottom w:val="single" w:sz="8" w:color="CCEEFF"/>
            </w:tcBorders>
            <w:gridSpan w:val="8"/>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36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7580" w:type="dxa"/>
            <w:vAlign w:val="bottom"/>
            <w:gridSpan w:val="2"/>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2480" w:type="dxa"/>
            <w:vAlign w:val="bottom"/>
            <w:tcBorders>
              <w:bottom w:val="single" w:sz="8" w:color="CCEEFF"/>
            </w:tcBorders>
            <w:gridSpan w:val="5"/>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36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580" w:type="dxa"/>
            <w:vAlign w:val="bottom"/>
            <w:gridSpan w:val="2"/>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2640" w:type="dxa"/>
            <w:vAlign w:val="bottom"/>
            <w:tcBorders>
              <w:bottom w:val="single" w:sz="8" w:color="CCEEFF"/>
            </w:tcBorders>
            <w:gridSpan w:val="7"/>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5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100" w:type="dxa"/>
            <w:vAlign w:val="bottom"/>
            <w:gridSpan w:val="9"/>
          </w:tcPr>
          <w:p>
            <w:pPr>
              <w:spacing w:after="0"/>
              <w:rPr>
                <w:sz w:val="15"/>
                <w:szCs w:val="15"/>
                <w:color w:val="auto"/>
              </w:rPr>
            </w:pPr>
          </w:p>
        </w:tc>
        <w:tc>
          <w:tcPr>
            <w:tcW w:w="7580" w:type="dxa"/>
            <w:vAlign w:val="bottom"/>
            <w:gridSpan w:val="2"/>
          </w:tcPr>
          <w:p>
            <w:pPr>
              <w:jc w:val="center"/>
              <w:ind w:left="671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bl>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prospectus supplement. We have not authorized any person to give any information or to make any representations other than those contained or incorporated by reference in this prospectus, and, if given or made, you must not rely upon such information or representations as having been authorized. This prospectus does not constitute an offer to sell or the solicitation of an offer to buy any securities other than our shares of common stock described in this prospectus or an offer to sell or the solicitation to buy such securities in any circumstances in which such offer or solicitation is unlawful. You should not assume that the information we have included in this prospectus is accurate as of any date other than the date of this prospectus or that any information we have incorporated by reference is accurate as of any date other than the date of the document incorporated by reference regardless of the time of delivery of this prospectus or of any securities registered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the information requirements of the Securities Exchange Act of 1934, as amended (the “Exchange Act”), and, in accordance therewith, files reports, proxy statements and other information with the Commission. We are required to file electronic versions of those materials with the Commission through the Commission’s EDGAR system. The Commission maintains an Internet site at http://www.sec.gov, which contains reports, proxy and information statements and other information regarding registrants that file electronically with the Commission. You can read and copy the reports, proxy statements and other information filed by the Company with the Commission at such Internet site.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constitutes part of a Registration Statement on Form S-8 filed on the date hereof (herein, together with all amendments and exhibits, referred to as the “Registration Statement”) by the Company with the Commission under the Securities Act. This prospectus does not contain all of the information set forth in the Registration Statement, certain parts of which we have omitted, in accordance with the rules and regulations of the Commission. You should refer to the full Registration Statement for further information with respect to the Company and our 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Statements contained herein concerning the provisions of any contract, agreement or other document are not necessarily complete, and in each instance reference is made to the copy of such contract, agreement or other document filed as an exhibit to the Registration Statement or otherwise filed with the Commission. Each such statement is qualified in its entirety by such reference. Copies of the Registration Statement together with exhibits may be inspected at the offices of the Commission as indicated above without charge and copies thereof may be obtained therefrom upon payment of a prescribed fee.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prospectus, in connection with the offering described herein, and, if given or made, such information or representations must not be relied upon as having been authorized by the Company or any Selling Stockholder. This prospectus does not constitute an offer to sell, or a solicitation of an offer to buy, nor shall there be any sale of these securities by any person in any jurisdiction in which it is unlawful for such person to make such offer, solicitation or sale. Neither the delivery of this prospectus nor any sale made hereunder shall under any circumstances create an implication that the information contained herein is correct as of any time subsequent to the date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Commission, which means that we can disclose important information to you by referring you to those documents. The information in the documents incorporated by reference is considered to be part of this prospectus. Statements contained in documents that we file with the Commission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Commission and they are incorporated herein by reference as of their respective dates of filing.</w:t>
      </w:r>
    </w:p>
    <w:p>
      <w:pPr>
        <w:spacing w:after="0" w:line="18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our Current Reports on Form 8-K dated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17,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8,</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22">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333-264972) and as it may further be amended from time to time.</w:t>
      </w:r>
    </w:p>
    <w:p>
      <w:pPr>
        <w:spacing w:after="0" w:line="162"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documents that we filed with the Commission pursuant to Sections 13(a), 13(c), 14, and 15(d) of the Exchange Act subsequent to the date of this prospectus that indicates that all securities offered under this prospectus have been sold, or that deregisters all securities then remaining unsold, will be deemed to be incorporated in this prospectus by reference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(other than exhibits, unless such exhibits are specifically incorporated by reference), by contacting Corporate Secretary, c/o SoundHound AI, Inc., at 5400 Betsy Ross Drive, Santa Clara, CA 95054. Our telephone number is (408) 441-3200. Information about us is also available at our website at http://www.soundhound.com. However, the information in our website is not a part of this prospectus and is not incorporated by reference.</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 ON 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 looking statements. Factors that could cause or contribute to such differences include, but are not limited to, those discussed in this prospectus, and in particular, the risks discussed below and under the heading “Risk Factors” and those discussed in other documents we file with the Commission. The following discussion should be read in conjunction with our audited financial statements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Commission.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technologies developed over the past 16 years, our advanced Voice AI platform provides exceptional speed and accuracy.</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three months ended March 31, 2022, queries were over 90%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spacing w:after="0" w:line="195"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support our customers by providing them access to Houndify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an open-access platform that allows developers to leverage SoundHound AI’s Voice AI technology and a library of over 100 content domains, including commonly used domains for points of interest, weather, flight status, sports, and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more. To ensure that our content domains continue to evolve and grow, our platform is built on our breakthrough Collective AI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technology is backed by SoundHound AI’s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those already employing a voice assistant, 81% are using the technology to improve customer service and 52% are using them for sales activity.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Juniper Research, the broader market for Voice AI transactions will exceed $160 billion by 2026, enabled by a growing need for Voice AI in many industries.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these trends are adding up to exponential growth for Voice AI in a variety of markets, including IoT, automotive, retail, hospitality, enterprise, healthcare, contact center, and banking and finance.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Voice AI is poised to be the next disruption in computing and the timing is right for our company and our vision.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 AI’s Vision</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 typical reaction to SoundHound AI’s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exceeds human capabilities and brings value and delight via an ecosystem of billions of products enhanced by innovation and monetization opportunities.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may make humans more productive and help make the world a better place.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90" w:gutter="0" w:footer="0" w:header="0"/>
        </w:sectPr>
      </w:pPr>
    </w:p>
    <w:bookmarkStart w:id="10" w:name="page11"/>
    <w:bookmarkEnd w:id="1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users can follow up and ask it to refine the criteria such as “remove Korean and Vietnamese, sort by rating then by price, and only show the ones that are good for kids and have a patio.”</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Breakthroughs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Speech-to-Meaning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125730</wp:posOffset>
            </wp:positionV>
            <wp:extent cx="3754755" cy="3017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7547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Meaning Understanding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114300</wp:posOffset>
            </wp:positionV>
            <wp:extent cx="3531870" cy="258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53187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AI</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third breakthrough is called Collective AI: an architecture that gives potential to SoundHound AI to improve the understanding capability of its platform exponentially based on linear contributions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range from “Hey Pandora” in a mobile app to “Hey Peugeot” within a vehicle.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Edge (Embedded)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To harness the capabilities of full cloud connectivity with the reliability of embedded voice technology. </w:t>
      </w:r>
      <w:r>
        <w:rPr>
          <w:rFonts w:ascii="Times New Roman" w:cs="Times New Roman" w:eastAsia="Times New Roman" w:hAnsi="Times New Roman"/>
          <w:sz w:val="18"/>
          <w:szCs w:val="18"/>
          <w:i w:val="1"/>
          <w:iCs w:val="1"/>
          <w:color w:val="auto"/>
        </w:rPr>
        <w:t>Houndify Edge Hybrid</w:t>
      </w:r>
      <w:r>
        <w:rPr>
          <w:rFonts w:ascii="Times New Roman" w:cs="Times New Roman" w:eastAsia="Times New Roman" w:hAnsi="Times New Roman"/>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Disruptor</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123190</wp:posOffset>
            </wp:positionV>
            <wp:extent cx="4088765" cy="2202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0887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839"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123190</wp:posOffset>
            </wp:positionV>
            <wp:extent cx="4114800" cy="205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1148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123190</wp:posOffset>
            </wp:positionV>
            <wp:extent cx="4397375" cy="2237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39737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 volume, usage, or duration. SoundHound AI collects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royalties when Houndify is integrated into a product such as a car, smart speaker, or appliance.</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 Examples include when SoundHound AI enables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service or food ordering for restaurants or content management, appointments, or voice commerce, we generate subscription revenue from the service providers.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 services from both pillar one and pillar two.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123190</wp:posOffset>
            </wp:positionV>
            <wp:extent cx="3574415" cy="2468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357441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SoundHound AI’s undeniable criteria for adoption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114300</wp:posOffset>
            </wp:positionV>
            <wp:extent cx="4071620" cy="1817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407162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The first two criteria customers typically consider are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brand control</w:t>
      </w:r>
      <w:r>
        <w:rPr>
          <w:rFonts w:ascii="Times New Roman" w:cs="Times New Roman" w:eastAsia="Times New Roman" w:hAnsi="Times New Roman"/>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With our disruptive monetization strategy, we also provide a path to </w:t>
      </w: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By choosing our platform, product creators can generate additional revenue while making their product better using Voice AI, providing further incentive to choose our platform.</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We offer a superior </w:t>
      </w:r>
      <w:r>
        <w:rPr>
          <w:rFonts w:ascii="Times New Roman" w:cs="Times New Roman" w:eastAsia="Times New Roman" w:hAnsi="Times New Roman"/>
          <w:sz w:val="18"/>
          <w:szCs w:val="18"/>
          <w:b w:val="1"/>
          <w:bCs w:val="1"/>
          <w:color w:val="auto"/>
        </w:rPr>
        <w:t>ecosystem</w:t>
      </w:r>
      <w:r>
        <w:rPr>
          <w:rFonts w:ascii="Times New Roman" w:cs="Times New Roman" w:eastAsia="Times New Roman" w:hAnsi="Times New Roman"/>
          <w:sz w:val="18"/>
          <w:szCs w:val="18"/>
          <w:color w:val="auto"/>
        </w:rPr>
        <w:t xml:space="preserve"> with Collective AI along with definable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controls, which are becoming increasingly important in the industry of Voice AI. Additionally, there is </w:t>
      </w:r>
      <w:r>
        <w:rPr>
          <w:rFonts w:ascii="Times New Roman" w:cs="Times New Roman" w:eastAsia="Times New Roman" w:hAnsi="Times New Roman"/>
          <w:sz w:val="18"/>
          <w:szCs w:val="18"/>
          <w:b w:val="1"/>
          <w:bCs w:val="1"/>
          <w:color w:val="auto"/>
        </w:rPr>
        <w:t>no conflict of interest</w:t>
      </w:r>
      <w:r>
        <w:rPr>
          <w:rFonts w:ascii="Times New Roman" w:cs="Times New Roman" w:eastAsia="Times New Roman" w:hAnsi="Times New Roman"/>
          <w:sz w:val="18"/>
          <w:szCs w:val="18"/>
          <w:color w:val="auto"/>
        </w:rPr>
        <w:t xml:space="preserve"> between us and our partners and customers as we do not compete with them (as some other Voice AI vendors do). We also offer </w:t>
      </w:r>
      <w:r>
        <w:rPr>
          <w:rFonts w:ascii="Times New Roman" w:cs="Times New Roman" w:eastAsia="Times New Roman" w:hAnsi="Times New Roman"/>
          <w:sz w:val="18"/>
          <w:szCs w:val="18"/>
          <w:b w:val="1"/>
          <w:bCs w:val="1"/>
          <w:color w:val="auto"/>
        </w:rPr>
        <w:t>edge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hybrid</w:t>
      </w:r>
      <w:r>
        <w:rPr>
          <w:rFonts w:ascii="Times New Roman" w:cs="Times New Roman" w:eastAsia="Times New Roman" w:hAnsi="Times New Roman"/>
          <w:sz w:val="18"/>
          <w:szCs w:val="18"/>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8"/>
          <w:szCs w:val="18"/>
          <w:b w:val="1"/>
          <w:bCs w:val="1"/>
          <w:color w:val="auto"/>
        </w:rPr>
        <w:t>differentiate and innovate</w:t>
      </w:r>
      <w:r>
        <w:rPr>
          <w:rFonts w:ascii="Times New Roman" w:cs="Times New Roman" w:eastAsia="Times New Roman" w:hAnsi="Times New Roman"/>
          <w:sz w:val="18"/>
          <w:szCs w:val="18"/>
          <w:color w:val="auto"/>
        </w:rPr>
        <w:t xml:space="preserve"> their overall experiences for their brands.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Strategic Global Partners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Information provided to us by our strategic partners suggest that our customers’ products are currently have a reach over a billion users.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strategic partners that are featured here utilizes SoundHound AI’s product integrations: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Mercedes: MBUX (multiple models in North America)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Hyundai/KIA: Dynamic Voice Recognition (multiple models in North America and India)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Honda: Select models in Japan and Europe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Snapchat: Voice Scan and Captioning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Pandora: In-app Voice Mode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VIZIO: Smart TV Voice Remote for multiple product 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Castle: Voice AI Drive Through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Telekom: Magenta Speaker in Germany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intellectual property portfolio includes 227 granted or pending patents. These patents cover areas such as speech recognition, natural language understanding, machine learning, human interfaces, and others, including monetization and advertising.</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Out of our 227patents granted and pending, 35 of these patents are in conversational monetization. Because we predict that search traffic will change from keyword-based queries to conversational interactions, we have a large number of patents in the area of conversational advertising.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AI currently has a team of over 400 members, approximately 392 of which are full-time employees and 8 of which are part-time, with a presence spanning 16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beginning on page 16 of this prospectus. These risks include, but are not limited to,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Securities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Voice AI market is a relatively new and rapidly changing market, and we may be unable to compete successfully.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does not maintain a customer base that will generate a recurring stream of revenues, its operating results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fails to grow its business as anticipated, its revenues and gross margin will be adversely affected.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failure to comply with data privacy laws and regulations could damage SoundHound AI’s reputation, result in government action and have an adverse impact on its operating results.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key personnel in the future could harm SoundHound AI’s business and negatively affect our ability to successfully grow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AI’s use of open source technology could impose limitations on its ability to commercialize its software.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SoundHound AI’s proprietary technology and intellectual property could adversely affect its business and results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worsening of the COVID-19 pandemic, or other similar public health developments, could have an adverse effect on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uncertain regulatory environment and may from time to time be subject to governmental investigations or other inquiries by state, federal and local governmental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is likely to be highly volatile, and you may lose some or all of your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were incorporated in Delaware on September 15, 2021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this 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information about these risks, together with the other information appearing elsewhere in this prospectus and incorporated by reference herein,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 AI’s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2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 AI’s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 AI’s customers may adversely affect its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 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operating results could be materially and adversely affected if it loses any of its largest customers.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2020 and 2021, respectively, two and three customers accounted for the following approximate percentages of SoundHound AI’s total revenues during the applicable period: 43% and 61%. However, the majority of these revenues were from non refundable upfront payments (as opposed to subscription services), where SoundHound AI performed their contractual obligations related to the services prior to December 31, 2021 and the related revenues are recognized over time for GAAP accounting purposes.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40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SoundHound AI’s operating results may fluctuate significantly from period to period, and this may cause its stock price to decline.</w:t>
      </w:r>
    </w:p>
    <w:p>
      <w:pPr>
        <w:spacing w:after="0" w:line="1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fulfilment of large customer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 AI’s customers to their end-users;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AI or its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 AI’s products in response to competition, market conditions or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 AI’s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AI or brought by third-parties against SoundHound AI, and settlements or judgments it is required to pay in connection with disputes;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AI and its customers sell and operate.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has generated substantial net losses and negative operating cash flows since its inception and expects to continue to do so for the foreseeable future.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common stock could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 may not be able to obtain capital when desired on favorable terms, if at all, or without dilution to its stockholders.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SoundHound AI anticipates that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spacing w:after="0" w:line="10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software engineers, sales and marketing professionals, and other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 AI’s operating infrastructure;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 depends on skilled employees and could be impacted by a shortage of critical skills.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 AI’s growth.</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0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 AI’s information security posture;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AI is not currently aware but would discover through the process of remediating any cybersecurity or data privacy incidents or breaches that may occur.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is subject to a variety of domestic and international laws, rules, policies and other obligations, including data protection and anticorruption.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 AI’s customers to lose confidence in its solutions;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 AI’s reputation;</w:t>
      </w:r>
    </w:p>
    <w:p>
      <w:pPr>
        <w:spacing w:after="0" w:line="1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AI to litigation, regulatory investigations and to resulting liabilities including reimbursement of customer costs, damages penalties or fines imposed by regulatory agencies;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AI to incur significant expenses for remediation.</w:t>
      </w:r>
    </w:p>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0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local and global economies of the United Kingdom leaving the European Union;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business in China is subject to aggressive competition and is sensitive to economic, market and political conditions.</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 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6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and 2020, SoundHound AI derived over 76% and 73%,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color w:val="auto"/>
        </w:rPr>
        <w:t>Other risks and uncertainties SoundHound AI faces from its global operations include, but are not limited to:</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AI may sell SoundHound AI’s solutions or work with suppliers or other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analysis of regulatory, legal and tax issues across various countries, such as different interpretations of antitrust and competition 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resultant political, financial and market instability arising from the United Kingdom’s exit from the European Union;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 AI’s ability to sell or develop its solutions in certain foreign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(including any risks related to or resulting from COVID-19) and other similar outbreaks or events.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29" w:name="page30"/>
    <w:bookmarkEnd w:id="2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9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7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9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 AI’s brand in international markets;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 AI’s products for specific countries, including translation into foreign languages and associated costs and expenses;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 AI’s intellectual property in its locations outside the U.S.;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87" w:gutter="0" w:footer="0" w:header="0"/>
        </w:sectPr>
      </w:pPr>
    </w:p>
    <w:bookmarkStart w:id="30" w:name="page31"/>
    <w:bookmarkEnd w:id="30"/>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risks could harm SoundHound AI’s international operations, increase its operating costs and hinder its ability to grow its international business and, consequently, its overall business and results of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 AI’s operating results and may impact its overall financial condition.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being lower than anticipated in countries with lower statutory rates or higher than anticipated in countries with higher statutory rates;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AI has not previously provided for income taxes;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AI is subject to taxation.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2"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SoundHound AI spends significant time and effort on research and development and is unable to generate an adequate return on its investment, its results of operations may be materially and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brand, reputation and ability to attract, retain and serve its customers are dependent in part upon the reliable performance of its products and technologies.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If SoundHound AI is unable to maintain and enhance its brand or reputation as an industry leader, its operating results may be adversely affected.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SoundHound AI’s Intellectual Property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use of open source technology could impose limitations on its ability to commercialize its software.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Unauthorized use of SoundHound AI’s proprietary technology and intellectual property could adversely affect its business and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software products may have bugs, which could result in delayed or lost revenue, expensive correction, liability to its customers and claims against us.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 AI’s Class A Common Stock and the Securities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stock price may fluctuate significantly.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SoundHound AI’s Class A Common Stock may fluctuate widely, depending on many factors, some of which may be beyond our control,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its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its business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level of indebtedness, its ability to make payments on or service its indebtedness and its ability to obtain financing as needed;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retain and recruit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quarterly or annual earnings, or those of other companies in its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its competitors of significant acquisitions or dispositions;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its ability to meet those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its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its operating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its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Low trading volume for SoundHound AI’s Class A Common Stock, which may occur if an active trading market does not develop, among other reasons, would amplify the effect of the above factors on stock price volatility.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2"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SoundHound AI may be diluted in the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subject to stockholder approval,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time-to-time, SoundHound AI may opportunistically evaluate and pursue acquisition opportunities, including acquisitions for which the consideration thereof may consist partially or entirely of newly-issued shares of SoundHound AI common stock and, therefore, such transactions, if consummated, would dilute the voting power and/or reduce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SoundHound AI’s Class A Common Stock may not develop, which may limit your ability to sell your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active trading market for SoundHound AI’s shares of Class A Common Stock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SoundHound AI nor any market maker has control. The failure of an active and liquid trading market to develop and continue would likely have a material adverse effect on the value of SoundHound AI’s Class A Common Stock. An inactive market may also impair SoundHound AI’s ability to raise capital to continue to fund operations by issuing shares and may impair SoundHound AI’s ability to acquire other companies or technologies by using SoundHound AI’s shares as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common stock or convertible securities may dilute your ownership and could adversely affect the stock price.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in the future, SoundHound AI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SoundHound AI and the sale of a significant amount of such shares in the 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Issuing additional shares of SoundHound AI’s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SoundHound AI’s decision to issue securities in any future offering will depend on market conditions and other factors beyond our control, which may adversely affect the amount, timing, or nature of our future offerings. As a result, holders of SoundHound AI’s common stock bear the risk that SoundHound AI’s future offerings may reduce the market price of SoundHound AI’s common stock and dilute their percentage ownership.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SoundHound AI’s common stock by SoundHound AI or its existing stockholders in the public market could cause the market price for SoundHound AI’s common stock to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SoundHound AI’s common stock in the public market, or the perception that such sales could occur, could harm the prevailing market price of shares of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Company’s business combination (the “Business Combination”) pursuant to that certain merger agreement dated as of November 15, 2021 by and among Archimedes Tech SPAC Partners Co. (“ATSP”), ATSPC Merger Sub, Inc. and SoundHound, Inc., certain of ATSP’s stockholders agreed that, subject to certain exceptions, they will not, during the period beginning at the effective time of the Business Combination and the date that is 180 days after the date of the Business Combination (subject to early release if SoundHound AI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under a registration rights agreement pursuant to which we are obligated to register such stockholders’ shares of common stock and other securities that such stockholders may acquire after the closing. In connection therewith, we have filed a resale registration statement on Form S-1 to register the resale of up to approximately 97 million shares of our Class A Common Stock that has been issued or is issuable upon conversion or exercise of outstanding securities. Upon the effectiveness of the applicable registration statement, these shares of common stock will be available for resale without restriction, subject to any lock-up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2022 Plan and 2022 ESPP may become available for sale in future.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SoundHound AI’s business, its stock price and trading volume could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 may be subject to securities litigation, which is expensive and could divert management attention.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per share price of the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 has a dual class common stock structure and the holders of SoundHound AI Class B Common Stock have ten votes per share. Certain of the founders of SoundHound AI own shares of Class B Common Stock representing approximately 70.5%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Company’s Second Amended and Restated Certificate of Incorporation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Shares of Class B Common Stock are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considered a “controlled company” within the meaning of Nasdaq listing standards and, as a result, will qualify for, and may rely on, exemptions from certain corporate governance requirements. You will not have the same protections afforded to shareholders of companies that are subject to such requirements.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 has a dual class structure and upon the Closing, SoundHound Founders exchanged their shares of SoundHound Class B Common Stock for shares of Class B Common Stock of SoundHound AI which allows SoundHound Founders to also control a majority of the voting power of SoundHound AI after the Closing.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It is not our intention to elect not to comply with all of these corporate governance requirements after the Closing, in that SoundHound AI Board is expected to consist of a majority of independent directors. We may, however, elect not to have a compensation committee consisting entirely of independent directors and our directors may not be nominated or selected solely by independent directors.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Charter, the Company’s Amended and Restated Bylaws (the “Amended Bylaws”), and Delaware law contain provisions that could depress the trading price of our common stock by acting to discourage, delay, or prevent a change of control of SoundHound AI or changes in SoundHound AI that our management or stockholders may deem advantageous. Among other things, Amended Charter and Amended Bylaws include the following provisions:</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Amended Bylaws;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Amended Bylaws, which requires all stockholder actions to be taken at a meeting of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Amended Bylaws;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SoundHound AI’s future profitability.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could materially affect SoundHound AI’s future effective tax rates include but are not limited to:</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AI’s operating results before taxes.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ability to use its net operating loss carryforwards and certain other tax attributes may be limited.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(a) the name and position or positions with the Company of each Selling Stockholder; (b) the aggregate of (i) the number of shares of Common Stock and Class B common stock held by each Selling Stockholder as of the date of this prospectus (including shares purchased pursuant to the 2022 ESPP) and (ii) the number of shares of Common Stock issuable upon exercise of options or upon vesting of restricted stock units granted to each Selling Stockholder under the 2022 Plan, the 2016 Plan and the 2006 Plan that are being registered pursuant to this Registration Statement for resale by each Selling Stockholder as of the date of this prospectus; (c) the number of shares of Common Stock that each Selling Stockholder may offer for sale from time to time pursuant to this prospectus, whether or not such Selling Stockholder has a present intention to do so; and (d) the number of shares of Common Stock and Class B common stock to be owned by each Selling Stockholder following the sale of all shares that may be so offered pursuant to this prospectus, assuming no other change in ownership of Common Stock or Class B common stock by such Selling Stockholder after the date of this prospectus. Unless otherwise indicated, beneficial ownership is direct and the person indicated has sole voting and investment power.</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our knowledge, none of our officers and directors have a present intention to offer shares of Common stock for sale, although they retain the right to do so.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Inclusion of an individual’s name in the table below does not constitute an admission that such individual is an “affiliate”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of Class A</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 of Class A</w:t>
            </w: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 and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 and</w:t>
            </w: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 B Common Stock</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B Common Stock</w:t>
            </w: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22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 Prior to Resale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Offered for</w:t>
            </w: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Owned After Resale (3)</w:t>
            </w:r>
          </w:p>
        </w:tc>
      </w:tr>
      <w:tr>
        <w:trPr>
          <w:trHeight w:val="245"/>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30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with the Company (1)</w:t>
            </w: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(2)(3)(4)</w:t>
            </w:r>
          </w:p>
        </w:tc>
        <w:tc>
          <w:tcPr>
            <w:tcW w:w="280" w:type="dxa"/>
            <w:vAlign w:val="bottom"/>
          </w:tcPr>
          <w:p>
            <w:pPr>
              <w:spacing w:after="0"/>
              <w:rPr>
                <w:sz w:val="21"/>
                <w:szCs w:val="21"/>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Resale</w:t>
            </w:r>
          </w:p>
        </w:tc>
        <w:tc>
          <w:tcPr>
            <w:tcW w:w="90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5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9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18,672,499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2,033,435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16,639,064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Vice President of Products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5,573,780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5,173,780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919,751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919,751</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560,250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560,250</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Seyed Majid Emami</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Engineering</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19,650,504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1,066,748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18,583,756</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2,006,050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1,255,086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750,964</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1,639,030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1,639,030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808,677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808,677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Zubin Irani</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Revenue Officer</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805,787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805,787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positions described are with the Company, unless otherwise indicated.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prior to resale by each Selling Stockholder includes (i) shares of Common Stock (inclusive of shares purchased pursuant to the 2022 ESPP and restricted stock units granted under the 2022 Plan, 2016 Plan and 2006 Plan) and (ii) shares issuable upon exercise of options granted to such Selling Stockholders under the 2022 Plan, 2016 Plan and 2006 Plan that are being registered pursuant to this prospectus for resale. Some of these shares may have been sold prior to the date of this prospectus.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filing of this prospectus, certain restricted stock awards (time vesting and performance vesting) will be issued to each of Dr. Keyvan Mohajer, James Hom, Dr. Seyed Majid Emami, Timothy Stonehocker, Michael Zagorsek, Nitesh Sharan and Zubin Irani. These grants have been included in the selling stockholder table as part of the reoffer prospectus. Additionally, certain grants will be made to our non-employee directors. These grants have not been included in the selling stockholder table.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computed with reference to 196,187,040 shares, consisting of 155,790,440 shares of our Common Stock and 40,396,600 shares of the Company’s Class B Common Stock outstanding as of July 8, 2022 and assumes for each Selling Stockholder the sale of all shares offered by that particular Selling Stockholder under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supplement this prospectus from time to time as required by the rules of the Commission to include certain information concerning the security ownership of the Selling Stockholders or any new Selling Stockholders, the number of securities offered for resale and the position, office or other material relationship which a Selling Stockholder has had within the past three years with the Company or any of its predecessors or affiliates.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resale of our Common Stock by the Selling Stockholders pursuant to this prospectus. However, we will receive the exercise price of any Common Stock issued to the Selling Stockholders upon cash exercise by them of their options. We would expect to use these proceeds, if any, for general working capital purposes. We have agreed to pay the expenses of registration of these shares.</w:t>
      </w:r>
    </w:p>
    <w:p>
      <w:pPr>
        <w:spacing w:after="0" w:line="17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section of the prospectus, the term “Selling Stockholder” means and includes: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identified in the table above as the Selling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persons whose identities are not known as of the date hereof but may in the future be eligible to receive options under the 2022 Plan or be eligible to purchase shares under the 2022 ESPP;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donees, pledgees, distributees, transferees or other successors in interest of those persons referenced above who may: (a) receive any of the shares of our common stock offered hereby after the date of this prospectus and (b) offer or sell those shares hereunder.</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shares of our Common Stock offered by this prospectus may be sold from time to time directly by the Selling Stockholders. Alternatively, the Selling Stockholders may from time to time offer such shares through underwriters, brokers, dealers, agents or other intermediaries. The Selling Stockholders as of the date of this prospectus have advised us that there were no underwriting or distribution arrangements entered into with respect to the Common Stock offered hereby. The distribution of the Common Stock by the Selling Stockholders may be effected: in one or more transactions that may take place on The NASDAQ Global Market (including one or more block transaction) through customary brokerage channels, either through brokers acting as agents for the Selling Stockholders, or through market makers, dealers or underwriters acting as principals who may resell these shares on The NASDAQ Global Market; in privately-negotiated sales; by a combination of such methods; or by other means. These transactions may be affected at market prices prevailing at the time of sale, at prices related to such prevailing market prices or at other negotiated prices. Usual and customary or specifically negotiated brokerage fees or commissions may be paid by the Selling Stockholders in connection with sales of our Common Stock.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Stockholders may enter into hedging transactions with broker-dealers in connection with distributions of the shares or otherwise. In such transactions, broker-dealers may engage in short sales of the shares of our Common Stock in the course of hedging the positions they assume with the Selling Stockholders. The Selling Stockholders also may sell shares short and redeliver the shares to close out such short positions. The Selling Stockholders may enter into option or other transactions with broker-dealers which require the delivery to the broker-dealer of shares of our Common Stock. The broker-dealer may then resell or otherwise transfer such shares of Common Stock pursuant to this prospectus.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lend or pledge shares of our Common Stock to a broker-dealer. The broker-dealer may sell the shares of Common Stock so lent, or upon a default the broker-dealer may sell the pledged shares of Common Stock pursuant to this prospectus. Any securities covered by this prospectus which qualify for sale pursuant to Rule 144 may be sold under Rule 144 rather than pursuant to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Stockholders have not advised us that they have entered into any agreements, understandings or arrangements with any underwriters or broker-dealers regarding the sale of their securities. We are not aware of any underwriter or coordinating broker acting in connection with the proposed sale of shares of Common Stock the Selling Stockholders.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the shares of Common Stock covered by this prospectus are not currently being underwritten, the Selling Stockholders or their underwriters, brokers, dealers or other agents or other intermediaries, if any, that may participate with the selling security holders in any offering or distribution of Common Stock may be deemed “underwriters” within the meaning of the Securities Act and any profits realized or commissions received by them may be deemed underwriting compensation thereunder.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a distribution of shares of the Common Stock offered hereby may not simultaneously engage in market making activities with respect to the Common Stock for a period of up to five days preceding such distribution. The Selling Stockholders will be subject to the applicable provisions of the Exchange Act and the rules and regulations promulgated thereunder, including without limitation Regulation M, which provisions may limit the timing of purchases and sales by the Selling Stockholders.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certain state securities or blue sky laws and regulations, if applicable, the Common Stock offered hereby will be sold in such jurisdictions only through registered or licensed brokers or dealers. In certain states, the Common Stock may not be sold unless they are registered or qualified for sale in such state, or unless an exemption from registration or qualification is available and is obtained.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Common Stock offered hereby. However, the Selling Stockholders will bear any brokerage or underwriting commissions and similar selling expenses, if any, attributable to the sale of the shares of Common Stock offered pursuant to this prospectus. We have agreed to indemnify the Selling Stockholders against certain liabilities, including liabilities under the Securities Act, or to contribute to payments to which any of those security holders may be required to make in respect thereof.</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can be no assurance that the Selling Stockholders will sell any or all of the securities offered by them hereby.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securities being offered herein has been passed upon for us by Ellenoff Grossman &amp; Schole LLP, New York, New York.</w:t>
      </w:r>
    </w:p>
    <w:p>
      <w:pPr>
        <w:spacing w:after="0" w:line="1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financial statements of Archimedes Tech SPAC Partners Co. as of December 31, 2021 and 2020, and for the year ended December 31, 2021 and the period from September 15, 2020 (inception) through December 31, 2020, incorporated by reference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incorporated by reference in this registration statement, and are included in reliance upon such report given on the authority of such firm as experts in auditing and accounting.</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SoundHound, Inc. as of and for the years ended December 31, 2021 and 2020 incorporated by reference in this registration statement, of which this prospectus forms a part, have been audited by Armanino LLP, independent registered public accounting firm, as set forth in their report incorporated by reference herein, and are included in reliance upon such report given on the authority of such firm as experts in auditing and accounting in giving said report.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0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4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144"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11"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common stock. These purchasers will purchase our common stock at the market price or at a privately negotiated price and will run the risk of losing their entire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27,639,208 Shares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Commission, which means that we can disclose important information to you by referring you to those documents. The information in the documents incorporated by reference is considered to be part of this prospectus. Statements contained in documents that we file with the Commission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Commission and they are incorporated herein by reference as of their respective dates of filing.</w:t>
      </w:r>
    </w:p>
    <w:p>
      <w:pPr>
        <w:spacing w:after="0" w:line="18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our Current Reports on Form 8-K dated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17,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8,</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22">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333-264972) and as it may further be amended from time to time.</w:t>
      </w:r>
    </w:p>
    <w:p>
      <w:pPr>
        <w:spacing w:after="0" w:line="162"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documents that we filed with the Commission pursuant to Sections 13(a), 13(c), 14, and 15(d) of the Exchange Act subsequent to the date of this prospectus that indicates that all securities offered under this prospectus have been sold, or that deregisters all securities then remaining unsold, will be deemed to be incorporated in this prospectus by reference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(other than exhibits, unless such exhibits are specifically incorporated by reference), by contacting Corporate Secretary, c/o SoundHound AI, Inc., at 5400 Betsy Ross Drive, Santa Clara, CA 95054. Our telephone number is (408) 441-3200. Information about us is also available at our website at http://www.soundhound.com. However, the information in our website is not a part of this prospectus and is not incorporated by reference.</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Indemnification of Officers and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92"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7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10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080" w:type="dxa"/>
            <w:vAlign w:val="bottom"/>
            <w:tcBorders>
              <w:bottom w:val="single" w:sz="8" w:color="auto"/>
            </w:tcBorders>
          </w:tcPr>
          <w:p>
            <w:pPr>
              <w:spacing w:after="0"/>
              <w:rPr>
                <w:sz w:val="24"/>
                <w:szCs w:val="24"/>
                <w:color w:val="auto"/>
              </w:rPr>
            </w:pPr>
          </w:p>
        </w:tc>
      </w:tr>
      <w:tr>
        <w:trPr>
          <w:trHeight w:val="184"/>
        </w:trPr>
        <w:tc>
          <w:tcPr>
            <w:tcW w:w="10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Description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Exhibit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r>
      <w:tr>
        <w:trPr>
          <w:trHeight w:val="216"/>
        </w:trPr>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SoundHound AI, Inc. 2022 Incentive Award Plan.</w:t>
              </w:r>
            </w:hyperlink>
          </w:p>
        </w:tc>
        <w:tc>
          <w:tcPr>
            <w:tcW w:w="2460" w:type="dxa"/>
            <w:vAlign w:val="bottom"/>
            <w:tcBorders>
              <w:bottom w:val="single" w:sz="8" w:color="CCEEFF"/>
            </w:tcBorders>
            <w:gridSpan w:val="4"/>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Proxy Statement</w:t>
            </w:r>
          </w:p>
        </w:tc>
        <w:tc>
          <w:tcPr>
            <w:tcW w:w="1260" w:type="dxa"/>
            <w:vAlign w:val="bottom"/>
            <w:tcBorders>
              <w:bottom w:val="single" w:sz="8" w:color="CCEEFF"/>
            </w:tcBorders>
            <w:gridSpan w:val="3"/>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Annex D</w:t>
            </w: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6060" w:type="dxa"/>
            <w:vAlign w:val="bottom"/>
            <w:gridSpan w:val="10"/>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SoundHound AI, Inc. 2022 Employee Stock Purchase Plan.</w:t>
              </w:r>
            </w:hyperlink>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Proxy Statement</w:t>
            </w:r>
          </w:p>
        </w:tc>
        <w:tc>
          <w:tcPr>
            <w:tcW w:w="1260" w:type="dxa"/>
            <w:vAlign w:val="bottom"/>
            <w:gridSpan w:val="3"/>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7"/>
              </w:rPr>
              <w:t>Annex E</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60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Restricted Stock Unit Agreement.</w:t>
              </w:r>
            </w:hyperlink>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tcPr>
          <w:p>
            <w:pPr>
              <w:spacing w:after="0"/>
              <w:rPr>
                <w:sz w:val="15"/>
                <w:szCs w:val="15"/>
                <w:color w:val="auto"/>
              </w:rPr>
            </w:pPr>
          </w:p>
        </w:tc>
        <w:tc>
          <w:tcPr>
            <w:tcW w:w="306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Stock Option Award Agreement.</w:t>
              </w:r>
            </w:hyperlink>
          </w:p>
        </w:tc>
        <w:tc>
          <w:tcPr>
            <w:tcW w:w="3000" w:type="dxa"/>
            <w:vAlign w:val="bottom"/>
            <w:tcBorders>
              <w:top w:val="single" w:sz="8" w:color="CCEEFF"/>
            </w:tcBorders>
            <w:gridSpan w:val="6"/>
          </w:tcPr>
          <w:p>
            <w:pPr>
              <w:spacing w:after="0"/>
              <w:rPr>
                <w:sz w:val="15"/>
                <w:szCs w:val="15"/>
                <w:color w:val="auto"/>
              </w:rPr>
            </w:pPr>
          </w:p>
        </w:tc>
        <w:tc>
          <w:tcPr>
            <w:tcW w:w="18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60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tcBorders>
          </w:tcPr>
          <w:p>
            <w:pPr>
              <w:spacing w:after="0"/>
              <w:rPr>
                <w:sz w:val="15"/>
                <w:szCs w:val="15"/>
                <w:color w:val="auto"/>
              </w:rPr>
            </w:pPr>
          </w:p>
        </w:tc>
        <w:tc>
          <w:tcPr>
            <w:tcW w:w="32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c>
          <w:tcPr>
            <w:tcW w:w="2800" w:type="dxa"/>
            <w:vAlign w:val="bottom"/>
            <w:tcBorders>
              <w:top w:val="single" w:sz="8" w:color="CCEEFF"/>
            </w:tcBorders>
            <w:gridSpan w:val="5"/>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Armanino LLP</w:t>
            </w:r>
          </w:p>
        </w:tc>
        <w:tc>
          <w:tcPr>
            <w:tcW w:w="4140" w:type="dxa"/>
            <w:vAlign w:val="bottom"/>
            <w:tcBorders>
              <w:bottom w:val="single" w:sz="8" w:color="CCEEFF"/>
            </w:tcBorders>
            <w:gridSpan w:val="8"/>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5"/>
                <w:szCs w:val="15"/>
                <w:color w:val="auto"/>
              </w:rPr>
            </w:pPr>
          </w:p>
        </w:tc>
        <w:tc>
          <w:tcPr>
            <w:tcW w:w="60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Consent of Ellenoff Grossman &amp; Schole LLP (included in Exhibit 5.1)</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9" w:lineRule="exact"/>
        <w:rPr>
          <w:sz w:val="20"/>
          <w:szCs w:val="20"/>
          <w:color w:val="auto"/>
        </w:rPr>
      </w:pPr>
    </w:p>
    <w:p>
      <w:pPr>
        <w:ind w:left="1040" w:hanging="1032"/>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Powers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Fees Table</w:t>
      </w:r>
    </w:p>
    <w:p>
      <w:pPr>
        <w:spacing w:after="0" w:line="20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840" w:hanging="249"/>
        <w:spacing w:after="0"/>
        <w:tabs>
          <w:tab w:leader="none" w:pos="8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firstLine="883"/>
        <w:spacing w:after="0" w:line="282" w:lineRule="auto"/>
        <w:tabs>
          <w:tab w:leader="none" w:pos="1106"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firstLine="591"/>
        <w:spacing w:after="0" w:line="266" w:lineRule="auto"/>
        <w:tabs>
          <w:tab w:leader="none" w:pos="8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591"/>
        <w:spacing w:after="0" w:line="282" w:lineRule="auto"/>
        <w:tabs>
          <w:tab w:leader="none" w:pos="86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591"/>
        <w:spacing w:after="0" w:line="261" w:lineRule="auto"/>
        <w:tabs>
          <w:tab w:leader="none" w:pos="86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591"/>
        <w:spacing w:after="0" w:line="258" w:lineRule="auto"/>
        <w:tabs>
          <w:tab w:leader="none" w:pos="83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(4)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591"/>
        <w:spacing w:after="0" w:line="261" w:lineRule="auto"/>
        <w:tabs>
          <w:tab w:leader="none" w:pos="83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591"/>
        <w:spacing w:after="0" w:line="261" w:lineRule="auto"/>
        <w:tabs>
          <w:tab w:leader="none" w:pos="84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9" w:lineRule="exact"/>
        <w:rPr>
          <w:rFonts w:ascii="Times New Roman" w:cs="Times New Roman" w:eastAsia="Times New Roman" w:hAnsi="Times New Roman"/>
          <w:sz w:val="18"/>
          <w:szCs w:val="18"/>
          <w:color w:val="auto"/>
        </w:rPr>
      </w:pPr>
    </w:p>
    <w:p>
      <w:pPr>
        <w:ind w:right="20" w:firstLine="591"/>
        <w:spacing w:after="0" w:line="282" w:lineRule="auto"/>
        <w:tabs>
          <w:tab w:leader="none" w:pos="83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July 20, 2022.</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Dr. Keyvan Mohajer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hereby ratifying and confirming all that said attorney-in-fact or his substitute, each acting alone, may lawfully do or cause to be done by virtue thereof.</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0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Hom</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II-5</w:t>
            </w: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ind w:left="4140"/>
        <w:spacing w:after="0" w:line="208" w:lineRule="auto"/>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(212) 370-1000 Facsimile: (212) 370-7889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www.egsllp.com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5499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acted as counsel to SoundHound AI, Inc. (the “Company”) in connection with the preparation of the Company’s Registration Statement on Form S-8 (the “Registration Statement”) being filed with the Securities and Exchange Commission under the Securities Act of 1933, as amended (the “Securities Act”). The Registration Statement has been filed to register (i) 19,650,371 shares of our Class A Common Stock which may be offered and sold pursuant to the SoundHound AI, Inc. 2022 Equity Incentive Plan (the “2022 Plan”), (ii) 26,469,924 shares of our Class A Common Stock which may be offered and sold pursuant to the SoundHound, Inc. 2016 Equity Incentive Plan (the “2016 Plan”), (iii) 2,990,529 shares of our Class A Common Stock which may be offered and sold pursuant to the Melodis Corporation 2006 Stock Plan (the “2006 Plan”), (iv) 3,930,074 shares of our Class A Common Stock which may be offered and sold pursuant to the SoundHound AI, Inc. 2022 Employee Stock Purchase Plan (the “ESPP”) and (v) register for resale up to 27,639,208 shares of Class A Common Stock issued or issuable pursuant to the exercise of options or vesting of restricted stock units granted pursuant to the 2022 Plan, 2016 Plan and 2006 Plan, such shares or related awards being held by certain executive officers and directors of the Company. For purposes herein, the shares of Class A Common Stock issued or issuable under the 2022 Plan, 2016 Plan, 2006 Plan and ESPP shall be referred to as the “Plan Shares” and the shares of Class A Common Stock offered for resale shall be referred to as the “Resale Shares.”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arriving at the opinion expressed below, we have examined and relied on the following documents:</w:t>
      </w:r>
    </w:p>
    <w:p>
      <w:pPr>
        <w:spacing w:after="0" w:line="225" w:lineRule="exact"/>
        <w:rPr>
          <w:sz w:val="20"/>
          <w:szCs w:val="20"/>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of SoundHound AI, Inc. and the Amended and Restated Bylaws of SoundHound AI, Inc., each as amended as of the date hereof;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Plan, 2016 Plan, 2006 Plan and ESPP;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of meetings and consents of the Board of Directors of the Company provided to us by the Company.</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also assumed that the Company will not in the future issue or otherwise make available so many shares of its Class A Common Stock that there are insufficient authorized and unissued shares of Class A Common Stock for issuance of the shares issuable upon exercise of the options and vesting of the restricted stock units and any other awards being registered in the Registration Statement. We have not independently verified any of these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ind w:firstLine="324"/>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the General Corporation Law of the State of Delaware. We are not opining on, and we assume no responsibility for, the applicability or effect on any of the matters covered herein of: (a) any other laws; (b) the laws of any other jurisdiction; or</w:t>
      </w:r>
    </w:p>
    <w:p>
      <w:pPr>
        <w:ind w:firstLine="8"/>
        <w:spacing w:after="0" w:line="260" w:lineRule="auto"/>
        <w:tabs>
          <w:tab w:leader="none" w:pos="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any country, municipality or other political subdivision or local government agency or authority. The opinions set forth below are rendered as of the date of this opinion letter. We assume no obligation to update or supplement such opinions to reflect any change of law or fact that may occur.</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Plan Shares and Resale Shares have been duly authorized and, upon issuance and payment therefor in accordance with the terms of the 2022 Plan, 2016 Plan, 2006 Plan and ESPP, respectively, and the awards, agreements or certificates issued thereunder, will be validly issued, fully paid and nonassessable.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experts with respect to any part of the Registration Statement within the meaning of the term “expert” as used in Section 11 of the Securities Act or the rules and regulations promulgated thereunder by the Securities and Exchange Commission, nor do we admit that we are within the category of persons whose consent is required under Section 7 of the Securities Act or the rules and regulations of the Securities and Exchange Commission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Ellenoff Grossman &amp; Schole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SoundHound AI, Inc. (formerly known as Archimedes Tech SPAC Partners Co.) on Form S-8 of our report dated March 9, 2022, with respect to our audit of the Archimedes Tech SPAC Partners Co. (the “Company”) financial statements as of December 31, 2021 and 2020, and for the year ended December 31, 2021 and the period September 15, 2020 (inception) through December 31, 2020. Our report contained an explanatory paragraph regarding substantial doubt about the Company’s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2022</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168275</wp:posOffset>
            </wp:positionV>
            <wp:extent cx="1234440"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33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 xml:space="preserve">Armanino </w:t>
      </w:r>
      <w:r>
        <w:rPr>
          <w:rFonts w:ascii="Times New Roman" w:cs="Times New Roman" w:eastAsia="Times New Roman" w:hAnsi="Times New Roman"/>
          <w:sz w:val="29"/>
          <w:szCs w:val="29"/>
          <w:color w:val="auto"/>
          <w:vertAlign w:val="superscript"/>
        </w:rPr>
        <w:t>LLP</w:t>
      </w:r>
    </w:p>
    <w:p>
      <w:pPr>
        <w:ind w:left="64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2023110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1431925</wp:posOffset>
            </wp:positionV>
            <wp:extent cx="822960" cy="49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822960" cy="4972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720" w:type="dxa"/>
            <w:vAlign w:val="bottom"/>
            <w:tcBorders>
              <w:top w:val="single" w:sz="8" w:color="auto"/>
              <w:left w:val="single" w:sz="8" w:color="auto"/>
              <w:right w:val="single" w:sz="8" w:color="auto"/>
            </w:tcBorders>
          </w:tcPr>
          <w:p>
            <w:pPr>
              <w:spacing w:after="0"/>
              <w:rPr>
                <w:sz w:val="19"/>
                <w:szCs w:val="19"/>
                <w:color w:val="auto"/>
              </w:rPr>
            </w:pPr>
          </w:p>
        </w:tc>
        <w:tc>
          <w:tcPr>
            <w:tcW w:w="416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25"/>
        </w:trPr>
        <w:tc>
          <w:tcPr>
            <w:tcW w:w="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4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980" w:type="dxa"/>
            <w:vAlign w:val="bottom"/>
            <w:tcBorders>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auto"/>
              </w:rPr>
              <w:t>registered</w:t>
            </w:r>
            <w:r>
              <w:rPr>
                <w:rFonts w:ascii="Times New Roman" w:cs="Times New Roman" w:eastAsia="Times New Roman" w:hAnsi="Times New Roman"/>
                <w:sz w:val="26"/>
                <w:szCs w:val="26"/>
                <w:b w:val="1"/>
                <w:bCs w:val="1"/>
                <w:color w:val="auto"/>
                <w:vertAlign w:val="superscript"/>
              </w:rPr>
              <w:t>(1)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9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w:t>
            </w:r>
          </w:p>
        </w:tc>
      </w:tr>
      <w:tr>
        <w:trPr>
          <w:trHeight w:val="270"/>
        </w:trPr>
        <w:tc>
          <w:tcPr>
            <w:tcW w:w="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4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(2)</w:t>
            </w:r>
          </w:p>
        </w:tc>
        <w:tc>
          <w:tcPr>
            <w:tcW w:w="86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share </w:t>
            </w:r>
            <w:r>
              <w:rPr>
                <w:rFonts w:ascii="Times New Roman" w:cs="Times New Roman" w:eastAsia="Times New Roman" w:hAnsi="Times New Roman"/>
                <w:sz w:val="29"/>
                <w:szCs w:val="29"/>
                <w:b w:val="1"/>
                <w:bCs w:val="1"/>
                <w:color w:val="auto"/>
                <w:w w:val="92"/>
                <w:vertAlign w:val="superscript"/>
              </w:rPr>
              <w:t>(3)</w:t>
            </w:r>
          </w:p>
        </w:tc>
        <w:tc>
          <w:tcPr>
            <w:tcW w:w="128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price </w:t>
            </w:r>
            <w:r>
              <w:rPr>
                <w:rFonts w:ascii="Times New Roman" w:cs="Times New Roman" w:eastAsia="Times New Roman" w:hAnsi="Times New Roman"/>
                <w:sz w:val="29"/>
                <w:szCs w:val="29"/>
                <w:b w:val="1"/>
                <w:bCs w:val="1"/>
                <w:color w:val="auto"/>
                <w:w w:val="93"/>
                <w:vertAlign w:val="superscript"/>
              </w:rPr>
              <w:t>(3)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jc w:val="center"/>
              <w:ind w:right="35"/>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fee</w:t>
            </w:r>
            <w:r>
              <w:rPr>
                <w:rFonts w:ascii="Times New Roman" w:cs="Times New Roman" w:eastAsia="Times New Roman" w:hAnsi="Times New Roman"/>
                <w:sz w:val="14"/>
                <w:szCs w:val="14"/>
                <w:b w:val="1"/>
                <w:bCs w:val="1"/>
                <w:color w:val="auto"/>
              </w:rPr>
              <w:t>(3)(4)</w:t>
            </w:r>
          </w:p>
        </w:tc>
      </w:tr>
      <w:tr>
        <w:trPr>
          <w:trHeight w:val="205"/>
        </w:trPr>
        <w:tc>
          <w:tcPr>
            <w:tcW w:w="72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4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457(c) and</w:t>
            </w:r>
          </w:p>
        </w:tc>
        <w:tc>
          <w:tcPr>
            <w:tcW w:w="9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$92.70 per</w:t>
            </w:r>
          </w:p>
        </w:tc>
        <w:tc>
          <w:tcPr>
            <w:tcW w:w="1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- 2022 Equity</w:t>
            </w:r>
          </w:p>
        </w:tc>
        <w:tc>
          <w:tcPr>
            <w:tcW w:w="40" w:type="dxa"/>
            <w:vAlign w:val="bottom"/>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720" w:type="dxa"/>
            <w:vAlign w:val="bottom"/>
            <w:tcBorders>
              <w:left w:val="single" w:sz="8" w:color="auto"/>
              <w:bottom w:val="single" w:sz="8" w:color="auto"/>
              <w:right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19,650,371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$64,060,209.46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dollars</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$5,938.38</w:t>
            </w:r>
          </w:p>
        </w:tc>
      </w:tr>
      <w:tr>
        <w:trPr>
          <w:trHeight w:val="205"/>
        </w:trPr>
        <w:tc>
          <w:tcPr>
            <w:tcW w:w="72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4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457(c) and</w:t>
            </w:r>
          </w:p>
        </w:tc>
        <w:tc>
          <w:tcPr>
            <w:tcW w:w="9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$92.70 per</w:t>
            </w:r>
          </w:p>
        </w:tc>
        <w:tc>
          <w:tcPr>
            <w:tcW w:w="1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 SoundHound, Inc.</w:t>
            </w:r>
          </w:p>
        </w:tc>
        <w:tc>
          <w:tcPr>
            <w:tcW w:w="40" w:type="dxa"/>
            <w:vAlign w:val="bottom"/>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720" w:type="dxa"/>
            <w:vAlign w:val="bottom"/>
            <w:tcBorders>
              <w:left w:val="single" w:sz="8" w:color="auto"/>
              <w:bottom w:val="single" w:sz="8" w:color="auto"/>
              <w:right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2016 Equity Incentive Plan</w:t>
            </w: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26,469,924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$86,291,952.24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dollars</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$7,999.26</w:t>
            </w:r>
          </w:p>
        </w:tc>
      </w:tr>
      <w:tr>
        <w:trPr>
          <w:trHeight w:val="205"/>
        </w:trPr>
        <w:tc>
          <w:tcPr>
            <w:tcW w:w="72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4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457(c) and</w:t>
            </w:r>
          </w:p>
        </w:tc>
        <w:tc>
          <w:tcPr>
            <w:tcW w:w="9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$92.70 per</w:t>
            </w:r>
          </w:p>
        </w:tc>
        <w:tc>
          <w:tcPr>
            <w:tcW w:w="1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 Melodis</w:t>
            </w:r>
          </w:p>
        </w:tc>
        <w:tc>
          <w:tcPr>
            <w:tcW w:w="40" w:type="dxa"/>
            <w:vAlign w:val="bottom"/>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720" w:type="dxa"/>
            <w:vAlign w:val="bottom"/>
            <w:tcBorders>
              <w:left w:val="single" w:sz="8" w:color="auto"/>
              <w:bottom w:val="single" w:sz="8" w:color="auto"/>
              <w:right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Corporation 2006 Stock Plan</w:t>
            </w: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2,990,529</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$9,749,124.54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dollars</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$903.74</w:t>
            </w:r>
          </w:p>
        </w:tc>
      </w:tr>
      <w:tr>
        <w:trPr>
          <w:trHeight w:val="205"/>
        </w:trPr>
        <w:tc>
          <w:tcPr>
            <w:tcW w:w="72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4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457(c) and</w:t>
            </w:r>
          </w:p>
        </w:tc>
        <w:tc>
          <w:tcPr>
            <w:tcW w:w="9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$92.70 per</w:t>
            </w:r>
          </w:p>
        </w:tc>
        <w:tc>
          <w:tcPr>
            <w:tcW w:w="1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- 2022 Employee</w:t>
            </w:r>
          </w:p>
        </w:tc>
        <w:tc>
          <w:tcPr>
            <w:tcW w:w="40" w:type="dxa"/>
            <w:vAlign w:val="bottom"/>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720" w:type="dxa"/>
            <w:vAlign w:val="bottom"/>
            <w:tcBorders>
              <w:left w:val="single" w:sz="8" w:color="auto"/>
              <w:bottom w:val="single" w:sz="8" w:color="auto"/>
              <w:right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Purchase Plan</w:t>
            </w: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3,930,074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$12,812,041.24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dollars</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$1,187.68</w:t>
            </w:r>
          </w:p>
        </w:tc>
      </w:tr>
      <w:tr>
        <w:trPr>
          <w:trHeight w:val="205"/>
        </w:trPr>
        <w:tc>
          <w:tcPr>
            <w:tcW w:w="720" w:type="dxa"/>
            <w:vAlign w:val="bottom"/>
            <w:tcBorders>
              <w:left w:val="single" w:sz="8" w:color="auto"/>
            </w:tcBorders>
          </w:tcPr>
          <w:p>
            <w:pPr>
              <w:spacing w:after="0"/>
              <w:rPr>
                <w:sz w:val="17"/>
                <w:szCs w:val="17"/>
                <w:color w:val="auto"/>
              </w:rPr>
            </w:pPr>
          </w:p>
        </w:tc>
        <w:tc>
          <w:tcPr>
            <w:tcW w:w="4160" w:type="dxa"/>
            <w:vAlign w:val="bottom"/>
          </w:tcPr>
          <w:p>
            <w:pPr>
              <w:jc w:val="center"/>
              <w:ind w:left="2310"/>
              <w:spacing w:after="0" w:line="205" w:lineRule="exact"/>
              <w:rPr>
                <w:sz w:val="20"/>
                <w:szCs w:val="20"/>
                <w:color w:val="auto"/>
              </w:rPr>
            </w:pPr>
            <w:r>
              <w:rPr>
                <w:rFonts w:ascii="Times New Roman" w:cs="Times New Roman" w:eastAsia="Times New Roman" w:hAnsi="Times New Roman"/>
                <w:sz w:val="18"/>
                <w:szCs w:val="18"/>
                <w:color w:val="auto"/>
                <w:w w:val="98"/>
              </w:rPr>
              <w:t>Total Offering Amounts</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$92.70 per</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720" w:type="dxa"/>
            <w:vAlign w:val="bottom"/>
            <w:tcBorders>
              <w:left w:val="single" w:sz="8" w:color="auto"/>
            </w:tcBorders>
          </w:tcPr>
          <w:p>
            <w:pPr>
              <w:spacing w:after="0"/>
              <w:rPr>
                <w:sz w:val="18"/>
                <w:szCs w:val="18"/>
                <w:color w:val="auto"/>
              </w:rPr>
            </w:pPr>
          </w:p>
        </w:tc>
        <w:tc>
          <w:tcPr>
            <w:tcW w:w="4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720" w:type="dxa"/>
            <w:vAlign w:val="bottom"/>
            <w:tcBorders>
              <w:left w:val="single" w:sz="8" w:color="auto"/>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$172,913,327.48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dollars</w:t>
            </w:r>
          </w:p>
        </w:tc>
        <w:tc>
          <w:tcPr>
            <w:tcW w:w="1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$16,029.07</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200" w:type="dxa"/>
            <w:vAlign w:val="bottom"/>
            <w:tcBorders>
              <w:bottom w:val="single" w:sz="8" w:color="auto"/>
            </w:tcBorders>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200" w:type="dxa"/>
            <w:vAlign w:val="bottom"/>
            <w:tcBorders>
              <w:bottom w:val="single" w:sz="8" w:color="auto"/>
            </w:tcBorders>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Net Fee Due</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$16,029.07</w:t>
            </w: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is being filed by SoundHound AI, Inc. relating to 19,650,371 shares of our Class A Common Stock which may be offered and sold pursuant to the SoundHound AI, Inc. 2022 Equity Incentive Plan, 26,469,924 shares of our Class A Common Stock which may be offered and sold pursuant to the SoundHound, Inc. 2016 Equity Incentive Plan, 2,990,529 shares of our Class A Common Stock which may be offered and sold pursuant to the Melodis Corporation 2006 Stock Plan and 3,930,074 shares of our Class A Common Stock which may be offered and sold pursuant to the SoundHound AI, Inc. 2022 Employee Stock Purchase Plan. No additional registration fee is required for the shares registered on this Registration Statement pursuant to Rule 457(h)(3).</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registered hereby are such additional and indeterminate number of shares of Class A Common Stock as may be issuable under the plan by reason of any stock split, stock dividend, recapitalization, combination of shares, exchange of shares, or other similar change affecting the outstanding Class A Common Stock.</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which was computed in accordance with Rule 457(c) and Rule 457(h)(1) under the Securities Act of 1933, as amended (the “Securities Act”), on a basis of the average of the high and low sales prices of the Class A Common Stock last reported on The Nasdaq Global Market on July 14, 2022.</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24"/>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1">
    <w:nsid w:val="614FD4A1"/>
    <w:multiLevelType w:val="hybridMultilevel"/>
    <w:lvl w:ilvl="0">
      <w:lvlJc w:val="left"/>
      <w:lvlText w:val="%1"/>
      <w:numFmt w:val="lowerLetter"/>
      <w:start w:val="1"/>
    </w:lvl>
    <w:lvl w:ilvl="1">
      <w:lvlJc w:val="left"/>
      <w:lvlText w:val="(%2)"/>
      <w:numFmt w:val="decimal"/>
      <w:start w:val="5"/>
    </w:lvl>
  </w:abstractNum>
  <w:abstractNum w:abstractNumId="32">
    <w:nsid w:val="419AC241"/>
    <w:multiLevelType w:val="hybridMultilevel"/>
    <w:lvl w:ilvl="0">
      <w:lvlJc w:val="left"/>
      <w:lvlText w:val="(%1)"/>
      <w:numFmt w:val="lowerLetter"/>
      <w:start w:val="2"/>
    </w:lvl>
    <w:lvl w:ilvl="1">
      <w:lvlJc w:val="left"/>
      <w:lvlText w:val="%2"/>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lowerLetter"/>
      <w:start w:val="3"/>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jpeg"/><Relationship Id="rId33" Type="http://schemas.openxmlformats.org/officeDocument/2006/relationships/image" Target="media/image22.pn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png"/><Relationship Id="rId37" Type="http://schemas.openxmlformats.org/officeDocument/2006/relationships/image" Target="media/image26.jpeg"/><Relationship Id="rId38" Type="http://schemas.openxmlformats.org/officeDocument/2006/relationships/image" Target="media/image27.png"/><Relationship Id="rId39" Type="http://schemas.openxmlformats.org/officeDocument/2006/relationships/image" Target="media/image28.jpe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jpeg"/><Relationship Id="rId86" Type="http://schemas.openxmlformats.org/officeDocument/2006/relationships/image" Target="media/image71.png"/><Relationship Id="rId87" Type="http://schemas.openxmlformats.org/officeDocument/2006/relationships/image" Target="media/image72.jpeg"/><Relationship Id="rId19" Type="http://schemas.openxmlformats.org/officeDocument/2006/relationships/hyperlink" Target="http://www.sec.gov/Archives/edgar/data/1840856/000121390022011342/f10k2021_archimedestech.htm" TargetMode="External"/><Relationship Id="rId20" Type="http://schemas.openxmlformats.org/officeDocument/2006/relationships/hyperlink" Target="http://www.sec.gov/ix?doc=/Archives/edgar/data/1840856/000121390022027591/f10q0322_soundhound.htm" TargetMode="External"/><Relationship Id="rId21" Type="http://schemas.openxmlformats.org/officeDocument/2006/relationships/hyperlink" Target="http://www.sec.gov/ix?doc=/Archives/edgar/data/1840856/000121390022031794/ea161309-8k_soundhound.htm" TargetMode="External"/><Relationship Id="rId22" Type="http://schemas.openxmlformats.org/officeDocument/2006/relationships/hyperlink" Target="http://www.sec.gov/ix?doc=/Archives/edgar/data/1840856/000121390022026797/fs12022_soundhound.htm" TargetMode="External"/><Relationship Id="rId75" Type="http://schemas.openxmlformats.org/officeDocument/2006/relationships/hyperlink" Target="http://www.sec.gov/Archives/edgar/data/1840856/000121390022018967/f424b30422_archimedes.htm#T601" TargetMode="External"/><Relationship Id="rId76" Type="http://schemas.openxmlformats.org/officeDocument/2006/relationships/hyperlink" Target="http://www.sec.gov/Archives/edgar/data/1840856/000121390022018967/f424b30422_archimedes.htm#T602" TargetMode="External"/><Relationship Id="rId77" Type="http://schemas.openxmlformats.org/officeDocument/2006/relationships/hyperlink" Target="http://www.sec.gov/Archives/edgar/data/1840856/000121390022023274/ea159193ex10-8_soundhound.htm" TargetMode="External"/><Relationship Id="rId78" Type="http://schemas.openxmlformats.org/officeDocument/2006/relationships/hyperlink" Target="http://www.sec.gov/Archives/edgar/data/1840856/000121390022023274/ea159193ex10-9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2022-07-20T15:54:31Z</dcterms:created>
  <dcterms:modified xsi:type="dcterms:W3CDTF">2022-07-20T15:54:31Z</dcterms:modified>
</cp:coreProperties>
</file>