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SOUNDHOUND AI,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836100 107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Seyed Majid Emami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SoundHound AI,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Santa Clara, CA 95054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26,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240.13d-l(e), 240.13d-l(f) or 240.13d-1(g),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836100 107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auto"/>
              <w:right w:val="single" w:sz="8" w:color="auto"/>
            </w:tcBorders>
          </w:tcPr>
          <w:p>
            <w:pPr>
              <w:spacing w:after="0"/>
              <w:rPr>
                <w:sz w:val="24"/>
                <w:szCs w:val="24"/>
                <w:color w:val="auto"/>
              </w:rPr>
            </w:pPr>
          </w:p>
        </w:tc>
        <w:tc>
          <w:tcPr>
            <w:tcW w:w="1030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Seyed Majid Emami</w:t>
            </w:r>
          </w:p>
        </w:tc>
        <w:tc>
          <w:tcPr>
            <w:tcW w:w="8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2</w:t>
            </w:r>
          </w:p>
        </w:tc>
        <w:tc>
          <w:tcPr>
            <w:tcW w:w="50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85"/>
        </w:trPr>
        <w:tc>
          <w:tcPr>
            <w:tcW w:w="440" w:type="dxa"/>
            <w:vAlign w:val="bottom"/>
            <w:tcBorders>
              <w:left w:val="single" w:sz="8" w:color="auto"/>
            </w:tcBorders>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(a)</w:t>
            </w: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Borders>
              <w:left w:val="single" w:sz="8" w:color="auto"/>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82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Borders>
              <w:bottom w:val="single" w:sz="8" w:color="auto"/>
            </w:tcBorders>
          </w:tcPr>
          <w:p>
            <w:pPr>
              <w:spacing w:after="0"/>
              <w:rPr>
                <w:sz w:val="23"/>
                <w:szCs w:val="23"/>
                <w:color w:val="auto"/>
              </w:rPr>
            </w:pPr>
          </w:p>
        </w:tc>
        <w:tc>
          <w:tcPr>
            <w:tcW w:w="82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500" w:type="dxa"/>
            <w:vAlign w:val="bottom"/>
            <w:tcBorders>
              <w:right w:val="single" w:sz="8" w:color="auto"/>
            </w:tcBorders>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860" w:type="dxa"/>
            <w:vAlign w:val="bottom"/>
          </w:tcPr>
          <w:p>
            <w:pPr>
              <w:spacing w:after="0"/>
              <w:rPr>
                <w:sz w:val="24"/>
                <w:szCs w:val="24"/>
                <w:color w:val="auto"/>
              </w:rPr>
            </w:pP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19"/>
                <w:szCs w:val="19"/>
                <w:color w:val="auto"/>
              </w:rPr>
            </w:pPr>
          </w:p>
        </w:tc>
        <w:tc>
          <w:tcPr>
            <w:tcW w:w="900" w:type="dxa"/>
            <w:vAlign w:val="bottom"/>
            <w:tcBorders>
              <w:bottom w:val="single" w:sz="8" w:color="auto"/>
            </w:tcBorders>
            <w:gridSpan w:val="2"/>
          </w:tcPr>
          <w:p>
            <w:pPr>
              <w:spacing w:after="0"/>
              <w:rPr>
                <w:sz w:val="19"/>
                <w:szCs w:val="19"/>
                <w:color w:val="auto"/>
              </w:rPr>
            </w:pPr>
          </w:p>
        </w:tc>
        <w:tc>
          <w:tcPr>
            <w:tcW w:w="8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50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5"/>
              </w:rPr>
              <w:t>OO</w:t>
            </w: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50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gridSpan w:val="2"/>
          </w:tcPr>
          <w:p>
            <w:pPr>
              <w:spacing w:after="0"/>
              <w:rPr>
                <w:sz w:val="17"/>
                <w:szCs w:val="17"/>
                <w:color w:val="auto"/>
              </w:rPr>
            </w:pPr>
          </w:p>
        </w:tc>
        <w:tc>
          <w:tcPr>
            <w:tcW w:w="8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50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 Canada</w:t>
            </w:r>
          </w:p>
        </w:tc>
        <w:tc>
          <w:tcPr>
            <w:tcW w:w="0" w:type="dxa"/>
            <w:vAlign w:val="bottom"/>
          </w:tcPr>
          <w:p>
            <w:pPr>
              <w:spacing w:after="0"/>
              <w:rPr>
                <w:sz w:val="1"/>
                <w:szCs w:val="1"/>
                <w:color w:val="auto"/>
              </w:rPr>
            </w:pPr>
          </w:p>
        </w:tc>
      </w:tr>
      <w:tr>
        <w:trPr>
          <w:trHeight w:val="223"/>
        </w:trPr>
        <w:tc>
          <w:tcPr>
            <w:tcW w:w="440" w:type="dxa"/>
            <w:vAlign w:val="bottom"/>
            <w:tcBorders>
              <w:left w:val="single" w:sz="8" w:color="auto"/>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8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19,250,504(1)</w:t>
            </w:r>
          </w:p>
        </w:tc>
        <w:tc>
          <w:tcPr>
            <w:tcW w:w="0" w:type="dxa"/>
            <w:vAlign w:val="bottom"/>
          </w:tcPr>
          <w:p>
            <w:pPr>
              <w:spacing w:after="0"/>
              <w:rPr>
                <w:sz w:val="1"/>
                <w:szCs w:val="1"/>
                <w:color w:val="auto"/>
              </w:rPr>
            </w:pPr>
          </w:p>
        </w:tc>
      </w:tr>
      <w:tr>
        <w:trPr>
          <w:trHeight w:val="202"/>
        </w:trPr>
        <w:tc>
          <w:tcPr>
            <w:tcW w:w="440" w:type="dxa"/>
            <w:vAlign w:val="bottom"/>
            <w:tcBorders>
              <w:left w:val="single" w:sz="8" w:color="auto"/>
            </w:tcBorders>
          </w:tcPr>
          <w:p>
            <w:pPr>
              <w:spacing w:after="0"/>
              <w:rPr>
                <w:sz w:val="17"/>
                <w:szCs w:val="17"/>
                <w:color w:val="auto"/>
              </w:rPr>
            </w:pPr>
          </w:p>
        </w:tc>
        <w:tc>
          <w:tcPr>
            <w:tcW w:w="1620" w:type="dxa"/>
            <w:vAlign w:val="bottom"/>
            <w:tcBorders>
              <w:right w:val="single" w:sz="8" w:color="auto"/>
            </w:tcBorders>
            <w:gridSpan w:val="3"/>
          </w:tcPr>
          <w:p>
            <w:pPr>
              <w:jc w:val="center"/>
              <w:ind w:right="390"/>
              <w:spacing w:after="0" w:line="201" w:lineRule="exact"/>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17"/>
                <w:szCs w:val="17"/>
                <w:color w:val="auto"/>
              </w:rPr>
            </w:pPr>
          </w:p>
        </w:tc>
        <w:tc>
          <w:tcPr>
            <w:tcW w:w="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8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Shared Voting Power (see Item 5 below)</w:t>
            </w:r>
          </w:p>
        </w:tc>
        <w:tc>
          <w:tcPr>
            <w:tcW w:w="0" w:type="dxa"/>
            <w:vAlign w:val="bottom"/>
          </w:tcPr>
          <w:p>
            <w:pPr>
              <w:spacing w:after="0"/>
              <w:rPr>
                <w:sz w:val="1"/>
                <w:szCs w:val="1"/>
                <w:color w:val="auto"/>
              </w:rPr>
            </w:pPr>
          </w:p>
        </w:tc>
      </w:tr>
      <w:tr>
        <w:trPr>
          <w:trHeight w:val="82"/>
        </w:trPr>
        <w:tc>
          <w:tcPr>
            <w:tcW w:w="440" w:type="dxa"/>
            <w:vAlign w:val="bottom"/>
            <w:tcBorders>
              <w:left w:val="single" w:sz="8" w:color="auto"/>
            </w:tcBorders>
          </w:tcPr>
          <w:p>
            <w:pPr>
              <w:spacing w:after="0"/>
              <w:rPr>
                <w:sz w:val="7"/>
                <w:szCs w:val="7"/>
                <w:color w:val="auto"/>
              </w:rPr>
            </w:pPr>
          </w:p>
        </w:tc>
        <w:tc>
          <w:tcPr>
            <w:tcW w:w="840" w:type="dxa"/>
            <w:vAlign w:val="bottom"/>
            <w:gridSpan w:val="2"/>
            <w:vMerge w:val="restart"/>
          </w:tcPr>
          <w:p>
            <w:pPr>
              <w:jc w:val="center"/>
              <w:ind w:left="270"/>
              <w:spacing w:after="0"/>
              <w:rPr>
                <w:sz w:val="20"/>
                <w:szCs w:val="20"/>
                <w:color w:val="auto"/>
              </w:rPr>
            </w:pPr>
            <w:r>
              <w:rPr>
                <w:rFonts w:ascii="Arial" w:cs="Arial" w:eastAsia="Arial" w:hAnsi="Arial"/>
                <w:sz w:val="18"/>
                <w:szCs w:val="18"/>
                <w:color w:val="auto"/>
                <w:w w:val="84"/>
              </w:rPr>
              <w:t>Shares</w:t>
            </w:r>
          </w:p>
        </w:tc>
        <w:tc>
          <w:tcPr>
            <w:tcW w:w="7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8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40" w:type="dxa"/>
            <w:vAlign w:val="bottom"/>
            <w:tcBorders>
              <w:left w:val="single" w:sz="8" w:color="auto"/>
            </w:tcBorders>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440" w:type="dxa"/>
            <w:vAlign w:val="bottom"/>
            <w:tcBorders>
              <w:left w:val="single" w:sz="8" w:color="auto"/>
            </w:tcBorders>
          </w:tcPr>
          <w:p>
            <w:pPr>
              <w:spacing w:after="0"/>
              <w:rPr>
                <w:sz w:val="7"/>
                <w:szCs w:val="7"/>
                <w:color w:val="auto"/>
              </w:rPr>
            </w:pPr>
          </w:p>
        </w:tc>
        <w:tc>
          <w:tcPr>
            <w:tcW w:w="1620" w:type="dxa"/>
            <w:vAlign w:val="bottom"/>
            <w:tcBorders>
              <w:right w:val="single" w:sz="8" w:color="auto"/>
            </w:tcBorders>
            <w:gridSpan w:val="3"/>
            <w:vMerge w:val="restart"/>
          </w:tcPr>
          <w:p>
            <w:pPr>
              <w:jc w:val="center"/>
              <w:ind w:right="390"/>
              <w:spacing w:after="0"/>
              <w:rPr>
                <w:sz w:val="20"/>
                <w:szCs w:val="20"/>
                <w:color w:val="auto"/>
              </w:rPr>
            </w:pPr>
            <w:r>
              <w:rPr>
                <w:rFonts w:ascii="Arial" w:cs="Arial" w:eastAsia="Arial" w:hAnsi="Arial"/>
                <w:sz w:val="18"/>
                <w:szCs w:val="18"/>
                <w:color w:val="auto"/>
                <w:w w:val="91"/>
              </w:rPr>
              <w:t>Owned by</w:t>
            </w:r>
          </w:p>
        </w:tc>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82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40" w:type="dxa"/>
            <w:vAlign w:val="bottom"/>
            <w:tcBorders>
              <w:left w:val="single" w:sz="8" w:color="auto"/>
            </w:tcBorders>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8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84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Each</w:t>
            </w:r>
          </w:p>
        </w:tc>
        <w:tc>
          <w:tcPr>
            <w:tcW w:w="7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right w:val="single" w:sz="8" w:color="auto"/>
            </w:tcBorders>
            <w:vMerge w:val="continue"/>
          </w:tcPr>
          <w:p>
            <w:pPr>
              <w:spacing w:after="0"/>
              <w:rPr>
                <w:sz w:val="18"/>
                <w:szCs w:val="18"/>
                <w:color w:val="auto"/>
              </w:rPr>
            </w:pPr>
          </w:p>
        </w:tc>
        <w:tc>
          <w:tcPr>
            <w:tcW w:w="8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gridSpan w:val="3"/>
          </w:tcPr>
          <w:p>
            <w:pPr>
              <w:jc w:val="center"/>
              <w:ind w:right="37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19,250,504(1)</w:t>
            </w:r>
          </w:p>
        </w:tc>
        <w:tc>
          <w:tcPr>
            <w:tcW w:w="0" w:type="dxa"/>
            <w:vAlign w:val="bottom"/>
          </w:tcPr>
          <w:p>
            <w:pPr>
              <w:spacing w:after="0"/>
              <w:rPr>
                <w:sz w:val="1"/>
                <w:szCs w:val="1"/>
                <w:color w:val="auto"/>
              </w:rPr>
            </w:pPr>
          </w:p>
        </w:tc>
      </w:tr>
      <w:tr>
        <w:trPr>
          <w:trHeight w:val="183"/>
        </w:trPr>
        <w:tc>
          <w:tcPr>
            <w:tcW w:w="440" w:type="dxa"/>
            <w:vAlign w:val="bottom"/>
            <w:tcBorders>
              <w:left w:val="single" w:sz="8" w:color="auto"/>
            </w:tcBorders>
          </w:tcPr>
          <w:p>
            <w:pPr>
              <w:spacing w:after="0"/>
              <w:rPr>
                <w:sz w:val="15"/>
                <w:szCs w:val="15"/>
                <w:color w:val="auto"/>
              </w:rPr>
            </w:pPr>
          </w:p>
        </w:tc>
        <w:tc>
          <w:tcPr>
            <w:tcW w:w="1620" w:type="dxa"/>
            <w:vAlign w:val="bottom"/>
            <w:tcBorders>
              <w:right w:val="single" w:sz="8" w:color="auto"/>
            </w:tcBorders>
            <w:gridSpan w:val="3"/>
          </w:tcPr>
          <w:p>
            <w:pPr>
              <w:jc w:val="center"/>
              <w:ind w:right="330"/>
              <w:spacing w:after="0" w:line="157" w:lineRule="exact"/>
              <w:rPr>
                <w:sz w:val="20"/>
                <w:szCs w:val="20"/>
                <w:color w:val="auto"/>
              </w:rPr>
            </w:pPr>
            <w:r>
              <w:rPr>
                <w:rFonts w:ascii="Arial" w:cs="Arial" w:eastAsia="Arial" w:hAnsi="Arial"/>
                <w:sz w:val="18"/>
                <w:szCs w:val="18"/>
                <w:color w:val="auto"/>
                <w:w w:val="89"/>
              </w:rPr>
              <w:t>Person With</w:t>
            </w: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2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 (see Item 5 below)</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50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9"/>
              </w:rPr>
              <w:t>19,250,504(1)</w:t>
            </w: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spacing w:after="0"/>
              <w:rPr>
                <w:sz w:val="17"/>
                <w:szCs w:val="17"/>
                <w:color w:val="auto"/>
              </w:rPr>
            </w:pPr>
          </w:p>
        </w:tc>
        <w:tc>
          <w:tcPr>
            <w:tcW w:w="10300" w:type="dxa"/>
            <w:vAlign w:val="bottom"/>
            <w:tcBorders>
              <w:bottom w:val="single" w:sz="8" w:color="auto"/>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13</w:t>
            </w:r>
          </w:p>
        </w:tc>
        <w:tc>
          <w:tcPr>
            <w:tcW w:w="50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11% (2)(3)(4)</w:t>
            </w: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14</w:t>
            </w:r>
          </w:p>
        </w:tc>
        <w:tc>
          <w:tcPr>
            <w:tcW w:w="500" w:type="dxa"/>
            <w:vAlign w:val="bottom"/>
            <w:tcBorders>
              <w:right w:val="single" w:sz="8" w:color="auto"/>
            </w:tcBorders>
          </w:tcPr>
          <w:p>
            <w:pPr>
              <w:spacing w:after="0"/>
              <w:rPr>
                <w:sz w:val="24"/>
                <w:szCs w:val="24"/>
                <w:color w:val="auto"/>
              </w:rPr>
            </w:pPr>
          </w:p>
        </w:tc>
        <w:tc>
          <w:tcPr>
            <w:tcW w:w="2020" w:type="dxa"/>
            <w:vAlign w:val="bottom"/>
            <w:gridSpan w:val="4"/>
          </w:tcPr>
          <w:p>
            <w:pPr>
              <w:ind w:left="80"/>
              <w:spacing w:after="0"/>
              <w:rPr>
                <w:sz w:val="20"/>
                <w:szCs w:val="20"/>
                <w:color w:val="auto"/>
              </w:rPr>
            </w:pPr>
            <w:r>
              <w:rPr>
                <w:rFonts w:ascii="Arial" w:cs="Arial" w:eastAsia="Arial" w:hAnsi="Arial"/>
                <w:sz w:val="18"/>
                <w:szCs w:val="18"/>
                <w:color w:val="auto"/>
                <w:w w:val="92"/>
              </w:rPr>
              <w:t>Type of Reporting Person</w:t>
            </w:r>
          </w:p>
        </w:tc>
        <w:tc>
          <w:tcPr>
            <w:tcW w:w="8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72"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Represents 666,748 shares of Class A common stock, par value $0.0001 per share (“Class A Common Stock”) issuable to the Reporting Person upon his exercise of Stock Options (defined in Item 3), which are currently exercisable, and 18,583,756 shares of Class A Common Stock which are issuable to the Reporting Person upon his conversion of shares of Class B common stock, par value $0.0001 per share (the “Class B Common Stock” and, together with the Class A Common Stock, the “Common Stock”). Each share of Class B Common Stock is convertible into one share of Class A Common Stock at the option of the holders of Class B Common Stock upon written notice to SoundHound AI, Inc. (“SoundHound” or the “Company”). In addition, the shares of Class B Common Stock will automatically convert into shares of Class A Common Stock on the earliest to occur of certain events specified in the Second Amended and Restated Certificate of Incorporation of SoundHound.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an aggregate of (i) 156,107,110 shares of Class A Common Stock issued and outstanding, as of April 26, 2022, (ii) 666,748 shares of Class A Common Stock issuable to the Reporting Person upon exercise of Stock Options, exercisable by the Reporting Person as of April 26, 2022 and (iii) 18,583,756 shares of Class B Common Stock held by the Reporting Person, as of April 26, 2022, which may be converted into 18,583,756 shares of Class A Common Stock at any time, as reported in the Current Report on Form 8-K, filed by SoundHound with the Securities and Exchange Commission on May 2, 2022.</w:t>
      </w:r>
    </w:p>
    <w:p>
      <w:pPr>
        <w:spacing w:after="0" w:line="18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Stock Options exercisable for 666,748 shares of Class A Common Stock and the 18,583,756 shares of Class B Common Stock owned by the Reporting Person and included in the number of shares set forth above is treated as converted into shares of Class A Common Stock only for the purpose of computing the percentage ownership of the Reporting Person.</w:t>
      </w:r>
    </w:p>
    <w:p>
      <w:pPr>
        <w:spacing w:after="0" w:line="183"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share of Class B Common Stock is entitled to ten votes and each share of Class A Common Stock is entitled to one vote. There were (i) 156,107,110 shares of Class A Common Stock outstanding as of April 26, 2022, and (ii) 40,396,600 shares of Class B Common Stock, outstanding as of April 26, 2022, 18,583,756 of such shares of Class B Common Stock being held by the Reporting Person. The percentage reported does not reflect the ten-for-one voting power of the Class B Common Stock because these shares are treated as converted into Class A Common Stock for the purpose of this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Schedule 13D relates to shares of Class A Common Stock, par value $0.0001 per share, and shares of Class B Common Stock, par value $0.0001 per share (collectively, the “Common Stock”), of SoundHound AI, Inc., a Delaware corporation (the “Company”). The principal executive offices of the Company are located at 5400 Betsy Ross Drive, Santa Clara, CA 95054.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being filed by Dr. Seyed Majid Emami (the “Reporting Person”).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Person’s business address is 5400 Betsy Ross Drive, Santa Clara, CA 95054.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is the Vice President of Engineering of the Company.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last five years, the Reporting Person has not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left="980" w:right="2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last five years, the Reporting Person was not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is a citizen of Canada.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Source and Amount of Funds or Other Consideration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the shares of Common Stock to which this Schedule 13D relates were acquired by the Reporting Person pursuant to the Merger Agreement, dated as of November 15, 2021 (the “Business Combination Agreement”), by and among the Company (f/k/a Archimedes Tech SPAC Partners Co., a Delaware corporation (“ATSPC”)), SoundHound Inc., a Delaware corporation (“Legacy SoundHound”), and ATSPC Merger Sub, Inc., a Delaware corporation and a direct, wholly owned subsidiary of ATSPC (“Merger Sub”).</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Pursuant to the Business Combination Agreement, Merger Sub was merged with and into Legacy SoundHound with Legacy SoundHound continuing as the surviving corporation and wholly-owned subsidiary of ATSPC, which changed its name to “SoundHound AI, Inc.” The closing of the merger and related business combination occurred on April 26, 2022 (the “Closing Date”).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Pursuant to the Business Combination Agreement, (i) 120,000 fully vested stock options of Legacy SoundHound, which were exercisable for 120,000 shares of Class A common stock, par value $0.0001 per share of Legacy SoundHound held by the Reporting Person were converted into stock options exercisable for 666,748 shares of Class A Common Stock (“Stock Options”), and (ii) 3,344,669 shares of Class B common stock, par value $0.0001 per share of Legacy SoundHound were converted into the right to receive 18,583,756 shares of Class B Common Stock, effective as of the Closing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Purpose of Transaction</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Reporting Person acquired the Stock Options exercisable for 666,748 shares of Class A Common Stock and 18,583,756 shares of Class B Common Stock convertible into 18,583,756 shares of Class A Common Stock pursuant to the Business Combination Agreement. The information contained in Item 3 of this Schedule 13D is incorporated herein by reference.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Reporting Person serves as the Vice President of Engineering of the Company. Accordingly, the Reporting Person may have influence over the corporate activities of the Company, including activities that may relate to items described in clauses (a) through (j) of Item 4 of Schedule 13D.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8"/>
          <w:szCs w:val="18"/>
          <w:color w:val="auto"/>
        </w:rPr>
        <w:t>Except as described in this Schedule 13D, the Reporting Person does not have any present plans or proposals that relate to or would result in any of the actions described in clauses (a) through (j) of Item 4 of Schedule 13D. The Reporting Person reserves the right to formulate plans and/or proposals and to take such actions with respect to his investment in the Company, including any or all of the actions set forth in clauses (a) through (j) of Item 4 of Schedule 13D.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 in Securities of the Issuer</w:t>
      </w:r>
    </w:p>
    <w:p>
      <w:pPr>
        <w:spacing w:after="0" w:line="229" w:lineRule="exact"/>
        <w:rPr>
          <w:sz w:val="20"/>
          <w:szCs w:val="20"/>
          <w:color w:val="auto"/>
        </w:rPr>
      </w:pPr>
    </w:p>
    <w:p>
      <w:pPr>
        <w:jc w:val="both"/>
        <w:ind w:left="980" w:hanging="324"/>
        <w:spacing w:after="0" w:line="290"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Reporting Person has beneficial ownership of 19,250,504 shares of Common Stock consisting of the Stock Options exercisable for 666,748 shares of Class A Common Stock and 18,583,756 shares of Class B Common Stock convertible into 18,583,756 shares of Class A Common Stock. The percentage of beneficial ownership is approximately 11% of the outstanding shares of Class A Common Stock. The percentage of the Class A Common Stock owned by the Reporting Person is based on (i) 156,107,110 shares of Class A Common Stock outstanding as of April 26, 2022 (ii) 666,748 shares of Class A Common Stock issuable to the Reporting Person upon exercise of the Stock Options, which are exercisable by the Reporting Person as of April 26, 2022 and (iii) 18,583,756 shares of Class B Common Stock, held by the Reporting Person as of April 26, 2022, which may be converted into 18,583,756 shares of Class A Common Stock at any time, as reported in the Current Report on Form 8-K, filed by SoundHound with the Securities and Exchange Commission on May 2, 2022.</w:t>
      </w:r>
    </w:p>
    <w:p>
      <w:pPr>
        <w:spacing w:after="0" w:line="165"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has the sole power to dispose or direct the disposition of all of the Common Stock that the Reporting Person beneficially owned as of April 26, 2022.</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described in Item 3, the Reporting Person has not effected any transactions in the Common Stock of the Company in the past 60 days.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Contracts, Arrangements, Understandings or Relationships to Securities of the Issuer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 On April 26, 2022 (the “Closing Date”), pursuant to the Business Combination Agreement, (i) 120,000 fully vested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of Legacy SoundHound, which were exercisable for 120,000 shares of Class A common stock, par value $0.0001 per share of Legacy SoundHound held by the Reporting Person were converted into stock options exercisable for 666,748 shares of Class A Common Stock, and (ii) 3,344,669 shares of Class B common stock, par value $0.0001 per share of Legacy SoundHound were converted into the right to receive 18,583,756 shares of Class B Common Stock.</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Lock-Up Agreement </w:t>
      </w:r>
      <w:r>
        <w:rPr>
          <w:rFonts w:ascii="Arial" w:cs="Arial" w:eastAsia="Arial" w:hAnsi="Arial"/>
          <w:sz w:val="17"/>
          <w:szCs w:val="17"/>
          <w:color w:val="auto"/>
        </w:rPr>
        <w:t>– The Company and certain key stockholders of Legacy SoundHound, including the Reporting Person, each entered into a</w:t>
      </w:r>
      <w:r>
        <w:rPr>
          <w:rFonts w:ascii="Arial" w:cs="Arial" w:eastAsia="Arial" w:hAnsi="Arial"/>
          <w:sz w:val="17"/>
          <w:szCs w:val="17"/>
          <w:i w:val="1"/>
          <w:iCs w:val="1"/>
          <w:color w:val="auto"/>
        </w:rPr>
        <w:t xml:space="preserve"> </w:t>
      </w:r>
      <w:r>
        <w:rPr>
          <w:rFonts w:ascii="Arial" w:cs="Arial" w:eastAsia="Arial" w:hAnsi="Arial"/>
          <w:sz w:val="17"/>
          <w:szCs w:val="17"/>
          <w:color w:val="auto"/>
        </w:rPr>
        <w:t>Lock-Up Agreement, dated as of November 15, 2021 (the “Lock-Up Agreement”), pursuant to which they agreed that they will not sell, transfer, pledge or otherwise dispose of shares of Class A Common Stock, shares of Class B Common Stock or other securities exercisable therefor (as applicable), other than in connection with certain permitted transfers specified in the Lock-Up Agreement, for six months following the Closing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u w:val="single" w:color="auto"/>
          <w:color w:val="auto"/>
        </w:rPr>
        <w:t>Material to be Filed as 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ectPr>
          <w:pgSz w:w="11900" w:h="16838" w:orient="portrait"/>
          <w:cols w:equalWidth="0" w:num="1">
            <w:col w:w="11240"/>
          </w:cols>
          <w:pgMar w:left="320" w:top="904"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46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20320</wp:posOffset>
            </wp:positionV>
            <wp:extent cx="713232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5020" w:space="720"/>
            <w:col w:w="5500"/>
          </w:cols>
          <w:pgMar w:left="320" w:top="904" w:right="339" w:bottom="1440" w:gutter="0" w:footer="0" w:header="0"/>
          <w:type w:val="continuous"/>
        </w:sectPr>
      </w:pPr>
    </w:p>
    <w:p>
      <w:pPr>
        <w:ind w:left="1140" w:hanging="1132"/>
        <w:spacing w:after="0"/>
        <w:tabs>
          <w:tab w:leader="none" w:pos="1140" w:val="left"/>
        </w:tabs>
        <w:numPr>
          <w:ilvl w:val="0"/>
          <w:numId w:val="6"/>
        </w:numPr>
        <w:rPr>
          <w:rFonts w:ascii="Arial" w:cs="Arial" w:eastAsia="Arial" w:hAnsi="Arial"/>
          <w:sz w:val="16"/>
          <w:szCs w:val="16"/>
          <w:u w:val="single" w:color="auto"/>
          <w:color w:val="0000EE"/>
        </w:rPr>
      </w:pPr>
      <w:hyperlink r:id="rId21">
        <w:r>
          <w:rPr>
            <w:rFonts w:ascii="Arial" w:cs="Arial" w:eastAsia="Arial" w:hAnsi="Arial"/>
            <w:sz w:val="16"/>
            <w:szCs w:val="16"/>
            <w:u w:val="single" w:color="auto"/>
            <w:color w:val="0000EE"/>
          </w:rPr>
          <w:t>Merger Agreement dated as of November 15, 2021, by an among Archimedes Tech SPAC Partners Co., ATSPC Merger Sub. Inc. and</w:t>
        </w:r>
      </w:hyperlink>
    </w:p>
    <w:p>
      <w:pPr>
        <w:spacing w:after="0" w:line="46" w:lineRule="exact"/>
        <w:rPr>
          <w:sz w:val="20"/>
          <w:szCs w:val="20"/>
          <w:color w:val="auto"/>
        </w:rPr>
      </w:pPr>
    </w:p>
    <w:p>
      <w:pPr>
        <w:ind w:left="1140" w:right="20"/>
        <w:spacing w:after="0" w:line="250" w:lineRule="auto"/>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SoundHound, Inc. (incorporated by reference to Exhibit 2.1 to the Company’s Current Report on Form 8-K filed with the SEC on</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November 16, 2021).</w:t>
        </w:r>
      </w:hyperlink>
    </w:p>
    <w:p>
      <w:pPr>
        <w:spacing w:after="0" w:line="1" w:lineRule="exact"/>
        <w:rPr>
          <w:sz w:val="20"/>
          <w:szCs w:val="20"/>
          <w:color w:val="auto"/>
        </w:rPr>
      </w:pPr>
    </w:p>
    <w:p>
      <w:pPr>
        <w:ind w:left="1140" w:hanging="1132"/>
        <w:spacing w:after="0" w:line="260" w:lineRule="auto"/>
        <w:tabs>
          <w:tab w:leader="none" w:pos="1140" w:val="left"/>
        </w:tabs>
        <w:numPr>
          <w:ilvl w:val="0"/>
          <w:numId w:val="7"/>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Form of Lockup Agreement (incorporated by reference to Exhibit 10.4 to the Company’s Current Report on Form 8-K filed with the SEC</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on November 16, 2021).</w:t>
        </w:r>
      </w:hyperlink>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Seyed Majid Emami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Seyed Majid Emami</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Engineering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1" Type="http://schemas.openxmlformats.org/officeDocument/2006/relationships/hyperlink" Target="http://www.sec.gov/Archives/edgar/data/1840856/000121390021059752/ea150505ex2-1_archimedes.htm" TargetMode="External"/><Relationship Id="rId22" Type="http://schemas.openxmlformats.org/officeDocument/2006/relationships/hyperlink" Target="https://www.sec.gov/Archives/edgar/data/1840856/000121390021059752/ea150505ex10-4_archimed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2022-05-07T10:58:45Z</dcterms:created>
  <dcterms:modified xsi:type="dcterms:W3CDTF">2022-05-07T10:58:45Z</dcterms:modified>
</cp:coreProperties>
</file>