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212529"/>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12529"/>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WASHINGTON, D.C. 20549</w:t>
      </w:r>
    </w:p>
    <w:p>
      <w:pPr>
        <w:spacing w:after="0" w:line="1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12529"/>
        </w:rPr>
        <w:t>FORM 8-K</w:t>
      </w:r>
    </w:p>
    <w:p>
      <w:pPr>
        <w:spacing w:after="0" w:line="2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120"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212529"/>
        </w:rPr>
        <w:t>CURRENT REPORT</w:t>
      </w:r>
    </w:p>
    <w:p>
      <w:pPr>
        <w:spacing w:after="0" w:line="117"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212529"/>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12529"/>
        </w:rPr>
        <w:t xml:space="preserve">Date of Report (Date of earliest event reported): </w:t>
      </w:r>
      <w:r>
        <w:rPr>
          <w:rFonts w:ascii="Times New Roman" w:cs="Times New Roman" w:eastAsia="Times New Roman" w:hAnsi="Times New Roman"/>
          <w:sz w:val="18"/>
          <w:szCs w:val="18"/>
          <w:b w:val="1"/>
          <w:bCs w:val="1"/>
          <w:color w:val="212529"/>
        </w:rPr>
        <w:t>January 20, 2023</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12529"/>
        </w:rPr>
        <w:t>SOUNDHOUND AI, INC.</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12529"/>
        </w:rPr>
        <w:t>(Exact name of registrant as specified in its charter)</w:t>
      </w:r>
    </w:p>
    <w:p>
      <w:pPr>
        <w:spacing w:after="0" w:line="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0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6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001-40193</w:t>
            </w:r>
          </w:p>
        </w:tc>
        <w:tc>
          <w:tcPr>
            <w:tcW w:w="10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85-1286799</w:t>
            </w:r>
          </w:p>
        </w:tc>
        <w:tc>
          <w:tcPr>
            <w:tcW w:w="0" w:type="dxa"/>
            <w:vAlign w:val="bottom"/>
          </w:tcPr>
          <w:p>
            <w:pPr>
              <w:spacing w:after="0"/>
              <w:rPr>
                <w:sz w:val="1"/>
                <w:szCs w:val="1"/>
                <w:color w:val="auto"/>
              </w:rPr>
            </w:pPr>
          </w:p>
        </w:tc>
      </w:tr>
      <w:tr>
        <w:trPr>
          <w:trHeight w:val="178"/>
        </w:trPr>
        <w:tc>
          <w:tcPr>
            <w:tcW w:w="370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(State or other jurisdiction</w:t>
            </w:r>
          </w:p>
        </w:tc>
        <w:tc>
          <w:tcPr>
            <w:tcW w:w="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860" w:type="dxa"/>
            <w:vAlign w:val="bottom"/>
            <w:tcBorders>
              <w:top w:val="single" w:sz="8" w:color="auto"/>
            </w:tcBorders>
            <w:gridSpan w:val="3"/>
          </w:tcPr>
          <w:p>
            <w:pPr>
              <w:jc w:val="center"/>
              <w:ind w:right="800"/>
              <w:spacing w:after="0" w:line="177" w:lineRule="exact"/>
              <w:rPr>
                <w:sz w:val="20"/>
                <w:szCs w:val="20"/>
                <w:color w:val="auto"/>
              </w:rPr>
            </w:pPr>
            <w:r>
              <w:rPr>
                <w:rFonts w:ascii="Times New Roman" w:cs="Times New Roman" w:eastAsia="Times New Roman" w:hAnsi="Times New Roman"/>
                <w:sz w:val="18"/>
                <w:szCs w:val="18"/>
                <w:color w:val="auto"/>
              </w:rPr>
              <w:t>(Commission File</w:t>
            </w:r>
          </w:p>
        </w:tc>
        <w:tc>
          <w:tcPr>
            <w:tcW w:w="100" w:type="dxa"/>
            <w:vAlign w:val="bottom"/>
          </w:tcPr>
          <w:p>
            <w:pPr>
              <w:spacing w:after="0"/>
              <w:rPr>
                <w:sz w:val="15"/>
                <w:szCs w:val="15"/>
                <w:color w:val="auto"/>
              </w:rPr>
            </w:pPr>
          </w:p>
        </w:tc>
        <w:tc>
          <w:tcPr>
            <w:tcW w:w="368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460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960" w:type="dxa"/>
            <w:vAlign w:val="bottom"/>
            <w:gridSpan w:val="4"/>
          </w:tcPr>
          <w:p>
            <w:pPr>
              <w:jc w:val="center"/>
              <w:ind w:right="920"/>
              <w:spacing w:after="0"/>
              <w:rPr>
                <w:sz w:val="20"/>
                <w:szCs w:val="20"/>
                <w:color w:val="auto"/>
              </w:rPr>
            </w:pPr>
            <w:r>
              <w:rPr>
                <w:rFonts w:ascii="Times New Roman" w:cs="Times New Roman" w:eastAsia="Times New Roman" w:hAnsi="Times New Roman"/>
                <w:sz w:val="18"/>
                <w:szCs w:val="18"/>
                <w:color w:val="auto"/>
                <w:w w:val="98"/>
              </w:rPr>
              <w:t>Number)</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405"/>
        </w:trPr>
        <w:tc>
          <w:tcPr>
            <w:tcW w:w="460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5400 Betsy Ross Drive</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vMerge w:val="restart"/>
          </w:tcPr>
          <w:p>
            <w:pPr>
              <w:jc w:val="right"/>
              <w:ind w:right="2470"/>
              <w:spacing w:after="0"/>
              <w:rPr>
                <w:sz w:val="20"/>
                <w:szCs w:val="20"/>
                <w:color w:val="auto"/>
              </w:rPr>
            </w:pPr>
            <w:r>
              <w:rPr>
                <w:rFonts w:ascii="Times New Roman" w:cs="Times New Roman" w:eastAsia="Times New Roman" w:hAnsi="Times New Roman"/>
                <w:sz w:val="18"/>
                <w:szCs w:val="18"/>
                <w:b w:val="1"/>
                <w:bCs w:val="1"/>
                <w:color w:val="auto"/>
              </w:rPr>
              <w:t>95054</w:t>
            </w:r>
          </w:p>
        </w:tc>
        <w:tc>
          <w:tcPr>
            <w:tcW w:w="0" w:type="dxa"/>
            <w:vAlign w:val="bottom"/>
          </w:tcPr>
          <w:p>
            <w:pPr>
              <w:spacing w:after="0"/>
              <w:rPr>
                <w:sz w:val="1"/>
                <w:szCs w:val="1"/>
                <w:color w:val="auto"/>
              </w:rPr>
            </w:pPr>
          </w:p>
        </w:tc>
      </w:tr>
      <w:tr>
        <w:trPr>
          <w:trHeight w:val="243"/>
        </w:trPr>
        <w:tc>
          <w:tcPr>
            <w:tcW w:w="4600" w:type="dxa"/>
            <w:vAlign w:val="bottom"/>
            <w:tcBorders>
              <w:bottom w:val="single" w:sz="8" w:color="auto"/>
            </w:tcBorders>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Santa Clara, CA</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60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12529"/>
        </w:rPr>
        <w:t>Registrant’s telephone number, including area code: (408) 441-3200</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12529"/>
        </w:rPr>
        <w:t>(Former name or former address, if changed since last report)</w:t>
      </w:r>
    </w:p>
    <w:p>
      <w:pPr>
        <w:spacing w:after="0" w:line="2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9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212529"/>
        </w:rPr>
        <w:t>Check the appropriate box below if the Form 8-K filing is intended to simultaneously satisfy the filing obligation of the registrant under any of the following provisions (see General Instruction A.2. below):</w:t>
      </w:r>
    </w:p>
    <w:p>
      <w:pPr>
        <w:spacing w:after="0" w:line="94"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SOUN</w:t>
            </w:r>
          </w:p>
        </w:tc>
        <w:tc>
          <w:tcPr>
            <w:tcW w:w="100" w:type="dxa"/>
            <w:vAlign w:val="bottom"/>
            <w:tcBorders>
              <w:top w:val="single" w:sz="8" w:color="CCEEFF"/>
            </w:tcBorders>
            <w:shd w:val="clear" w:color="auto" w:fill="CCEEFF"/>
          </w:tcPr>
          <w:p>
            <w:pPr>
              <w:spacing w:after="0"/>
              <w:rPr>
                <w:sz w:val="19"/>
                <w:szCs w:val="19"/>
                <w:color w:val="auto"/>
              </w:rPr>
            </w:pPr>
          </w:p>
        </w:tc>
        <w:tc>
          <w:tcPr>
            <w:tcW w:w="4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84"/>
        </w:trPr>
        <w:tc>
          <w:tcPr>
            <w:tcW w:w="460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Warrants, each exercisable for one share of Class A Common</w:t>
            </w:r>
          </w:p>
        </w:tc>
        <w:tc>
          <w:tcPr>
            <w:tcW w:w="214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w w:val="99"/>
              </w:rPr>
              <w:t>SOUNW</w:t>
            </w:r>
          </w:p>
        </w:tc>
        <w:tc>
          <w:tcPr>
            <w:tcW w:w="45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80"/>
        </w:trPr>
        <w:tc>
          <w:tcPr>
            <w:tcW w:w="460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w w:val="99"/>
              </w:rPr>
              <w:t>Stock at an exercise price of $11.50 per share, subject to</w:t>
            </w: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00" w:type="dxa"/>
            <w:vAlign w:val="bottom"/>
          </w:tcPr>
          <w:p>
            <w:pPr>
              <w:spacing w:after="0"/>
              <w:rPr>
                <w:sz w:val="15"/>
                <w:szCs w:val="15"/>
                <w:color w:val="auto"/>
              </w:rPr>
            </w:pPr>
          </w:p>
        </w:tc>
      </w:tr>
      <w:tr>
        <w:trPr>
          <w:trHeight w:val="234"/>
        </w:trPr>
        <w:tc>
          <w:tcPr>
            <w:tcW w:w="4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adjustment</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212529"/>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12529"/>
        </w:rPr>
        <w:t xml:space="preserve">Emerging growth company </w:t>
      </w:r>
      <w:r>
        <w:rPr>
          <w:rFonts w:ascii="Wingdings" w:cs="Wingdings" w:eastAsia="Wingdings" w:hAnsi="Wingdings"/>
          <w:sz w:val="18"/>
          <w:szCs w:val="18"/>
          <w:b w:val="1"/>
          <w:bCs w:val="1"/>
          <w:color w:val="212529"/>
        </w:rPr>
        <w:t>x</w:t>
      </w:r>
    </w:p>
    <w:p>
      <w:pPr>
        <w:spacing w:after="0" w:line="11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212529"/>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or around January 20, 2023 (the “Closing Date”), SoundHound AI, Inc. (the “Company”) entered into Preferred Stock Purchase Agreements (the “Purchase Agreements”) with certain investors (the “Investors”) pursuant to which the Company issued and sold to the Investors an aggregate of 835,011 shares of its newly designated Series A Convertible Preferred Stock, par value $0.0001 per share (the “Series A Preferred Stock”) for an aggregate issue price of approximately $25 million (the “Transaction”). Refer to Item 3.03 of this Current Report on Form 8-K for more information regarding the terms of the Series A Preferred Stock, including terms of conversion into shares of the Company’s Class A common stock (the “Common Stock”).</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Purchase Agreements contain customary representations, warranties and covenants. The shares of Series A Preferred Stock were issued and sold in a private placement exempt from the registration requirements of the Securities Act of 1933, as amended (the “Securities Act”), as described further in Item 3.02 of this Current Report on Form 8-K. The Company does not intend to register the shares of Series A Preferred Stock or the underlying Common Stock for resale under the Securities Act.</w:t>
      </w:r>
    </w:p>
    <w:p>
      <w:pPr>
        <w:spacing w:after="0" w:line="21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foregoing is only a brief description of the Purchase Agreements, does not purport to be a complete description of the rights and obligations of the parties thereunder and is qualified in its entirety by reference to the Purchase Agreements, a copy of which is attached as Exhibit 10.1 to this Current Report on Form 8-K and incorporated by reference herein.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January 24, 2023, the Company issued a press release announcing, among other things, the Transaction, certain business updates and certain preliminary unaudited financial and other results for its fourth quarter of 2022 and fiscal year 2022. A copy of the press release is attached as Exhibit 99.1 to this Current Report on Form 8-K and incorporated by reference herein.</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These preliminary unaudited financial and other results are subject to revision in connection with the Company’s financial closing procedures, including the Company’s audit committee’s reviews, and finalization of the Company’s consolidated financial statements for the year ended December 31, 2022. During the preparation of the Company’s consolidated financial statements and related notes and the completion of the audit for the year ended December 31, 2022, additional adjustments to the preliminary estimated financial information presented above may be identified. Actual results for the periods reported may differ from these preliminary results.</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information contained in this Item 2.02, including the accompanying Exhibit 99.1 hereto, shall not be deemed “filed” for purposes of Section 18 of the Securities Exchange Act of 1934, as amended (the “Exchange Act”), or otherwise subject to the liabilities of that section, nor shall it be deemed incorporated by reference into any filing made by the Company under the Securities Act of 1933, as amended, or the Exchange Act, regardless of any general incorporation language in such filings, unless expressly incorporated by specific reference in such filing.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by reference in this Item 3.02.</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issued and sold the Series A Preferred Stock in reliance on the exemption from the registration requirements of the Securities Act by virtue of Section 4(a)(2) thereof and Rule 506 of Regulation D thereunder. In connection with its execution of the Purchase Agreements, the Investors represented to the Company that they are each an “accredited investor” as defined in Regulation D under the Securities Act and that the shares of Series A Preferred Stock to be purchased by each of them will be acquired solely for its own account and for investment purposes and not with a view to future sale or distribution. The issuance and sale of the shares of Series A Preferred Stock, including any shares of Common Stock underlying the Preferred Stock, have not been registered under the Securities Act or the securities laws of any other jurisdiction, and such securities may not be offered or sold in the United States absent registration or an applicable exemption from registration requirements. This Current Report on Form 8-K does not constitute an offer to sell, or a solicitation of an offer to buy, any security and shall not constitute an offer, solicitation or sale in any jurisdiction in which such offering would be unlawful.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Modifications to Rights of Security Holders.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January 20, 2023, in connection with the Transaction, the Company filed a Certificate of Designations of Preferences, Rights and Limitations of the Series A Preferred Stock with the Secretary of State of the State of Delaware (the “Certificate of Designations”), designating 1,000,000 shares of Series A Preferred Stock with an original issue price of $30.00 per share, which became effective with the Secretary of State of the State of Delaware upon filing.</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both"/>
        <w:spacing w:after="0"/>
        <w:rPr>
          <w:sz w:val="20"/>
          <w:szCs w:val="20"/>
          <w:color w:val="auto"/>
        </w:rPr>
      </w:pPr>
      <w:r>
        <w:rPr>
          <w:rFonts w:ascii="Times New Roman" w:cs="Times New Roman" w:eastAsia="Times New Roman" w:hAnsi="Times New Roman"/>
          <w:sz w:val="18"/>
          <w:szCs w:val="18"/>
          <w:color w:val="auto"/>
        </w:rPr>
        <w:t>The Series A Preferred Stock is entitled to dividends payable as an increase in the Liquidation Preference (as defined in the Certificate of Designations) for such share at the rate of 14% per annum, accreting semi-annually to Liquidation Preference on January 1 and July 1 of each year, beginning on the first such date after the filing of the Certificate of Designations (the “PIK Dividends”). The Liquidation Preference per share of Preferred Stock is initially equal to the original issue price per share. The Company may also elect to pay any dividend in cash in lieu of accretion to Liquidation Preference if permitted under the agreements and instruments governing its outstanding indebtedness at such time. The Series A Preferred Stock will also be entitled to customary dividends and distributions when and if paid on shares of Common Stock, subject to restrictions under agreements or instruments governing the Company’s indebtedness.</w:t>
      </w:r>
    </w:p>
    <w:p>
      <w:pPr>
        <w:spacing w:after="0" w:line="19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Each share of Series A Preferred Stock is convertible, at the option of the holder thereof, at any time on or after May 2, 2023 into such number of shares of Common Stock equal to the Liquidation Preference per share at the time of conversion divided by $1.00 (the “Conversion Price”) (the “Conversion Ratio”). In addition, each share of Series A Preferred Stock will automatically convert into shares of Common Stock at the Conversion Ratio on or after January 20, 2024 if and when the daily volume-weighted average closing price per share of Common Stock is at least 2.5 times the Conversion Price for each of any 90 trading days during any 120 consecutive trading day period, which 120-trading day period may commence (but may not end) prior to January 20, 2024. While the shares of Series A Preferred Stock issued on the Closing Date on an as-converted to Common Stock basis represents approximately 15% of the total shares of common stock outstanding prior to the Transaction (including shares of Class B Common Stock), as a result of the PIK Dividends that accumulate over time, the maximum potential issuance of shares of Common Stock upon conversion of Series A Preferred Stock may exceed 20% of the total shares of common stock outstanding (including shares of Class B Common Stock). As a result, to comply with applicable listing rules of The Nasdaq Stock Market LLC (“Nasdaq”), stockholders holding the majority of the voting power of the Company’s outstanding Common Stock approved the issuance of any Common Stock from time to time upon conversion of the Series A Preferred Stock that would equal 20% or more of the total shares of Common Stock outstanding (including shares of Class B Common Stock) or that would result in a change of control (as defined in Nasdaq listing rules). Such stockholders also approved the issuance and sale of shares of Preferred Stock and any future issuances of shares of Common Stock from time to time upon conversion of Preferred Stock to certain of the Company's directors and officers who participated in the Transaction, in accordance with Nasdaq listing rules. The Company will also promptly file with the Securities and Exchange Commission and mail an information statement in accordance with Rule 14c-2 under the Securities Exchange Act of 1934, as amended, relating to such stockholder approvals. Any conversion of Series A Preferred Stock described above is subject to the lapse of a 20-day period following the mailing of the information statement.</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holders of Series A Preferred Stock will not be entitled to vote on any matter presented to the stockholders of the Company prior to conversion of such shares into Common Stock. However, certain matters require the approval of a majority of the then-outstanding shares of Series A Preferred Stock, voting as a separate class, including to (i) amend the Company’s organizational documents in a matter that materially and adversely affects the powers, preferences or rights of the Series A Preferred Stock, (ii) create, issue, or authorize the creation or issuance of, increase the authorized amount of, or obligate itself to issue shares of, any class or series of capital stock of the Company, or any obligation or security convertible into or evidencing a right to purchase, any class or series of capital stock, unless such class or series of capital stock ranks junior to the Series A Preferred Stock; (iii) increase the authorized number of shares of Series A Preferred Stock; (iv) reclassify, alter or amend any class of capital stock that ranks junior or pari passu to the Series A Preferred Stock if such action would render such class to be senior to the Series A Preferred Stock or, with respect to junior capital stock, pari passu with the Series A Preferred Stock; (v) purchase or redeem for cash any shares of capital stock of the Company, subject to certain exceptions; and (vi) incur any secured debt as a result of which the Company’s aggregate principal amount of secured debt outstanding would exceed the greater of $75,000,000 or 20% of the Company’s enterprise value.</w:t>
      </w:r>
    </w:p>
    <w:p>
      <w:pPr>
        <w:spacing w:after="0" w:line="2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Series A Preferred Stock will have preference over the Common Stock and the Company’s Class B common stock, par value $0.0001 per share (“Class B Common Stock”), as well as any additional Junior Stock (as defined in the Certificate of Designations) designated and issued in the future, with respect to distribution of assets or available proceeds, as applicable, in the event of any voluntary or involuntary liquidation, dissolution or winding up of the Company or a merger or consolidation that results in a change in control of the Company or the sale or transfer of all or substantially all assets of the Company (each a “Liquidation Event”). However, the Series A Preferred Stock will rank junior to indebtedness of the Company. Upon a Liquidation Event, the holders of shares of Series A Preferred Stock will be entitled to receive, before any payment is made to holders of any Junior Stock and after payments to satisfy and discharge indebtedness, an amount per share equal to the greater of (i) 2.5 times the Liquidation Preference accumulated at such time (less any prior conversions) or (ii) such amount per share as would have been payable had all shares then-outstanding of Series A Preferred Stock been converted into Common Stock immediately prior to such Liquidation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 w:name="page4"/>
    <w:bookmarkEnd w:id="3"/>
    <w:p>
      <w:pPr>
        <w:jc w:val="both"/>
        <w:spacing w:after="0" w:line="250" w:lineRule="auto"/>
        <w:rPr>
          <w:sz w:val="20"/>
          <w:szCs w:val="20"/>
          <w:color w:val="auto"/>
        </w:rPr>
      </w:pPr>
      <w:r>
        <w:rPr>
          <w:rFonts w:ascii="Times New Roman" w:cs="Times New Roman" w:eastAsia="Times New Roman" w:hAnsi="Times New Roman"/>
          <w:sz w:val="18"/>
          <w:szCs w:val="18"/>
          <w:color w:val="auto"/>
        </w:rPr>
        <w:t>The foregoing description of the terms pertaining to the Series A Preferred Stock and the Certificate of Designations is not complete and is qualified in its entirety by reference to the full text of the Certificate of Designations, a copy of which is filed as Exhibit 3.1 to this Current Report on Form 8-K and incorporated by reference herein.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Changes in Fiscal Year.</w:t>
      </w:r>
    </w:p>
    <w:p>
      <w:pPr>
        <w:spacing w:after="0" w:line="24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description of the Certificate of Designations and the rights, preferences and privileges of the newly designated Series A Preferred Stock in Item 3.03 above is incorporated by reference into this Item 5.03.</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 w:type="dxa"/>
            <w:vAlign w:val="bottom"/>
          </w:tcPr>
          <w:p>
            <w:pPr>
              <w:spacing w:after="0"/>
              <w:rPr>
                <w:sz w:val="20"/>
                <w:szCs w:val="20"/>
                <w:color w:val="auto"/>
              </w:rPr>
            </w:pPr>
          </w:p>
        </w:tc>
        <w:tc>
          <w:tcPr>
            <w:tcW w:w="94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3"/>
        </w:trPr>
        <w:tc>
          <w:tcPr>
            <w:tcW w:w="170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440" w:type="dxa"/>
            <w:vAlign w:val="bottom"/>
            <w:tcBorders>
              <w:top w:val="single" w:sz="8" w:color="auto"/>
            </w:tcBorders>
            <w:gridSpan w:val="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SoundHound AI, Inc. Certificate of Designations of Preferences, Rights and Limitations of Series A Convertible Preferred Stock.</w:t>
            </w:r>
          </w:p>
        </w:tc>
      </w:tr>
      <w:tr>
        <w:trPr>
          <w:trHeight w:val="189"/>
        </w:trPr>
        <w:tc>
          <w:tcPr>
            <w:tcW w:w="170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9320" w:type="dxa"/>
            <w:vAlign w:val="bottom"/>
            <w:tcBorders>
              <w:top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Form of Preferred Stock Purchase Agreement.</w:t>
            </w:r>
          </w:p>
        </w:tc>
        <w:tc>
          <w:tcPr>
            <w:tcW w:w="120" w:type="dxa"/>
            <w:vAlign w:val="bottom"/>
            <w:tcBorders>
              <w:top w:val="single" w:sz="8" w:color="CCEEFF"/>
            </w:tcBorders>
          </w:tcPr>
          <w:p>
            <w:pPr>
              <w:spacing w:after="0"/>
              <w:rPr>
                <w:sz w:val="16"/>
                <w:szCs w:val="16"/>
                <w:color w:val="auto"/>
              </w:rPr>
            </w:pPr>
          </w:p>
        </w:tc>
      </w:tr>
      <w:tr>
        <w:trPr>
          <w:trHeight w:val="21"/>
        </w:trPr>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7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Press Release, dated January 24, 2023.</w:t>
            </w:r>
          </w:p>
        </w:tc>
        <w:tc>
          <w:tcPr>
            <w:tcW w:w="6640" w:type="dxa"/>
            <w:vAlign w:val="bottom"/>
            <w:tcBorders>
              <w:bottom w:val="single" w:sz="8" w:color="CCEEFF"/>
            </w:tcBorders>
            <w:gridSpan w:val="3"/>
            <w:shd w:val="clear" w:color="auto" w:fill="CCEEFF"/>
          </w:tcPr>
          <w:p>
            <w:pPr>
              <w:spacing w:after="0"/>
              <w:rPr>
                <w:sz w:val="18"/>
                <w:szCs w:val="18"/>
                <w:color w:val="auto"/>
              </w:rPr>
            </w:pPr>
          </w:p>
        </w:tc>
      </w:tr>
      <w:tr>
        <w:trPr>
          <w:trHeight w:val="234"/>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900"/>
        </w:trPr>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40" w:type="dxa"/>
            <w:vAlign w:val="bottom"/>
            <w:gridSpan w:val="4"/>
          </w:tcPr>
          <w:p>
            <w:pPr>
              <w:jc w:val="right"/>
              <w:ind w:right="54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212529"/>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12529"/>
        </w:rPr>
        <w:t>Pursuant to the requirements of the Securities Exchange Act of 1934, the registrant has duly caused this Current Report on Form 8-K to be signed on its behalf by the undersigned 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Dated: January 24, 2023</w:t>
            </w:r>
          </w:p>
        </w:tc>
        <w:tc>
          <w:tcPr>
            <w:tcW w:w="780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SoundHound AI, Inc.</w:t>
            </w:r>
          </w:p>
        </w:tc>
      </w:tr>
      <w:tr>
        <w:trPr>
          <w:trHeight w:val="473"/>
        </w:trPr>
        <w:tc>
          <w:tcPr>
            <w:tcW w:w="3420" w:type="dxa"/>
            <w:vAlign w:val="bottom"/>
          </w:tcPr>
          <w:p>
            <w:pPr>
              <w:spacing w:after="0"/>
              <w:rPr>
                <w:sz w:val="24"/>
                <w:szCs w:val="24"/>
                <w:color w:val="auto"/>
              </w:rPr>
            </w:pPr>
          </w:p>
        </w:tc>
        <w:tc>
          <w:tcPr>
            <w:tcW w:w="780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By:  /s/ Keyvan Mohajer</w:t>
            </w:r>
          </w:p>
        </w:tc>
      </w:tr>
      <w:tr>
        <w:trPr>
          <w:trHeight w:val="218"/>
        </w:trPr>
        <w:tc>
          <w:tcPr>
            <w:tcW w:w="34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0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Keyvan Mohajer</w:t>
            </w:r>
          </w:p>
        </w:tc>
      </w:tr>
      <w:tr>
        <w:trPr>
          <w:trHeight w:val="234"/>
        </w:trPr>
        <w:tc>
          <w:tcPr>
            <w:tcW w:w="34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904"/>
        </w:trPr>
        <w:tc>
          <w:tcPr>
            <w:tcW w:w="3420" w:type="dxa"/>
            <w:vAlign w:val="bottom"/>
          </w:tcPr>
          <w:p>
            <w:pPr>
              <w:spacing w:after="0"/>
              <w:rPr>
                <w:sz w:val="24"/>
                <w:szCs w:val="24"/>
                <w:color w:val="auto"/>
              </w:rPr>
            </w:pPr>
          </w:p>
        </w:tc>
        <w:tc>
          <w:tcPr>
            <w:tcW w:w="27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5</w:t>
            </w:r>
          </w:p>
        </w:tc>
        <w:tc>
          <w:tcPr>
            <w:tcW w:w="5080" w:type="dxa"/>
            <w:vAlign w:val="bottom"/>
          </w:tcPr>
          <w:p>
            <w:pPr>
              <w:spacing w:after="0"/>
              <w:rPr>
                <w:sz w:val="24"/>
                <w:szCs w:val="24"/>
                <w:color w:val="auto"/>
              </w:rPr>
            </w:pPr>
          </w:p>
        </w:tc>
      </w:tr>
    </w:tbl>
    <w:p>
      <w:pPr>
        <w:sectPr>
          <w:pgSz w:w="11900" w:h="16838" w:orient="portrait"/>
          <w:cols w:equalWidth="0" w:num="1">
            <w:col w:w="11240"/>
          </w:cols>
          <w:pgMar w:left="320" w:top="110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SOUNDHOUND AI,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CERTIFICATE OF DESIGNATIONS OF PREFERENCES,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RIGHTS AND LIMITATIONS</w:t>
      </w:r>
    </w:p>
    <w:p>
      <w:pPr>
        <w:spacing w:after="0" w:line="20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0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SERIES A CONVERTIBLE PREFERRED STOCK</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PURSUANT TO SECTION 151 OF THE</w:t>
      </w:r>
    </w:p>
    <w:p>
      <w:pPr>
        <w:jc w:val="center"/>
        <w:spacing w:after="0"/>
        <w:rPr>
          <w:sz w:val="20"/>
          <w:szCs w:val="20"/>
          <w:color w:val="auto"/>
        </w:rPr>
      </w:pPr>
      <w:r>
        <w:rPr>
          <w:rFonts w:ascii="Times New Roman" w:cs="Times New Roman" w:eastAsia="Times New Roman" w:hAnsi="Times New Roman"/>
          <w:sz w:val="22"/>
          <w:szCs w:val="22"/>
          <w:color w:val="auto"/>
        </w:rPr>
        <w:t>DELAWARE GENERAL CORPORATION LAW</w:t>
      </w:r>
    </w:p>
    <w:p>
      <w:pPr>
        <w:spacing w:after="0" w:line="3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undersigned, Dr. Keyvan Mohajer, does hereby certify that:</w:t>
      </w:r>
    </w:p>
    <w:p>
      <w:pPr>
        <w:spacing w:after="0" w:line="179" w:lineRule="exact"/>
        <w:rPr>
          <w:sz w:val="20"/>
          <w:szCs w:val="20"/>
          <w:color w:val="auto"/>
        </w:rPr>
      </w:pPr>
    </w:p>
    <w:p>
      <w:pPr>
        <w:ind w:left="1260" w:hanging="388"/>
        <w:spacing w:after="0"/>
        <w:tabs>
          <w:tab w:leader="none" w:pos="12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is the Chief Executive Officer of SoundHound AI, Inc., a Delaware corporation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872"/>
        <w:spacing w:after="0" w:line="236" w:lineRule="auto"/>
        <w:tabs>
          <w:tab w:leader="none" w:pos="127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is authorized to issue one million (1,000,000) shares of Preferred Stock, $0.0001 par value, none of which have been issued.</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OF PREFERRED STOCK</w:t>
      </w:r>
    </w:p>
    <w:p>
      <w:pPr>
        <w:spacing w:after="0" w:line="183" w:lineRule="exact"/>
        <w:rPr>
          <w:sz w:val="20"/>
          <w:szCs w:val="20"/>
          <w:color w:val="auto"/>
        </w:rPr>
      </w:pPr>
    </w:p>
    <w:p>
      <w:pPr>
        <w:ind w:left="1960" w:hanging="656"/>
        <w:spacing w:after="0"/>
        <w:tabs>
          <w:tab w:leader="none" w:pos="1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hereof, the following terms shall have the following meanings:</w:t>
      </w:r>
    </w:p>
    <w:p>
      <w:pPr>
        <w:spacing w:after="0" w:line="179" w:lineRule="exact"/>
        <w:rPr>
          <w:sz w:val="20"/>
          <w:szCs w:val="20"/>
          <w:color w:val="auto"/>
        </w:rPr>
      </w:pPr>
    </w:p>
    <w:p>
      <w:pPr>
        <w:jc w:val="both"/>
        <w:ind w:left="660" w:firstLine="702"/>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Accrued Dividends</w:t>
      </w:r>
      <w:r>
        <w:rPr>
          <w:rFonts w:ascii="Times New Roman" w:cs="Times New Roman" w:eastAsia="Times New Roman" w:hAnsi="Times New Roman"/>
          <w:sz w:val="22"/>
          <w:szCs w:val="22"/>
          <w:color w:val="auto"/>
        </w:rPr>
        <w:t>” means, with respect to any share of Series A Preferred Stock, as of any date of determination, the accrued and unpaid dividends under Section 3 on such share, whether or not declared, from, and including, the last Dividend Payment Date to, but not including, such date of determination (including, for the sake of clarity, any then accrued and unpaid dividends on such share from a prior Dividend Period).</w:t>
      </w:r>
    </w:p>
    <w:p>
      <w:pPr>
        <w:spacing w:after="0" w:line="15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Proceeds</w:t>
      </w:r>
      <w:r>
        <w:rPr>
          <w:rFonts w:ascii="Times New Roman" w:cs="Times New Roman" w:eastAsia="Times New Roman" w:hAnsi="Times New Roman"/>
          <w:sz w:val="22"/>
          <w:szCs w:val="22"/>
          <w:color w:val="auto"/>
        </w:rPr>
        <w:t>” has the meaning set forth in Section 4.3.2.</w:t>
      </w:r>
    </w:p>
    <w:p>
      <w:pPr>
        <w:spacing w:after="0" w:line="179" w:lineRule="exact"/>
        <w:rPr>
          <w:sz w:val="20"/>
          <w:szCs w:val="20"/>
          <w:color w:val="auto"/>
        </w:rPr>
      </w:pPr>
    </w:p>
    <w:p>
      <w:pPr>
        <w:jc w:val="both"/>
        <w:ind w:left="660" w:right="20" w:firstLine="702"/>
        <w:spacing w:after="0" w:line="236" w:lineRule="auto"/>
        <w:rPr>
          <w:sz w:val="20"/>
          <w:szCs w:val="20"/>
          <w:color w:val="auto"/>
        </w:rPr>
      </w:pP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on days other than a Saturday or Sunday, on which commercial banks in the State of New York are open for the general transaction of business.</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Dividends</w:t>
      </w:r>
      <w:r>
        <w:rPr>
          <w:rFonts w:ascii="Times New Roman" w:cs="Times New Roman" w:eastAsia="Times New Roman" w:hAnsi="Times New Roman"/>
          <w:sz w:val="22"/>
          <w:szCs w:val="22"/>
          <w:color w:val="auto"/>
        </w:rPr>
        <w:t>” has the meaning set forth in Section 3.2.</w:t>
      </w:r>
    </w:p>
    <w:p>
      <w:pPr>
        <w:spacing w:after="0" w:line="179" w:lineRule="exact"/>
        <w:rPr>
          <w:sz w:val="20"/>
          <w:szCs w:val="20"/>
          <w:color w:val="auto"/>
        </w:rPr>
      </w:pPr>
    </w:p>
    <w:p>
      <w:pPr>
        <w:jc w:val="both"/>
        <w:ind w:left="660"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means the Corporation’s Class A common stock, par value $0.0001 per share, and stock of any other class of securities into which such securities may hereafter be reclassified or changed.</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 Date</w:t>
      </w:r>
      <w:r>
        <w:rPr>
          <w:rFonts w:ascii="Times New Roman" w:cs="Times New Roman" w:eastAsia="Times New Roman" w:hAnsi="Times New Roman"/>
          <w:sz w:val="22"/>
          <w:szCs w:val="22"/>
          <w:color w:val="auto"/>
        </w:rPr>
        <w:t>” means the Corporation Conversion Date or the Holder Conversion Date, as applicable.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 Price</w:t>
      </w:r>
      <w:r>
        <w:rPr>
          <w:rFonts w:ascii="Times New Roman" w:cs="Times New Roman" w:eastAsia="Times New Roman" w:hAnsi="Times New Roman"/>
          <w:sz w:val="22"/>
          <w:szCs w:val="22"/>
          <w:color w:val="auto"/>
        </w:rPr>
        <w:t>” means $1.00.</w:t>
      </w:r>
    </w:p>
    <w:p>
      <w:pPr>
        <w:spacing w:after="0" w:line="179" w:lineRule="exact"/>
        <w:rPr>
          <w:sz w:val="20"/>
          <w:szCs w:val="20"/>
          <w:color w:val="auto"/>
        </w:rPr>
      </w:pPr>
    </w:p>
    <w:p>
      <w:pPr>
        <w:jc w:val="both"/>
        <w:ind w:left="66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 Ratio</w:t>
      </w:r>
      <w:r>
        <w:rPr>
          <w:rFonts w:ascii="Times New Roman" w:cs="Times New Roman" w:eastAsia="Times New Roman" w:hAnsi="Times New Roman"/>
          <w:sz w:val="22"/>
          <w:szCs w:val="22"/>
          <w:color w:val="auto"/>
        </w:rPr>
        <w:t>” means, at any time, the quotient of the (a) Liquidation Preference at such time and (b) the Conversion Price at such time.</w:t>
      </w:r>
    </w:p>
    <w:p>
      <w:pPr>
        <w:sectPr>
          <w:pgSz w:w="11900" w:h="16838" w:orient="portrait"/>
          <w:cols w:equalWidth="0" w:num="1">
            <w:col w:w="11240"/>
          </w:cols>
          <w:pgMar w:left="320" w:top="1391" w:right="339" w:bottom="1440" w:gutter="0" w:footer="0" w:header="0"/>
        </w:sectPr>
      </w:pPr>
    </w:p>
    <w:bookmarkStart w:id="6" w:name="page7"/>
    <w:bookmarkEnd w:id="6"/>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Corporation Conversion Date</w:t>
      </w:r>
      <w:r>
        <w:rPr>
          <w:rFonts w:ascii="Times New Roman" w:cs="Times New Roman" w:eastAsia="Times New Roman" w:hAnsi="Times New Roman"/>
          <w:sz w:val="22"/>
          <w:szCs w:val="22"/>
          <w:color w:val="auto"/>
        </w:rPr>
        <w:t>” has the meaning set forth in Section 8.1.2.</w:t>
      </w:r>
    </w:p>
    <w:p>
      <w:pPr>
        <w:spacing w:after="0" w:line="1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Corporation Conversion Notice</w:t>
      </w:r>
      <w:r>
        <w:rPr>
          <w:rFonts w:ascii="Times New Roman" w:cs="Times New Roman" w:eastAsia="Times New Roman" w:hAnsi="Times New Roman"/>
          <w:sz w:val="22"/>
          <w:szCs w:val="22"/>
          <w:color w:val="auto"/>
        </w:rPr>
        <w:t>” has the meaning set forth in Section 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2399665</wp:posOffset>
            </wp:positionH>
            <wp:positionV relativeFrom="paragraph">
              <wp:posOffset>-13970</wp:posOffset>
            </wp:positionV>
            <wp:extent cx="342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Corporation Conversion Notice Date</w:t>
      </w:r>
      <w:r>
        <w:rPr>
          <w:rFonts w:ascii="Times New Roman" w:cs="Times New Roman" w:eastAsia="Times New Roman" w:hAnsi="Times New Roman"/>
          <w:sz w:val="22"/>
          <w:szCs w:val="22"/>
          <w:color w:val="auto"/>
        </w:rPr>
        <w:t>” has the meaning set forth in Section 8.1.2.</w:t>
      </w:r>
    </w:p>
    <w:p>
      <w:pPr>
        <w:spacing w:after="0" w:line="1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Deemed Liquidation Event</w:t>
      </w:r>
      <w:r>
        <w:rPr>
          <w:rFonts w:ascii="Times New Roman" w:cs="Times New Roman" w:eastAsia="Times New Roman" w:hAnsi="Times New Roman"/>
          <w:sz w:val="22"/>
          <w:szCs w:val="22"/>
          <w:color w:val="auto"/>
        </w:rPr>
        <w:t>” has the meaning set forth in Section 4.3.1.</w:t>
      </w:r>
    </w:p>
    <w:p>
      <w:pPr>
        <w:spacing w:after="0" w:line="1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Dividend Payment Date</w:t>
      </w:r>
      <w:r>
        <w:rPr>
          <w:rFonts w:ascii="Times New Roman" w:cs="Times New Roman" w:eastAsia="Times New Roman" w:hAnsi="Times New Roman"/>
          <w:sz w:val="22"/>
          <w:szCs w:val="22"/>
          <w:color w:val="auto"/>
        </w:rPr>
        <w:t>” has the meaning set forth in Section 3.1.</w:t>
      </w:r>
    </w:p>
    <w:p>
      <w:pPr>
        <w:spacing w:after="0" w:line="1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Dividend Period</w:t>
      </w:r>
      <w:r>
        <w:rPr>
          <w:rFonts w:ascii="Times New Roman" w:cs="Times New Roman" w:eastAsia="Times New Roman" w:hAnsi="Times New Roman"/>
          <w:sz w:val="22"/>
          <w:szCs w:val="22"/>
          <w:color w:val="auto"/>
        </w:rPr>
        <w:t>” has the meaning set forth in Section 3.1.</w:t>
      </w:r>
    </w:p>
    <w:p>
      <w:pPr>
        <w:spacing w:after="0" w:line="1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Dividend Rate</w:t>
      </w:r>
      <w:r>
        <w:rPr>
          <w:rFonts w:ascii="Times New Roman" w:cs="Times New Roman" w:eastAsia="Times New Roman" w:hAnsi="Times New Roman"/>
          <w:sz w:val="22"/>
          <w:szCs w:val="22"/>
          <w:color w:val="auto"/>
        </w:rPr>
        <w:t>” means, as of the date of the determination, the rate per annum of 14%.</w:t>
      </w:r>
    </w:p>
    <w:p>
      <w:pPr>
        <w:spacing w:after="0" w:line="1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DTC</w:t>
      </w:r>
      <w:r>
        <w:rPr>
          <w:rFonts w:ascii="Times New Roman" w:cs="Times New Roman" w:eastAsia="Times New Roman" w:hAnsi="Times New Roman"/>
          <w:sz w:val="22"/>
          <w:szCs w:val="22"/>
          <w:color w:val="auto"/>
          <w:highlight w:val="white"/>
        </w:rPr>
        <w:t>”</w:t>
      </w:r>
      <w:r>
        <w:rPr>
          <w:rFonts w:ascii="Times New Roman" w:cs="Times New Roman" w:eastAsia="Times New Roman" w:hAnsi="Times New Roman"/>
          <w:sz w:val="22"/>
          <w:szCs w:val="22"/>
          <w:color w:val="auto"/>
        </w:rPr>
        <w:t xml:space="preserve"> has the meaning set forth in Section 8.3.</w:t>
      </w:r>
    </w:p>
    <w:p>
      <w:pPr>
        <w:spacing w:after="0" w:line="1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DWAC Delivery</w:t>
      </w:r>
      <w:r>
        <w:rPr>
          <w:rFonts w:ascii="Times New Roman" w:cs="Times New Roman" w:eastAsia="Times New Roman" w:hAnsi="Times New Roman"/>
          <w:sz w:val="22"/>
          <w:szCs w:val="22"/>
          <w:color w:val="auto"/>
          <w:highlight w:val="white"/>
        </w:rPr>
        <w:t>”</w:t>
      </w:r>
      <w:r>
        <w:rPr>
          <w:rFonts w:ascii="Times New Roman" w:cs="Times New Roman" w:eastAsia="Times New Roman" w:hAnsi="Times New Roman"/>
          <w:sz w:val="22"/>
          <w:szCs w:val="22"/>
          <w:color w:val="auto"/>
        </w:rPr>
        <w:t xml:space="preserve"> has the meaning set forth in Section 8.3.</w:t>
      </w:r>
    </w:p>
    <w:p>
      <w:pPr>
        <w:spacing w:after="0" w:line="179" w:lineRule="exact"/>
        <w:rPr>
          <w:sz w:val="20"/>
          <w:szCs w:val="20"/>
          <w:color w:val="auto"/>
        </w:rPr>
      </w:pPr>
    </w:p>
    <w:p>
      <w:pPr>
        <w:jc w:val="both"/>
        <w:ind w:left="220"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Enterprise Value</w:t>
      </w:r>
      <w:r>
        <w:rPr>
          <w:rFonts w:ascii="Times New Roman" w:cs="Times New Roman" w:eastAsia="Times New Roman" w:hAnsi="Times New Roman"/>
          <w:sz w:val="22"/>
          <w:szCs w:val="22"/>
          <w:color w:val="auto"/>
        </w:rPr>
        <w:t>” is the sum of (i) the market value of the Corporation’s equity, equal to (A) fully-diluted Common Stock outstanding on the measurement date on a treasury method basis, times (B) the average of the VWAPs for the 20 consecutive Trading Days ending on the Trading Day that is immediately prior to the measurement date, (ii) total long-term debt as determined under GAAP, net of cash (other than restricted cash), and (iii) any minority equity interest in any Person. Total long-term debt, net of cash (other than restricted cash), shall be calculated as of the applicable the measurement date, including by reference to the most recently available financial statements, as needed.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179" w:lineRule="exact"/>
        <w:rPr>
          <w:sz w:val="20"/>
          <w:szCs w:val="20"/>
          <w:color w:val="auto"/>
        </w:rPr>
      </w:pPr>
    </w:p>
    <w:p>
      <w:pPr>
        <w:jc w:val="both"/>
        <w:ind w:left="2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Holders</w:t>
      </w:r>
      <w:r>
        <w:rPr>
          <w:rFonts w:ascii="Times New Roman" w:cs="Times New Roman" w:eastAsia="Times New Roman" w:hAnsi="Times New Roman"/>
          <w:sz w:val="22"/>
          <w:szCs w:val="22"/>
          <w:color w:val="auto"/>
        </w:rPr>
        <w:t>” means a Person in whose name one or more shares of the Series A Preferred Stock are registered.</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Holder Conversion Date</w:t>
      </w:r>
      <w:r>
        <w:rPr>
          <w:rFonts w:ascii="Times New Roman" w:cs="Times New Roman" w:eastAsia="Times New Roman" w:hAnsi="Times New Roman"/>
          <w:sz w:val="22"/>
          <w:szCs w:val="22"/>
          <w:color w:val="auto"/>
        </w:rPr>
        <w:t>” has the meaning set forth in Section 8.2.2.</w:t>
      </w:r>
    </w:p>
    <w:p>
      <w:pPr>
        <w:spacing w:after="0" w:line="1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Holder Conversion Notice</w:t>
      </w:r>
      <w:r>
        <w:rPr>
          <w:rFonts w:ascii="Times New Roman" w:cs="Times New Roman" w:eastAsia="Times New Roman" w:hAnsi="Times New Roman"/>
          <w:sz w:val="22"/>
          <w:szCs w:val="22"/>
          <w:color w:val="auto"/>
        </w:rPr>
        <w:t>” has the meaning set forth in Section 8.2.2.</w:t>
      </w:r>
    </w:p>
    <w:p>
      <w:pPr>
        <w:spacing w:after="0" w:line="1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Holder Conversion Notice Date</w:t>
      </w:r>
      <w:r>
        <w:rPr>
          <w:rFonts w:ascii="Times New Roman" w:cs="Times New Roman" w:eastAsia="Times New Roman" w:hAnsi="Times New Roman"/>
          <w:sz w:val="22"/>
          <w:szCs w:val="22"/>
          <w:color w:val="auto"/>
        </w:rPr>
        <w:t>” has the meaning set forth in Section 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2411095</wp:posOffset>
            </wp:positionH>
            <wp:positionV relativeFrom="paragraph">
              <wp:posOffset>-13970</wp:posOffset>
            </wp:positionV>
            <wp:extent cx="342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9" w:lineRule="exact"/>
        <w:rPr>
          <w:sz w:val="20"/>
          <w:szCs w:val="20"/>
          <w:color w:val="auto"/>
        </w:rPr>
      </w:pPr>
    </w:p>
    <w:p>
      <w:pPr>
        <w:jc w:val="both"/>
        <w:ind w:left="220"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 Statement</w:t>
      </w:r>
      <w:r>
        <w:rPr>
          <w:rFonts w:ascii="Times New Roman" w:cs="Times New Roman" w:eastAsia="Times New Roman" w:hAnsi="Times New Roman"/>
          <w:sz w:val="22"/>
          <w:szCs w:val="22"/>
          <w:color w:val="auto"/>
        </w:rPr>
        <w:t>” means an “information statement” as defined in Rule 14c-1 under the Exchange Act containing the information specified in Schedule 14C under the Exchange Act in all material respects.</w:t>
      </w:r>
    </w:p>
    <w:p>
      <w:pPr>
        <w:spacing w:after="0" w:line="150" w:lineRule="exact"/>
        <w:rPr>
          <w:sz w:val="20"/>
          <w:szCs w:val="20"/>
          <w:color w:val="auto"/>
        </w:rPr>
      </w:pPr>
    </w:p>
    <w:p>
      <w:pPr>
        <w:jc w:val="both"/>
        <w:ind w:left="220" w:firstLine="648"/>
        <w:spacing w:after="0" w:line="225" w:lineRule="auto"/>
        <w:rPr>
          <w:sz w:val="20"/>
          <w:szCs w:val="20"/>
          <w:color w:val="auto"/>
        </w:rPr>
      </w:pPr>
      <w:r>
        <w:rPr>
          <w:rFonts w:ascii="Times New Roman" w:cs="Times New Roman" w:eastAsia="Times New Roman" w:hAnsi="Times New Roman"/>
          <w:sz w:val="22"/>
          <w:szCs w:val="22"/>
          <w:color w:val="auto"/>
        </w:rPr>
        <w:t>“Information Statement Condition” means the lapse of twenty (20) consecutive days following the date on which the Information Statement is sent to the Corporation’s stockholders in a manner consistent with the requirements set forth under Rule 14c-2 under the Exchange Act.</w:t>
      </w:r>
    </w:p>
    <w:p>
      <w:pPr>
        <w:spacing w:after="0" w:line="153" w:lineRule="exact"/>
        <w:rPr>
          <w:sz w:val="20"/>
          <w:szCs w:val="20"/>
          <w:color w:val="auto"/>
        </w:rPr>
      </w:pPr>
    </w:p>
    <w:p>
      <w:pPr>
        <w:jc w:val="both"/>
        <w:ind w:left="2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Issuance Date</w:t>
      </w:r>
      <w:r>
        <w:rPr>
          <w:rFonts w:ascii="Times New Roman" w:cs="Times New Roman" w:eastAsia="Times New Roman" w:hAnsi="Times New Roman"/>
          <w:sz w:val="22"/>
          <w:szCs w:val="22"/>
          <w:color w:val="auto"/>
        </w:rPr>
        <w:t>” means the date of filing of this Certificate of Designations with the Secretary of State of the State of Delaware.</w:t>
      </w:r>
    </w:p>
    <w:p>
      <w:pPr>
        <w:spacing w:after="0" w:line="150" w:lineRule="exact"/>
        <w:rPr>
          <w:sz w:val="20"/>
          <w:szCs w:val="20"/>
          <w:color w:val="auto"/>
        </w:rPr>
      </w:pPr>
    </w:p>
    <w:p>
      <w:pPr>
        <w:jc w:val="both"/>
        <w:ind w:left="220"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Junior Stock</w:t>
      </w:r>
      <w:r>
        <w:rPr>
          <w:rFonts w:ascii="Times New Roman" w:cs="Times New Roman" w:eastAsia="Times New Roman" w:hAnsi="Times New Roman"/>
          <w:sz w:val="22"/>
          <w:szCs w:val="22"/>
          <w:color w:val="auto"/>
        </w:rPr>
        <w:t>” means the Common Stock, the Corporation’s Class B common stock, par value $0.0001 per share, any other class of capital stock, including series of preferred stock, established after the Issuance Date, the terms of which do not expressly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800"/>
          </w:cols>
          <w:pgMar w:left="760" w:top="1395" w:right="339" w:bottom="1440" w:gutter="0" w:footer="0" w:header="0"/>
        </w:sectPr>
      </w:pPr>
    </w:p>
    <w:bookmarkStart w:id="7" w:name="page8"/>
    <w:bookmarkEnd w:id="7"/>
    <w:p>
      <w:pPr>
        <w:jc w:val="both"/>
        <w:spacing w:after="0" w:line="225" w:lineRule="auto"/>
        <w:rPr>
          <w:sz w:val="20"/>
          <w:szCs w:val="20"/>
          <w:color w:val="auto"/>
        </w:rPr>
      </w:pPr>
      <w:r>
        <w:rPr>
          <w:rFonts w:ascii="Times New Roman" w:cs="Times New Roman" w:eastAsia="Times New Roman" w:hAnsi="Times New Roman"/>
          <w:sz w:val="22"/>
          <w:szCs w:val="22"/>
          <w:color w:val="auto"/>
        </w:rPr>
        <w:t>provide that such class or series ranks senior to or on a parity with the Series A Preferred Stock as to dividend rights or rights upon the liquidation, winding-up or dissolution of the Corporation, and stock of any other class of securities into which such securities may hereafter be reclassified or changed.</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any statute, law, rule, or regulation or any judgment, order, writ, injunction, or decree of any federal, state, local or foreign court or tribunal or any federal, state, local or foreign public, governmental, or regulatory body, agency, department, commission, board, bureau, or other authority or instrumentality.</w:t>
      </w:r>
    </w:p>
    <w:p>
      <w:pPr>
        <w:spacing w:after="0" w:line="15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Liquidation Preference</w:t>
      </w:r>
      <w:r>
        <w:rPr>
          <w:rFonts w:ascii="Times New Roman" w:cs="Times New Roman" w:eastAsia="Times New Roman" w:hAnsi="Times New Roman"/>
          <w:sz w:val="22"/>
          <w:szCs w:val="22"/>
          <w:color w:val="auto"/>
        </w:rPr>
        <w:t>” means, with respect to each share of Series A Preferred Stock, the Original Issue Price, as adjusted from time to time in accordance with Section 3.1, plus any Accrued Dividends on such share of Series A Preferred Stock, in each case to, but not including, the earliest to occur of the date of payment of any Series A Liquidation Amount or Liquidation Preference, as applicable, or the applicable Conversion Date.</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Mandatory Pricing Date</w:t>
      </w:r>
      <w:r>
        <w:rPr>
          <w:rFonts w:ascii="Times New Roman" w:cs="Times New Roman" w:eastAsia="Times New Roman" w:hAnsi="Times New Roman"/>
          <w:sz w:val="22"/>
          <w:szCs w:val="22"/>
          <w:color w:val="auto"/>
        </w:rPr>
        <w:t>” means the one (1) year anniversary of the Issuance Date</w:t>
      </w:r>
    </w:p>
    <w:p>
      <w:pPr>
        <w:spacing w:after="0" w:line="179"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Allowable Amount</w:t>
      </w:r>
      <w:r>
        <w:rPr>
          <w:rFonts w:ascii="Times New Roman" w:cs="Times New Roman" w:eastAsia="Times New Roman" w:hAnsi="Times New Roman"/>
          <w:sz w:val="22"/>
          <w:szCs w:val="22"/>
          <w:color w:val="auto"/>
        </w:rPr>
        <w:t>” means, as of the applicable measurement date, the greater of (i) $75,000,000 and (ii) 20% of the Corporation’s Enterprise Value.</w:t>
      </w:r>
    </w:p>
    <w:p>
      <w:pPr>
        <w:spacing w:after="0" w:line="150"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National Securities Exchange</w:t>
      </w:r>
      <w:r>
        <w:rPr>
          <w:rFonts w:ascii="Times New Roman" w:cs="Times New Roman" w:eastAsia="Times New Roman" w:hAnsi="Times New Roman"/>
          <w:sz w:val="22"/>
          <w:szCs w:val="22"/>
          <w:color w:val="auto"/>
        </w:rPr>
        <w:t>” means an exchange registered with the Securities and Exchange Commission under Section 6(a) of the Securities Exchange Act of 1934, as amended.</w:t>
      </w:r>
    </w:p>
    <w:p>
      <w:pPr>
        <w:spacing w:after="0" w:line="150"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Conversion Date</w:t>
      </w:r>
      <w:r>
        <w:rPr>
          <w:rFonts w:ascii="Times New Roman" w:cs="Times New Roman" w:eastAsia="Times New Roman" w:hAnsi="Times New Roman"/>
          <w:sz w:val="22"/>
          <w:szCs w:val="22"/>
          <w:color w:val="auto"/>
        </w:rPr>
        <w:t>” means the later of (i) May 2, 2023 or (ii) the first day following the date on which the Information Statement Condition has been satisfied.</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Issue Price</w:t>
      </w:r>
      <w:r>
        <w:rPr>
          <w:rFonts w:ascii="Times New Roman" w:cs="Times New Roman" w:eastAsia="Times New Roman" w:hAnsi="Times New Roman"/>
          <w:sz w:val="22"/>
          <w:szCs w:val="22"/>
          <w:color w:val="auto"/>
        </w:rPr>
        <w:t>” has the meaning set forth in Section 2.</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Parity Stock</w:t>
      </w:r>
      <w:r>
        <w:rPr>
          <w:rFonts w:ascii="Times New Roman" w:cs="Times New Roman" w:eastAsia="Times New Roman" w:hAnsi="Times New Roman"/>
          <w:sz w:val="22"/>
          <w:szCs w:val="22"/>
          <w:color w:val="auto"/>
        </w:rPr>
        <w:t>” means any class of capital stock or series of preferred stock established on or after the Issuance Date by the Board of Directors, the terms of which expressly provide that such class or series will rank on a parity with the Series A Preferred Stock as to dividend rights or rights upon the liquidation, winding-up or dissolution of the Corporation.</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Transfer</w:t>
      </w:r>
      <w:r>
        <w:rPr>
          <w:rFonts w:ascii="Times New Roman" w:cs="Times New Roman" w:eastAsia="Times New Roman" w:hAnsi="Times New Roman"/>
          <w:sz w:val="22"/>
          <w:szCs w:val="22"/>
          <w:color w:val="auto"/>
        </w:rPr>
        <w:t>” means any of the following Transfers of shares of Series A Preferred Stock:</w:t>
      </w:r>
    </w:p>
    <w:p>
      <w:pPr>
        <w:spacing w:after="0" w:line="179" w:lineRule="exact"/>
        <w:rPr>
          <w:sz w:val="20"/>
          <w:szCs w:val="20"/>
          <w:color w:val="auto"/>
        </w:rPr>
      </w:pPr>
    </w:p>
    <w:p>
      <w:pPr>
        <w:ind w:left="1100" w:hanging="456"/>
        <w:spacing w:after="0"/>
        <w:tabs>
          <w:tab w:leader="none" w:pos="11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to the Corporation;</w:t>
      </w:r>
    </w:p>
    <w:p>
      <w:pPr>
        <w:spacing w:after="0" w:line="179" w:lineRule="exact"/>
        <w:rPr>
          <w:rFonts w:ascii="Times New Roman" w:cs="Times New Roman" w:eastAsia="Times New Roman" w:hAnsi="Times New Roman"/>
          <w:sz w:val="22"/>
          <w:szCs w:val="22"/>
          <w:color w:val="auto"/>
        </w:rPr>
      </w:pPr>
    </w:p>
    <w:p>
      <w:pPr>
        <w:ind w:left="1100" w:hanging="456"/>
        <w:spacing w:after="0"/>
        <w:tabs>
          <w:tab w:leader="none" w:pos="11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pursuant to such Holder's will or the laws of intestacy;</w:t>
      </w:r>
    </w:p>
    <w:p>
      <w:pPr>
        <w:spacing w:after="0" w:line="179" w:lineRule="exact"/>
        <w:rPr>
          <w:rFonts w:ascii="Times New Roman" w:cs="Times New Roman" w:eastAsia="Times New Roman" w:hAnsi="Times New Roman"/>
          <w:sz w:val="22"/>
          <w:szCs w:val="22"/>
          <w:color w:val="auto"/>
        </w:rPr>
      </w:pPr>
    </w:p>
    <w:p>
      <w:pPr>
        <w:jc w:val="both"/>
        <w:ind w:firstLine="644"/>
        <w:spacing w:after="0" w:line="225" w:lineRule="auto"/>
        <w:tabs>
          <w:tab w:leader="none" w:pos="126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without consideration, to the spouse, domestic partner, parent, child or grandchild (each, an “</w:t>
      </w:r>
      <w:r>
        <w:rPr>
          <w:rFonts w:ascii="Times New Roman" w:cs="Times New Roman" w:eastAsia="Times New Roman" w:hAnsi="Times New Roman"/>
          <w:sz w:val="22"/>
          <w:szCs w:val="22"/>
          <w:u w:val="single" w:color="auto"/>
          <w:color w:val="auto"/>
        </w:rPr>
        <w:t>Immediate Family Member</w:t>
      </w:r>
      <w:r>
        <w:rPr>
          <w:rFonts w:ascii="Times New Roman" w:cs="Times New Roman" w:eastAsia="Times New Roman" w:hAnsi="Times New Roman"/>
          <w:sz w:val="22"/>
          <w:szCs w:val="22"/>
          <w:color w:val="auto"/>
        </w:rPr>
        <w:t>”) of such Holder or to a trust formed for the benefit of the Holder or of an Immediate Family Member;</w:t>
      </w:r>
    </w:p>
    <w:p>
      <w:pPr>
        <w:spacing w:after="0" w:line="152" w:lineRule="exact"/>
        <w:rPr>
          <w:rFonts w:ascii="Times New Roman" w:cs="Times New Roman" w:eastAsia="Times New Roman" w:hAnsi="Times New Roman"/>
          <w:sz w:val="22"/>
          <w:szCs w:val="22"/>
          <w:color w:val="auto"/>
        </w:rPr>
      </w:pPr>
    </w:p>
    <w:p>
      <w:pPr>
        <w:jc w:val="both"/>
        <w:ind w:firstLine="644"/>
        <w:spacing w:after="0" w:line="225" w:lineRule="auto"/>
        <w:tabs>
          <w:tab w:leader="none" w:pos="124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Holder is a corporation, partnership, limited liability company or other business entity, Transfers, without consideration, to another corporation, partnership, limited liability company or other business entity that controls, is controlled by or is under common control with such Holder;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580"/>
          </w:cols>
          <w:pgMar w:left="980" w:top="1395" w:right="339" w:bottom="1440" w:gutter="0" w:footer="0" w:header="0"/>
        </w:sectPr>
      </w:pPr>
    </w:p>
    <w:bookmarkStart w:id="8" w:name="page9"/>
    <w:bookmarkEnd w:id="8"/>
    <w:p>
      <w:pPr>
        <w:ind w:left="640"/>
        <w:spacing w:after="0"/>
        <w:tabs>
          <w:tab w:leader="none" w:pos="1100" w:val="left"/>
        </w:tabs>
        <w:rPr>
          <w:sz w:val="20"/>
          <w:szCs w:val="20"/>
          <w:color w:val="auto"/>
        </w:rPr>
      </w:pPr>
      <w:r>
        <w:rPr>
          <w:rFonts w:ascii="Times New Roman" w:cs="Times New Roman" w:eastAsia="Times New Roman" w:hAnsi="Times New Roman"/>
          <w:sz w:val="22"/>
          <w:szCs w:val="22"/>
          <w:color w:val="auto"/>
        </w:rPr>
        <w:t>(5)</w:t>
      </w:r>
      <w:r>
        <w:rPr>
          <w:sz w:val="20"/>
          <w:szCs w:val="20"/>
          <w:color w:val="auto"/>
        </w:rPr>
        <w:tab/>
      </w:r>
      <w:r>
        <w:rPr>
          <w:rFonts w:ascii="Times New Roman" w:cs="Times New Roman" w:eastAsia="Times New Roman" w:hAnsi="Times New Roman"/>
          <w:sz w:val="21"/>
          <w:szCs w:val="21"/>
          <w:color w:val="auto"/>
        </w:rPr>
        <w:t>if the Holder is a trust, Transfers, without consideration, to a trustor or beneficiary of the trust.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means, individually and collectively, the Preferred Stock Purchase Agreements for the Purchase of Series A Preferred Stock, each dated the Issuance Date, and each by and between the Corporation and the applicable Holder or Holders, as amended, modified or supplemented from time to time in accordance with their respective terms.</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Restated Certificate</w:t>
      </w:r>
      <w:r>
        <w:rPr>
          <w:rFonts w:ascii="Times New Roman" w:cs="Times New Roman" w:eastAsia="Times New Roman" w:hAnsi="Times New Roman"/>
          <w:sz w:val="22"/>
          <w:szCs w:val="22"/>
          <w:color w:val="auto"/>
        </w:rPr>
        <w:t>” means the current Amended and Restated Certificate of Incorporation of the Corporation, as may be amended from time to time (including pursuant to any certificate of designations, including this certificate of designations).</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A Preferred Stock</w:t>
      </w:r>
      <w:r>
        <w:rPr>
          <w:rFonts w:ascii="Times New Roman" w:cs="Times New Roman" w:eastAsia="Times New Roman" w:hAnsi="Times New Roman"/>
          <w:sz w:val="22"/>
          <w:szCs w:val="22"/>
          <w:color w:val="auto"/>
        </w:rPr>
        <w:t>” has the meaning set forth in Section 2.</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A Liquidation Amount</w:t>
      </w:r>
      <w:r>
        <w:rPr>
          <w:rFonts w:ascii="Times New Roman" w:cs="Times New Roman" w:eastAsia="Times New Roman" w:hAnsi="Times New Roman"/>
          <w:sz w:val="22"/>
          <w:szCs w:val="22"/>
          <w:color w:val="auto"/>
        </w:rPr>
        <w:t>” has the meaning set forth in Section 4.1.</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 day on which the Common Stock is traded on a Trading Market.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Market</w:t>
      </w:r>
      <w:r>
        <w:rPr>
          <w:rFonts w:ascii="Times New Roman" w:cs="Times New Roman" w:eastAsia="Times New Roman" w:hAnsi="Times New Roman"/>
          <w:sz w:val="22"/>
          <w:szCs w:val="22"/>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has the meaning set forth in Section 10.2.1.</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Agent</w:t>
      </w:r>
      <w:r>
        <w:rPr>
          <w:rFonts w:ascii="Times New Roman" w:cs="Times New Roman" w:eastAsia="Times New Roman" w:hAnsi="Times New Roman"/>
          <w:sz w:val="22"/>
          <w:szCs w:val="22"/>
          <w:color w:val="auto"/>
        </w:rPr>
        <w:t>” means, at the Corporation’s election, (i) the Corporation’s register, with respect to the Series A Preferred Stock, or (ii) Continental Stock Transfer &amp; Trust Company (the current transfer agent of the Corporation), or any successor transfer agent of the Corporation.</w:t>
      </w:r>
    </w:p>
    <w:p>
      <w:pPr>
        <w:spacing w:after="0" w:line="153"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VWAP</w:t>
      </w:r>
      <w:r>
        <w:rPr>
          <w:rFonts w:ascii="Times New Roman" w:cs="Times New Roman" w:eastAsia="Times New Roman" w:hAnsi="Times New Roman"/>
          <w:sz w:val="22"/>
          <w:szCs w:val="22"/>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is not then listed or quoted on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Corporation, the fees and expenses of which shall be paid by the Corporation.</w:t>
      </w:r>
    </w:p>
    <w:p>
      <w:pPr>
        <w:spacing w:after="0" w:line="157" w:lineRule="exact"/>
        <w:rPr>
          <w:sz w:val="20"/>
          <w:szCs w:val="20"/>
          <w:color w:val="auto"/>
        </w:rPr>
      </w:pPr>
    </w:p>
    <w:p>
      <w:pPr>
        <w:ind w:firstLine="644"/>
        <w:spacing w:after="0" w:line="236" w:lineRule="auto"/>
        <w:tabs>
          <w:tab w:leader="none" w:pos="129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 Amount and Par Value</w:t>
      </w:r>
      <w:r>
        <w:rPr>
          <w:rFonts w:ascii="Times New Roman" w:cs="Times New Roman" w:eastAsia="Times New Roman" w:hAnsi="Times New Roman"/>
          <w:sz w:val="22"/>
          <w:szCs w:val="22"/>
          <w:color w:val="auto"/>
        </w:rPr>
        <w:t>. The series of Preferred Stock shall be designated as Series A Convertible Preferred Stock (the “</w:t>
      </w:r>
      <w:r>
        <w:rPr>
          <w:rFonts w:ascii="Times New Roman" w:cs="Times New Roman" w:eastAsia="Times New Roman" w:hAnsi="Times New Roman"/>
          <w:sz w:val="22"/>
          <w:szCs w:val="22"/>
          <w:u w:val="single" w:color="auto"/>
          <w:color w:val="auto"/>
        </w:rPr>
        <w:t>Series A Preferred Stock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580"/>
          </w:cols>
          <w:pgMar w:left="980" w:top="1395" w:right="339" w:bottom="1440" w:gutter="0" w:footer="0" w:header="0"/>
        </w:sectPr>
      </w:pPr>
    </w:p>
    <w:bookmarkStart w:id="9" w:name="page10"/>
    <w:bookmarkEnd w:id="9"/>
    <w:p>
      <w:pPr>
        <w:jc w:val="both"/>
        <w:spacing w:after="0" w:line="220" w:lineRule="auto"/>
        <w:rPr>
          <w:sz w:val="20"/>
          <w:szCs w:val="20"/>
          <w:color w:val="auto"/>
        </w:rPr>
      </w:pPr>
      <w:r>
        <w:rPr>
          <w:rFonts w:ascii="Times New Roman" w:cs="Times New Roman" w:eastAsia="Times New Roman" w:hAnsi="Times New Roman"/>
          <w:sz w:val="22"/>
          <w:szCs w:val="22"/>
          <w:color w:val="auto"/>
        </w:rPr>
        <w:t>and the number of shares so designated shall be up to one million (1,000,000). Each share of Series A Preferred Stock shall have a par value of $0.0001 per share. The “</w:t>
      </w:r>
      <w:r>
        <w:rPr>
          <w:rFonts w:ascii="Times New Roman" w:cs="Times New Roman" w:eastAsia="Times New Roman" w:hAnsi="Times New Roman"/>
          <w:sz w:val="22"/>
          <w:szCs w:val="22"/>
          <w:u w:val="single" w:color="auto"/>
          <w:color w:val="auto"/>
        </w:rPr>
        <w:t>Original Issue Price</w:t>
      </w:r>
      <w:r>
        <w:rPr>
          <w:rFonts w:ascii="Times New Roman" w:cs="Times New Roman" w:eastAsia="Times New Roman" w:hAnsi="Times New Roman"/>
          <w:sz w:val="22"/>
          <w:szCs w:val="22"/>
          <w:color w:val="auto"/>
        </w:rPr>
        <w:t>” shall mean $30.00 per share, subject to appropriate adjustment in the event of any stock dividend, stock split, combination or other similar recapitalization with respect to the Series A Preferred Stock.</w:t>
      </w:r>
    </w:p>
    <w:p>
      <w:pPr>
        <w:spacing w:after="0" w:line="152" w:lineRule="exact"/>
        <w:rPr>
          <w:sz w:val="20"/>
          <w:szCs w:val="20"/>
          <w:color w:val="auto"/>
        </w:rPr>
      </w:pPr>
    </w:p>
    <w:p>
      <w:pPr>
        <w:ind w:left="1300" w:hanging="656"/>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1"/>
          <w:szCs w:val="21"/>
          <w:color w:val="auto"/>
        </w:rPr>
        <w:t>3.1. Each outstanding share of Series A Preferred Stock will be entitled to dividends payable as an increase in the Liquidation Preference for such share at the Dividend Rate, accreting semi-annually at the close of business on January 1 and July 1 of each year, beginning on the first such date after the Issuance Date (each such date, a “</w:t>
      </w:r>
      <w:r>
        <w:rPr>
          <w:rFonts w:ascii="Times New Roman" w:cs="Times New Roman" w:eastAsia="Times New Roman" w:hAnsi="Times New Roman"/>
          <w:sz w:val="21"/>
          <w:szCs w:val="21"/>
          <w:u w:val="single" w:color="auto"/>
          <w:color w:val="auto"/>
        </w:rPr>
        <w:t>Dividend Payment Date</w:t>
      </w:r>
      <w:r>
        <w:rPr>
          <w:rFonts w:ascii="Times New Roman" w:cs="Times New Roman" w:eastAsia="Times New Roman" w:hAnsi="Times New Roman"/>
          <w:sz w:val="21"/>
          <w:szCs w:val="21"/>
          <w:color w:val="auto"/>
        </w:rPr>
        <w:t>”, and each semi-annual period, a “</w:t>
      </w:r>
      <w:r>
        <w:rPr>
          <w:rFonts w:ascii="Times New Roman" w:cs="Times New Roman" w:eastAsia="Times New Roman" w:hAnsi="Times New Roman"/>
          <w:sz w:val="21"/>
          <w:szCs w:val="21"/>
          <w:u w:val="single" w:color="auto"/>
          <w:color w:val="auto"/>
        </w:rPr>
        <w:t>Dividend Period</w:t>
      </w:r>
      <w:r>
        <w:rPr>
          <w:rFonts w:ascii="Times New Roman" w:cs="Times New Roman" w:eastAsia="Times New Roman" w:hAnsi="Times New Roman"/>
          <w:sz w:val="21"/>
          <w:szCs w:val="21"/>
          <w:color w:val="auto"/>
        </w:rPr>
        <w:t>”), to the Liquidation Preference in effect immediately after the last Dividend Payment Date (or, if there has been no prior full Dividend Period, the Issuance Date).</w:t>
      </w:r>
    </w:p>
    <w:p>
      <w:pPr>
        <w:spacing w:after="0" w:line="154"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color w:val="auto"/>
        </w:rPr>
        <w:t>3.2. Notwithstanding anything to the contrary in Section 3.1, if and when permitted under agreements or instruments governing the Corporation’s indebtedness, the Corporation may, at the sole election of the Board of Directors or any officer of the Corporation authorized by the Board of Directors, elect with respect to the Accrued Dividends for any Dividend Period prior to the last day of such Dividend Period (a “</w:t>
      </w:r>
      <w:r>
        <w:rPr>
          <w:rFonts w:ascii="Times New Roman" w:cs="Times New Roman" w:eastAsia="Times New Roman" w:hAnsi="Times New Roman"/>
          <w:sz w:val="22"/>
          <w:szCs w:val="22"/>
          <w:u w:val="single" w:color="auto"/>
          <w:color w:val="auto"/>
        </w:rPr>
        <w:t>Cash Dividend Election</w:t>
      </w:r>
      <w:r>
        <w:rPr>
          <w:rFonts w:ascii="Times New Roman" w:cs="Times New Roman" w:eastAsia="Times New Roman" w:hAnsi="Times New Roman"/>
          <w:sz w:val="22"/>
          <w:szCs w:val="22"/>
          <w:color w:val="auto"/>
        </w:rPr>
        <w:t>”) to pay such Accrued Dividends in cash, out of funds of the Corporation legally available for payment (“</w:t>
      </w:r>
      <w:r>
        <w:rPr>
          <w:rFonts w:ascii="Times New Roman" w:cs="Times New Roman" w:eastAsia="Times New Roman" w:hAnsi="Times New Roman"/>
          <w:sz w:val="22"/>
          <w:szCs w:val="22"/>
          <w:u w:val="single" w:color="auto"/>
          <w:color w:val="auto"/>
        </w:rPr>
        <w:t>Cash Dividends</w:t>
      </w:r>
      <w:r>
        <w:rPr>
          <w:rFonts w:ascii="Times New Roman" w:cs="Times New Roman" w:eastAsia="Times New Roman" w:hAnsi="Times New Roman"/>
          <w:sz w:val="22"/>
          <w:szCs w:val="22"/>
          <w:color w:val="auto"/>
        </w:rPr>
        <w:t>”), on the Liquidation Preference in effect immediately after the last Dividend Payment Date (or, if there has been no prior full Dividend Period, the Issuance Date) in lieu of accreting such Accrued Dividends to such Liquidation Preference pursuant to Section 3.1. Any such Cash Dividend shall be payable in arrears on the tenth Business Day following the last day of the Dividend Period to the Holders as they appear on the Corporation’s stock register maintained by the Transfer Agent as of the close of the Business Day on the record date (which shall be a Business Day) set by the Board of Directors or an officer of the Corporation authorized by the Board of Directors for holders eligible to receive such Cash Dividend for such Dividend Period, which record date shall be no earlier than the first Business Day after the end of such Dividend Period and shall be no later than such date of payment of the Cash Dividend. If the Corporation fails to pay a Cash Dividend in respect of a Dividend Period following a Cash Dividend Election with respect to such period, then the Accrued Dividends for such period shall accrete to Liquidation Preference in accordance with Section 3.1 as if no Cash Dividend Election were made with respect to such period.</w:t>
      </w:r>
    </w:p>
    <w:p>
      <w:pPr>
        <w:spacing w:after="0" w:line="200" w:lineRule="exact"/>
        <w:rPr>
          <w:sz w:val="20"/>
          <w:szCs w:val="20"/>
          <w:color w:val="auto"/>
        </w:rPr>
      </w:pPr>
    </w:p>
    <w:p>
      <w:pPr>
        <w:spacing w:after="0" w:line="207"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3.3. Under this Section 3, dividends shall be calculated on the basis of a 360-day year, consisting of twelve 30 calendar day periods. Dividends shall accumulate and become Accrued Dividends on a day-to-day basis from the beginning of each Dividend Period (or if there has been no prior full Dividend Period, from the Issuance Date), accumulating on the Liquidation Preference in effect immediately after the last Dividend Payment Date or the Issuance Date, as applicable, until such dividends have been paid by accretion to Liquidation Preference in accordance with Section 3.1 or as a Cash Dividend pursuant to Section 3.2. Notwithstanding anything to the contrary herein, if the Corporation has duly and properly made a Cash Dividend Election with respect to a Dividend Period and any shares of Series A Preferred Stock are converted into Common Stock on a Conversion Date in accordance with this Certificate of Designations during the period between the last day of a Dividend Period and the close of the Business Day on the corresponding Dividend Payment Date, then the amount of the Accrued Dividends in respect of such Dividend Period shall accrete to the Liquidation Preference in accordance with Section 3.1 for purposes of such conversion. For the avoidance of doubt, such Accrued Dividends shall include dividends accruing from, and including, the last day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580"/>
          </w:cols>
          <w:pgMar w:left="980" w:top="1395" w:right="339" w:bottom="1440" w:gutter="0" w:footer="0" w:header="0"/>
        </w:sectPr>
      </w:pPr>
    </w:p>
    <w:bookmarkStart w:id="10" w:name="page11"/>
    <w:bookmarkEnd w:id="10"/>
    <w:p>
      <w:pPr>
        <w:jc w:val="both"/>
        <w:spacing w:after="0" w:line="225" w:lineRule="auto"/>
        <w:rPr>
          <w:sz w:val="20"/>
          <w:szCs w:val="20"/>
          <w:color w:val="auto"/>
        </w:rPr>
      </w:pPr>
      <w:r>
        <w:rPr>
          <w:rFonts w:ascii="Times New Roman" w:cs="Times New Roman" w:eastAsia="Times New Roman" w:hAnsi="Times New Roman"/>
          <w:sz w:val="22"/>
          <w:szCs w:val="22"/>
          <w:color w:val="auto"/>
        </w:rPr>
        <w:t>the most recently preceding Dividend Period to, but not including, the applicable Conversion Date. Under this Section 3, dividends shall accrue for the benefit of the Person in whose name each share of Series A Preferred Stock is registered on the Corporation’s stock register maintained by the Transfer Agent.</w:t>
      </w:r>
    </w:p>
    <w:p>
      <w:pPr>
        <w:spacing w:after="0" w:line="15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1"/>
          <w:szCs w:val="21"/>
          <w:color w:val="auto"/>
        </w:rPr>
        <w:t>3.4. So long as any share of the Series A Preferred Stock remains outstanding, no dividend or distribution shall be declared or paid on, and no redemption or repurchase shall be agreed to or consummated of, Parity Stock or Common Stock or any other shares of Junior Stock, unless all accumulated and unpaid dividends for all preceding full Dividend Periods (including the Dividend Period in which such accumulated and unpaid dividends first arose) of the Corporation have been declared and paid (including by way of an increase to the Liquidation Preference in accordance with Section 3.1) and no such dividend or distribution or redemption or repurchase shall be paid or payable in cash for any period unless the Series A Preferred Stock has been paid full Accrued Dividends in cash (and, for purposes of clarity, in lieu of an increase in the Liquidation Preference); provided, however, that the foregoing limitation shall not apply to (i) a dividend payable on Common Stock or other Junior Stock in shares of Common Stock or other Junior Stock, (ii) the acquisition of shares of Common Stock or other Junior Stock in exchange for shares of Common Stock or other Junior Stock and the payment of cash in lieu of fractional shares of Common Stock or other Junior Stock; (iii) purchases of fractional interests in shares of Common Stock or other Junior Stock pursuant to the conversion or exchange provisions of shares of other Junior Stock or any securities exchangeable for or convertible into such shares of Common Stock or other Junior Stock; (iv) redemptions, purchases or other acquisitions of shares of Common Stock or other Junior Stock in connection with the administration of any employee benefit or incentive plan, including, without limitation, the forfeiture of unvested shares of restricted stock or share withholdings upon exercise, delivery or vesting of equity awards granted to officers, directors and employees and the payment of cash in lieu of fractional shares of Common Stock or other Junior Stock; (v) any dividends or distributions of rights in connection with a stockholders’ rights plan or any redemption or repurchase of rights pursuant to any stockholders’ rights plan; and (vi) the exchange or conversion of Junior Stock for or into other Junior Stock and the payment of cash in lieu of fractional shares of other Junior Stock.</w:t>
      </w:r>
    </w:p>
    <w:p>
      <w:pPr>
        <w:spacing w:after="0" w:line="169"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3.5. Holders shall be entitled to receive, and the Corporation shall pay, in addition to dividends payable pursuant to Sections 3.1 and 3.2, dividends or distributions on shares of Series A Preferred Stock equal (on an as-if-converted-to-Common Stock basis) to and in the same form as dividends or distributions actually paid on shares of the Common Stock when, as and if such dividends or distributions are paid on shares of the Common Stock. For the avoidance of doubt, (a) no other dividends or distributions shall be paid on shares of Series A Preferred Stock except otherwise specified in this Section 3 and (b) the payment of dividends or distributions to Series A Preferred Stock may be subject to restrictions under agreements or instruments governing the Company’s indebtedness, provided that, in all cases, no cash dividends or distributions shall be paid to the holders of Common Stock if the corresponding cash dividend or distribution to Holders of Series A Preferred Stock provided for in this Section 3.5 or otherwise is then restricted or prohibited under any agreement or instrument governing the Company’s indebtedness.</w:t>
      </w:r>
    </w:p>
    <w:p>
      <w:pPr>
        <w:spacing w:after="0" w:line="152" w:lineRule="exact"/>
        <w:rPr>
          <w:sz w:val="20"/>
          <w:szCs w:val="20"/>
          <w:color w:val="auto"/>
        </w:rPr>
      </w:pPr>
    </w:p>
    <w:p>
      <w:pPr>
        <w:ind w:left="1300" w:hanging="656"/>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Liquidation, Dissolution or Winding Up</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Preferential Payments to Holders of Series A Preferred Stock</w:t>
      </w:r>
      <w:r>
        <w:rPr>
          <w:rFonts w:ascii="Times New Roman" w:cs="Times New Roman" w:eastAsia="Times New Roman" w:hAnsi="Times New Roman"/>
          <w:sz w:val="22"/>
          <w:szCs w:val="22"/>
          <w:color w:val="auto"/>
        </w:rPr>
        <w:t>. In the event of any voluntary or involuntary liquidation, dissolution or winding up of the Corporation, the Holders of shares of Series A Preferred Stock then outstanding shall be entitled to be paid out of the assets of the Corporation available for distribution to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580"/>
          </w:cols>
          <w:pgMar w:left="980" w:top="1395" w:right="339" w:bottom="1440" w:gutter="0" w:footer="0" w:header="0"/>
        </w:sectPr>
      </w:pPr>
    </w:p>
    <w:bookmarkStart w:id="11" w:name="page12"/>
    <w:bookmarkEnd w:id="11"/>
    <w:p>
      <w:pPr>
        <w:jc w:val="both"/>
        <w:ind w:left="660"/>
        <w:spacing w:after="0" w:line="208" w:lineRule="auto"/>
        <w:rPr>
          <w:sz w:val="20"/>
          <w:szCs w:val="20"/>
          <w:color w:val="auto"/>
        </w:rPr>
      </w:pPr>
      <w:r>
        <w:rPr>
          <w:rFonts w:ascii="Times New Roman" w:cs="Times New Roman" w:eastAsia="Times New Roman" w:hAnsi="Times New Roman"/>
          <w:sz w:val="22"/>
          <w:szCs w:val="22"/>
          <w:color w:val="auto"/>
        </w:rPr>
        <w:t>stockholders, and in the event of a Deemed Liquidation Event (as defined below), the Holders of shares of Series A Preferred Stock then outstanding shall be entitled to be paid out of the consideration payable to stockholders in such Deemed Liquidation Event or out of the Available Proceeds (as defined below), as applicable, before any payment shall be made to the holders of any Junior Stock by reason of their ownership thereof, an amount per share equal to the greater of (i) two and one-half times the Liquidation Preference or (ii) such amount per share as would have been payable had all shares of Series A Preferred Stock been converted into Common Stock pursuant to Section 8.2 immediately prior to such liquidation, dissolution, winding up or Deemed Liquidation Event (the amount payable pursuant to this sentence is hereinafter referred to as the “</w:t>
      </w:r>
      <w:r>
        <w:rPr>
          <w:rFonts w:ascii="Times New Roman" w:cs="Times New Roman" w:eastAsia="Times New Roman" w:hAnsi="Times New Roman"/>
          <w:sz w:val="22"/>
          <w:szCs w:val="22"/>
          <w:u w:val="single" w:color="auto"/>
          <w:color w:val="auto"/>
        </w:rPr>
        <w:t>Series A Liquidation Amount</w:t>
      </w:r>
      <w:r>
        <w:rPr>
          <w:rFonts w:ascii="Times New Roman" w:cs="Times New Roman" w:eastAsia="Times New Roman" w:hAnsi="Times New Roman"/>
          <w:sz w:val="22"/>
          <w:szCs w:val="22"/>
          <w:color w:val="auto"/>
        </w:rPr>
        <w:t>”). In the event the assets of the Corporation available for distribution to the Holders upon any liquidation, winding-up, dissolution or Deemed Liquidation Event of the Corporation, whether voluntary or involuntary, shall be insufficient to pay in full all amounts to which the Holders are entitled pursuant to this Section 4.1, no such distribution shall be made on account of any shares of Parity Stock upon such liquidation, dissolution or winding-up unless proportionate distributable amounts shall be paid on account of the shares of Series A Preferred Stock, equally and ratably, in proportion to the full distributable amounts for which the Holders of all Series A Preferred Stock and of any Parity Stock are entitled upon such liquidation, winding-up or dissolution. After the payment in full to the Holders of the amounts provided for in this Section 4.1, the Holders of shares of Series A Preferred Stock as such shall have no right or claim to any of the remaining assets of the Corporation in respect of their ownership of such Series A Preferred Stock. For the avoidance of doubt, in no event will any shares of Series A Preferred Stock survive (including in the form of successor securities) following a liquidation, dissolution, winding up or Deemed Liquidation of the Corporation.</w:t>
      </w:r>
    </w:p>
    <w:p>
      <w:pPr>
        <w:spacing w:after="0" w:line="154" w:lineRule="exact"/>
        <w:rPr>
          <w:sz w:val="20"/>
          <w:szCs w:val="20"/>
          <w:color w:val="auto"/>
        </w:rPr>
      </w:pPr>
    </w:p>
    <w:p>
      <w:pPr>
        <w:jc w:val="both"/>
        <w:ind w:left="660" w:firstLine="1296"/>
        <w:spacing w:after="0" w:line="225"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Payments to Holders of Junior Stock</w:t>
      </w:r>
      <w:r>
        <w:rPr>
          <w:rFonts w:ascii="Times New Roman" w:cs="Times New Roman" w:eastAsia="Times New Roman" w:hAnsi="Times New Roman"/>
          <w:sz w:val="21"/>
          <w:szCs w:val="21"/>
          <w:color w:val="auto"/>
        </w:rPr>
        <w:t>. In the event of any voluntary or involuntary liquidation, dissolution or winding up of the Corporation, after the payment in full of the Series A Liquidation Amount required to be paid to the Holders, the remaining assets of the Corporation available for distribution to its holders of Junior Stock or, in the case of a Deemed Liquidation Event, the consideration not payable to the Holders and to the holders of Parity Stock, as applicable, pursuant to Section 4.1 or the remaining Available Proceeds, as the case may be, shall be distributed among the holders of shares of Junior Stock, pro rata based on the number of shares held by each such holder.</w:t>
      </w:r>
    </w:p>
    <w:p>
      <w:pPr>
        <w:spacing w:after="0" w:line="154" w:lineRule="exact"/>
        <w:rPr>
          <w:sz w:val="20"/>
          <w:szCs w:val="20"/>
          <w:color w:val="auto"/>
        </w:rPr>
      </w:pPr>
    </w:p>
    <w:p>
      <w:pPr>
        <w:ind w:left="1960"/>
        <w:spacing w:after="0"/>
        <w:tabs>
          <w:tab w:leader="none" w:pos="248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Deemed Liquidation Events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2600"/>
        <w:spacing w:after="0"/>
        <w:tabs>
          <w:tab w:leader="none" w:pos="3280" w:val="left"/>
        </w:tabs>
        <w:rPr>
          <w:sz w:val="20"/>
          <w:szCs w:val="20"/>
          <w:color w:val="auto"/>
        </w:rPr>
      </w:pPr>
      <w:r>
        <w:rPr>
          <w:rFonts w:ascii="Times New Roman" w:cs="Times New Roman" w:eastAsia="Times New Roman" w:hAnsi="Times New Roman"/>
          <w:sz w:val="22"/>
          <w:szCs w:val="22"/>
          <w:color w:val="auto"/>
        </w:rPr>
        <w:t>4.3.1.</w:t>
      </w:r>
      <w:r>
        <w:rPr>
          <w:sz w:val="20"/>
          <w:szCs w:val="20"/>
          <w:color w:val="auto"/>
        </w:rPr>
        <w:tab/>
      </w:r>
      <w:r>
        <w:rPr>
          <w:rFonts w:ascii="Times New Roman" w:cs="Times New Roman" w:eastAsia="Times New Roman" w:hAnsi="Times New Roman"/>
          <w:sz w:val="21"/>
          <w:szCs w:val="21"/>
          <w:color w:val="auto"/>
        </w:rPr>
        <w:t>Definition.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of the following events shall be considered a “</w:t>
      </w:r>
      <w:r>
        <w:rPr>
          <w:rFonts w:ascii="Times New Roman" w:cs="Times New Roman" w:eastAsia="Times New Roman" w:hAnsi="Times New Roman"/>
          <w:sz w:val="22"/>
          <w:szCs w:val="22"/>
          <w:u w:val="single" w:color="auto"/>
          <w:color w:val="auto"/>
        </w:rPr>
        <w:t>Deemed Liquidation Event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3060" w:hanging="460"/>
        <w:spacing w:after="0"/>
        <w:tabs>
          <w:tab w:leader="none" w:pos="30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merger or consolidation in which</w:t>
      </w:r>
    </w:p>
    <w:p>
      <w:pPr>
        <w:spacing w:after="0" w:line="179" w:lineRule="exact"/>
        <w:rPr>
          <w:rFonts w:ascii="Times New Roman" w:cs="Times New Roman" w:eastAsia="Times New Roman" w:hAnsi="Times New Roman"/>
          <w:sz w:val="22"/>
          <w:szCs w:val="22"/>
          <w:color w:val="auto"/>
        </w:rPr>
      </w:pPr>
    </w:p>
    <w:p>
      <w:pPr>
        <w:ind w:left="3660" w:hanging="412"/>
        <w:spacing w:after="0"/>
        <w:tabs>
          <w:tab w:leader="none" w:pos="366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is a constituent party or</w:t>
      </w:r>
    </w:p>
    <w:p>
      <w:pPr>
        <w:spacing w:after="0" w:line="179" w:lineRule="exact"/>
        <w:rPr>
          <w:rFonts w:ascii="Times New Roman" w:cs="Times New Roman" w:eastAsia="Times New Roman" w:hAnsi="Times New Roman"/>
          <w:sz w:val="22"/>
          <w:szCs w:val="22"/>
          <w:color w:val="auto"/>
        </w:rPr>
      </w:pPr>
    </w:p>
    <w:p>
      <w:pPr>
        <w:ind w:left="1960" w:firstLine="1288"/>
        <w:spacing w:after="0" w:line="236" w:lineRule="auto"/>
        <w:tabs>
          <w:tab w:leader="none" w:pos="3742"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subsidiary of the Corporation is a constituent party and the Corporation issues shares of its capital stock pursuant to such merger or consolidation,</w:t>
      </w:r>
    </w:p>
    <w:p>
      <w:pPr>
        <w:spacing w:after="0" w:line="15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12" w:name="page13"/>
    <w:bookmarkEnd w:id="12"/>
    <w:p>
      <w:pPr>
        <w:spacing w:after="0" w:line="236" w:lineRule="auto"/>
        <w:rPr>
          <w:sz w:val="20"/>
          <w:szCs w:val="20"/>
          <w:color w:val="auto"/>
        </w:rPr>
      </w:pPr>
      <w:r>
        <w:rPr>
          <w:rFonts w:ascii="Times New Roman" w:cs="Times New Roman" w:eastAsia="Times New Roman" w:hAnsi="Times New Roman"/>
          <w:sz w:val="22"/>
          <w:szCs w:val="22"/>
          <w:color w:val="auto"/>
        </w:rPr>
        <w:t>resulting corporation is a wholly owned subsidiary of another corporation immediately following such merger or consolidation, the parent corporation of such surviving or resulting corporation; or</w:t>
      </w:r>
    </w:p>
    <w:p>
      <w:pPr>
        <w:spacing w:after="0" w:line="150" w:lineRule="exact"/>
        <w:rPr>
          <w:sz w:val="20"/>
          <w:szCs w:val="20"/>
          <w:color w:val="auto"/>
        </w:rPr>
      </w:pPr>
    </w:p>
    <w:p>
      <w:pPr>
        <w:jc w:val="both"/>
        <w:ind w:left="660" w:firstLine="1940"/>
        <w:spacing w:after="0" w:line="213" w:lineRule="auto"/>
        <w:tabs>
          <w:tab w:leader="none" w:pos="315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the sale, lease, transfer, exclusive license or other disposition, in a single transaction or series of related transactions, by the Corporation or any subsidiary of the Corporation of all or substantially all the assets of the Corporation and its subsidiaries taken as a whole, or (2) the sale or disposition (whether by merger, consolidation or otherwise, and whether in a single transaction or a series of related transactions)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156" w:lineRule="exact"/>
        <w:rPr>
          <w:sz w:val="20"/>
          <w:szCs w:val="20"/>
          <w:color w:val="auto"/>
        </w:rPr>
      </w:pPr>
    </w:p>
    <w:p>
      <w:pPr>
        <w:ind w:left="1960"/>
        <w:spacing w:after="0"/>
        <w:tabs>
          <w:tab w:leader="none" w:pos="2640" w:val="left"/>
        </w:tabs>
        <w:rPr>
          <w:sz w:val="20"/>
          <w:szCs w:val="20"/>
          <w:color w:val="auto"/>
        </w:rPr>
      </w:pPr>
      <w:r>
        <w:rPr>
          <w:rFonts w:ascii="Times New Roman" w:cs="Times New Roman" w:eastAsia="Times New Roman" w:hAnsi="Times New Roman"/>
          <w:sz w:val="22"/>
          <w:szCs w:val="22"/>
          <w:color w:val="auto"/>
        </w:rPr>
        <w:t>4.3.2.</w:t>
      </w:r>
      <w:r>
        <w:rPr>
          <w:sz w:val="20"/>
          <w:szCs w:val="20"/>
          <w:color w:val="auto"/>
        </w:rPr>
        <w:tab/>
      </w:r>
      <w:r>
        <w:rPr>
          <w:rFonts w:ascii="Times New Roman" w:cs="Times New Roman" w:eastAsia="Times New Roman" w:hAnsi="Times New Roman"/>
          <w:sz w:val="21"/>
          <w:szCs w:val="21"/>
          <w:u w:val="single" w:color="auto"/>
          <w:color w:val="auto"/>
        </w:rPr>
        <w:t>Effecting a Deemed Liquidation Event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660" w:firstLine="1940"/>
        <w:spacing w:after="0" w:line="220" w:lineRule="auto"/>
        <w:tabs>
          <w:tab w:leader="none" w:pos="307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not have the power to effect a Deemed Liquidation Event referred to in Section 4.3.1(a)(i) unless the agreement or plan of merger or consolidation for such transaction provides that the consideration payable to the stockholders of the Corporation in such Deemed Liquidation Event shall be paid to the holders of capital stock of the Corporation in accordance with Section 4.1 and 4.2.</w:t>
      </w:r>
    </w:p>
    <w:p>
      <w:pPr>
        <w:spacing w:after="0" w:line="152" w:lineRule="exact"/>
        <w:rPr>
          <w:rFonts w:ascii="Times New Roman" w:cs="Times New Roman" w:eastAsia="Times New Roman" w:hAnsi="Times New Roman"/>
          <w:sz w:val="22"/>
          <w:szCs w:val="22"/>
          <w:color w:val="auto"/>
        </w:rPr>
      </w:pPr>
    </w:p>
    <w:p>
      <w:pPr>
        <w:jc w:val="both"/>
        <w:ind w:left="660" w:firstLine="1940"/>
        <w:spacing w:after="0" w:line="212" w:lineRule="auto"/>
        <w:tabs>
          <w:tab w:leader="none" w:pos="3132"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 Deemed Liquidation Event referred to in Section 4.3.1(a)(ii) or 4.3.1(b), if the Corporation does not effect a dissolution of the Corporation under the General Corporation Law within ninety (90) days after such Deemed Liquidation Event, then (i) the Corporation shall send a written notice to the Holders no later than the ninetieth (90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after the Deemed Liquidation Event advising the Holders of their right (and the requirements to be met to secure such right) pursuant to the terms of the following clause; (ii) to require the redemption of such shares of Series A Preferred Stock, and (iii) if the holders of the majority of the then-outstanding shares of the Series A Preferred Stock so request in a written instrument delivered to the Corporation not later than one hundred twenty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of the Corporation)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together with any other assets of the Corporation available for distribution to its stockholders, all to the extent permitted by Delaware law governing distributions to stockholders (the “</w:t>
      </w:r>
      <w:r>
        <w:rPr>
          <w:rFonts w:ascii="Times New Roman" w:cs="Times New Roman" w:eastAsia="Times New Roman" w:hAnsi="Times New Roman"/>
          <w:sz w:val="21"/>
          <w:szCs w:val="21"/>
          <w:u w:val="single" w:color="auto"/>
          <w:color w:val="auto"/>
        </w:rPr>
        <w:t>Available Proceeds</w:t>
      </w:r>
      <w:r>
        <w:rPr>
          <w:rFonts w:ascii="Times New Roman" w:cs="Times New Roman" w:eastAsia="Times New Roman" w:hAnsi="Times New Roman"/>
          <w:sz w:val="21"/>
          <w:szCs w:val="21"/>
          <w:color w:val="auto"/>
        </w:rPr>
        <w:t>”), on the one hundred fiftieth (150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after such Deemed Liquidation Event, to redeem all outstanding shares of Series A Preferred Stock at a price per share equal to the Series A Liquidation Amount. Notwithstanding the foregoing, in the event of a redemption pursuant to the preceding sentence, if the Available Proceeds are not sufficient to redeem all outstanding shares of Series A Preferred Stock and any Parity Stock, the Corporation shall redeem a pro rata portion of a Holder’s shares of Series A Preferred Stock and outstanding Parity Stock to the fullest extent of such Available Proceeds and in accordance with Section 4.1, based on the respective amounts which would otherwise be payable in respect of the shares to be redeemed if the Available Proceeds were sufficient to redeem all such shares, and shall redeem the remaining shares as soon as it may lawfully do so under Delaware law governing distributions to stockholders. Prior to the distribution or redemption provided for in this Section 4.3.2(b), the Corporation shall not expend or dissipate the consideration received for such Deemed Liquidation Event, except to discharge expenses incurred in connection with such Deemed Liquidation Event or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13" w:name="page14"/>
    <w:bookmarkEnd w:id="13"/>
    <w:p>
      <w:pPr>
        <w:jc w:val="both"/>
        <w:ind w:firstLine="1292"/>
        <w:spacing w:after="0" w:line="217" w:lineRule="auto"/>
        <w:tabs>
          <w:tab w:leader="none" w:pos="194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Amount Deemed Paid or Distributed</w:t>
      </w:r>
      <w:r>
        <w:rPr>
          <w:rFonts w:ascii="Times New Roman" w:cs="Times New Roman" w:eastAsia="Times New Roman" w:hAnsi="Times New Roman"/>
          <w:sz w:val="22"/>
          <w:szCs w:val="22"/>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to be paid or distributed to such holders pursuant to such Deemed Liquidation Event. The value of such property, rights or securities shall be determined in good faith by the Board of Directors of the Corporation.</w:t>
      </w:r>
    </w:p>
    <w:p>
      <w:pPr>
        <w:spacing w:after="0" w:line="152" w:lineRule="exact"/>
        <w:rPr>
          <w:rFonts w:ascii="Times New Roman" w:cs="Times New Roman" w:eastAsia="Times New Roman" w:hAnsi="Times New Roman"/>
          <w:sz w:val="22"/>
          <w:szCs w:val="22"/>
          <w:color w:val="auto"/>
        </w:rPr>
      </w:pPr>
    </w:p>
    <w:p>
      <w:pPr>
        <w:jc w:val="both"/>
        <w:ind w:firstLine="1292"/>
        <w:spacing w:after="0" w:line="225" w:lineRule="auto"/>
        <w:tabs>
          <w:tab w:leader="none" w:pos="194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w:t>
      </w:r>
      <w:r>
        <w:rPr>
          <w:rFonts w:ascii="Times New Roman" w:cs="Times New Roman" w:eastAsia="Times New Roman" w:hAnsi="Times New Roman"/>
          <w:sz w:val="22"/>
          <w:szCs w:val="22"/>
          <w:color w:val="auto"/>
        </w:rPr>
        <w:t>. Holders shall not have any voting rights with respect to shares of Series A Preferred Stock except as set forth in Section 7 or as otherwise from time to time specifically required by the Delaware General Corporation Law or the Restated Certificate.</w:t>
      </w:r>
    </w:p>
    <w:p>
      <w:pPr>
        <w:spacing w:after="0" w:line="152"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Series A Preferred Stock Protective Provisions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944"/>
        <w:spacing w:after="0" w:line="224" w:lineRule="auto"/>
        <w:rPr>
          <w:sz w:val="20"/>
          <w:szCs w:val="20"/>
          <w:color w:val="auto"/>
        </w:rPr>
      </w:pPr>
      <w:r>
        <w:rPr>
          <w:rFonts w:ascii="Times New Roman" w:cs="Times New Roman" w:eastAsia="Times New Roman" w:hAnsi="Times New Roman"/>
          <w:sz w:val="21"/>
          <w:szCs w:val="21"/>
          <w:color w:val="auto"/>
        </w:rPr>
        <w:t xml:space="preserve">7.1. At any time when shares of Series A Preferred are outstanding, in addition to any other vote or consent of stockholders required by the Delaware General Corporation Law or the Restated Certificate, the Corporation shall not, either directly or indirectly by amendment, merger, consolidation or otherwise, do any of the following without (in addition to any other vote required by law or this Certificate of Designations) the written consent or affirmative vote of the Holders of a majority of the then-outstanding shares of Series A Preferred Stock given in writing without a meeting or by vote at a meeting, consenting or voting (as the case may be) together as a separate class, and any such act or transaction entered into without such consent or vote shall be null and void </w:t>
      </w:r>
      <w:r>
        <w:rPr>
          <w:rFonts w:ascii="Times New Roman" w:cs="Times New Roman" w:eastAsia="Times New Roman" w:hAnsi="Times New Roman"/>
          <w:sz w:val="21"/>
          <w:szCs w:val="21"/>
          <w:i w:val="1"/>
          <w:iCs w:val="1"/>
          <w:color w:val="auto"/>
        </w:rPr>
        <w:t>ab initio</w:t>
      </w:r>
      <w:r>
        <w:rPr>
          <w:rFonts w:ascii="Times New Roman" w:cs="Times New Roman" w:eastAsia="Times New Roman" w:hAnsi="Times New Roman"/>
          <w:sz w:val="21"/>
          <w:szCs w:val="21"/>
          <w:color w:val="auto"/>
        </w:rPr>
        <w:t>, and of no force or effect:</w:t>
      </w:r>
    </w:p>
    <w:p>
      <w:pPr>
        <w:spacing w:after="0" w:line="150" w:lineRule="exact"/>
        <w:rPr>
          <w:sz w:val="20"/>
          <w:szCs w:val="20"/>
          <w:color w:val="auto"/>
        </w:rPr>
      </w:pPr>
    </w:p>
    <w:p>
      <w:pPr>
        <w:jc w:val="both"/>
        <w:ind w:firstLine="1944"/>
        <w:spacing w:after="0" w:line="225" w:lineRule="auto"/>
        <w:rPr>
          <w:sz w:val="20"/>
          <w:szCs w:val="20"/>
          <w:color w:val="auto"/>
        </w:rPr>
      </w:pPr>
      <w:r>
        <w:rPr>
          <w:rFonts w:ascii="Times New Roman" w:cs="Times New Roman" w:eastAsia="Times New Roman" w:hAnsi="Times New Roman"/>
          <w:sz w:val="22"/>
          <w:szCs w:val="22"/>
          <w:color w:val="auto"/>
        </w:rPr>
        <w:t>7.1.1. amend, alter or repeal any provision of this Certificate of Designations or Bylaws of the Corporation in a manner that materially and adversely affects the powers, preferences or rights of the Series A Preferred Stock;</w:t>
      </w:r>
    </w:p>
    <w:p>
      <w:pPr>
        <w:spacing w:after="0" w:line="153" w:lineRule="exact"/>
        <w:rPr>
          <w:sz w:val="20"/>
          <w:szCs w:val="20"/>
          <w:color w:val="auto"/>
        </w:rPr>
      </w:pPr>
    </w:p>
    <w:p>
      <w:pPr>
        <w:jc w:val="both"/>
        <w:ind w:firstLine="1944"/>
        <w:spacing w:after="0" w:line="211" w:lineRule="auto"/>
        <w:rPr>
          <w:sz w:val="20"/>
          <w:szCs w:val="20"/>
          <w:color w:val="auto"/>
        </w:rPr>
      </w:pPr>
      <w:r>
        <w:rPr>
          <w:rFonts w:ascii="Times New Roman" w:cs="Times New Roman" w:eastAsia="Times New Roman" w:hAnsi="Times New Roman"/>
          <w:sz w:val="22"/>
          <w:szCs w:val="22"/>
          <w:color w:val="auto"/>
        </w:rPr>
        <w:t>7.1.2. create, issue, or authorize the creation or issuance of, increase the authorized amount of or obligate itself to issue shares of, any class or series of capital stock of the Corporation, or any obligation or security convertible into or evidencing a right to purchase, any class or series of capital stock of the Corporation, unless such class or series of capital stock ranks junior to the Series A Preferred Stock with respect to the distribution of assets on the liquidation, dissolution or winding up of the Corporation, the payment of dividends and rights of redemption, or increase the authorized number of shares of Series A Preferred Stock or increase the authorized number of shares of any additional class or series of capital stock of the Corporation unless the same ranks junior to the Series A Preferred Stock with respect to the distribution of assets on the liquidation, dissolution or winding up of the Corporation, the payment of dividends and rights of redemption;</w:t>
      </w:r>
    </w:p>
    <w:p>
      <w:pPr>
        <w:spacing w:after="0" w:line="158" w:lineRule="exact"/>
        <w:rPr>
          <w:sz w:val="20"/>
          <w:szCs w:val="20"/>
          <w:color w:val="auto"/>
        </w:rPr>
      </w:pPr>
    </w:p>
    <w:p>
      <w:pPr>
        <w:jc w:val="both"/>
        <w:ind w:firstLine="1944"/>
        <w:spacing w:after="0" w:line="213" w:lineRule="auto"/>
        <w:rPr>
          <w:sz w:val="20"/>
          <w:szCs w:val="20"/>
          <w:color w:val="auto"/>
        </w:rPr>
      </w:pPr>
      <w:r>
        <w:rPr>
          <w:rFonts w:ascii="Times New Roman" w:cs="Times New Roman" w:eastAsia="Times New Roman" w:hAnsi="Times New Roman"/>
          <w:sz w:val="22"/>
          <w:szCs w:val="22"/>
          <w:color w:val="auto"/>
        </w:rPr>
        <w:t>7.1.3. (i) reclassify, alter or amend any class of Parity Stock in respect of the distribution of assets on the liquidation, dissolution or winding up of the Corporation, the payment of dividends or rights of redemption, if such reclassification, alteration or amendment would render such other security senior to the Series A Preferred Stock in respect of any such right, preference, or privilege or (ii) reclassify, alter or amend any Junior Stock in respect of the distribution of assets on the liquidation, dissolution or winding up of the Corporation, the payment of dividends or rights of redemption, if such reclassification, alteration or amendment would render such other security senior to or pari passu with the Series A Preferred Stock in respect of any such right, preference or privilege; or</w:t>
      </w:r>
    </w:p>
    <w:p>
      <w:pPr>
        <w:spacing w:after="0" w:line="156" w:lineRule="exact"/>
        <w:rPr>
          <w:sz w:val="20"/>
          <w:szCs w:val="20"/>
          <w:color w:val="auto"/>
        </w:rPr>
      </w:pPr>
    </w:p>
    <w:p>
      <w:pPr>
        <w:jc w:val="both"/>
        <w:ind w:right="20" w:firstLine="1944"/>
        <w:spacing w:after="0" w:line="236" w:lineRule="auto"/>
        <w:rPr>
          <w:sz w:val="20"/>
          <w:szCs w:val="20"/>
          <w:color w:val="auto"/>
        </w:rPr>
      </w:pPr>
      <w:r>
        <w:rPr>
          <w:rFonts w:ascii="Times New Roman" w:cs="Times New Roman" w:eastAsia="Times New Roman" w:hAnsi="Times New Roman"/>
          <w:sz w:val="22"/>
          <w:szCs w:val="22"/>
          <w:color w:val="auto"/>
        </w:rPr>
        <w:t>7.1.4. purchase or redeem (or permit any subsidiary to purchase or redeem) for cash any shares of capital stock of the Corporation other than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580"/>
          </w:cols>
          <w:pgMar w:left="980" w:top="1395" w:right="339" w:bottom="1440" w:gutter="0" w:footer="0" w:header="0"/>
        </w:sectPr>
      </w:pPr>
    </w:p>
    <w:bookmarkStart w:id="14" w:name="page15"/>
    <w:bookmarkEnd w:id="14"/>
    <w:p>
      <w:pPr>
        <w:jc w:val="both"/>
        <w:spacing w:after="0" w:line="220" w:lineRule="auto"/>
        <w:rPr>
          <w:sz w:val="20"/>
          <w:szCs w:val="20"/>
          <w:color w:val="auto"/>
        </w:rPr>
      </w:pPr>
      <w:r>
        <w:rPr>
          <w:rFonts w:ascii="Times New Roman" w:cs="Times New Roman" w:eastAsia="Times New Roman" w:hAnsi="Times New Roman"/>
          <w:sz w:val="22"/>
          <w:szCs w:val="22"/>
          <w:color w:val="auto"/>
        </w:rPr>
        <w:t>repurchases or redemptions of Series A Preferred Stock as expressly authorized herein, (ii) repurchases of stock from former employees, officers, directors, consultants or other Persons who performed services for the Corporation or any subsidiary in connection with the cessation of such employment or service and (iii) any cashless or “net” exercises or settlements of the Company’s securities.</w:t>
      </w:r>
    </w:p>
    <w:p>
      <w:pPr>
        <w:spacing w:after="0" w:line="152" w:lineRule="exact"/>
        <w:rPr>
          <w:sz w:val="20"/>
          <w:szCs w:val="20"/>
          <w:color w:val="auto"/>
        </w:rPr>
      </w:pPr>
    </w:p>
    <w:p>
      <w:pPr>
        <w:jc w:val="both"/>
        <w:ind w:firstLine="1944"/>
        <w:spacing w:after="0" w:line="220" w:lineRule="auto"/>
        <w:rPr>
          <w:sz w:val="20"/>
          <w:szCs w:val="20"/>
          <w:color w:val="auto"/>
        </w:rPr>
      </w:pPr>
      <w:r>
        <w:rPr>
          <w:rFonts w:ascii="Times New Roman" w:cs="Times New Roman" w:eastAsia="Times New Roman" w:hAnsi="Times New Roman"/>
          <w:sz w:val="22"/>
          <w:szCs w:val="22"/>
          <w:color w:val="auto"/>
        </w:rPr>
        <w:t>7.1.5. incur any secured debt as a result of which the Corporation’s aggregate principal amount of secured debt outstanding will exceed the Maximum Allowable Amount. For the avoidance of doubt, “principal amount” for purposes of this Section 7.1.5 shall not include undrawn committed or available amounts, but any subsequent draw down of any such amounts shall be subject to the restriction and consent right set forth in this Section 7.1.5.</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7.2. Without the consent of the Holders, but without limiting Section 7.1, the Corporation, acting in good faith, may amend, alter, supplement or repeal any terms of the Series A Preferred Stock by amending or supplementing the Restated Certificate, this Certificate of Designations or any stock certificate or book-entry entitlements representing shares of the Series A Preferred Stock:</w:t>
      </w:r>
    </w:p>
    <w:p>
      <w:pPr>
        <w:spacing w:after="0" w:line="152" w:lineRule="exact"/>
        <w:rPr>
          <w:sz w:val="20"/>
          <w:szCs w:val="20"/>
          <w:color w:val="auto"/>
        </w:rPr>
      </w:pPr>
    </w:p>
    <w:p>
      <w:pPr>
        <w:jc w:val="both"/>
        <w:ind w:firstLine="1944"/>
        <w:spacing w:after="0" w:line="236" w:lineRule="auto"/>
        <w:rPr>
          <w:sz w:val="20"/>
          <w:szCs w:val="20"/>
          <w:color w:val="auto"/>
        </w:rPr>
      </w:pPr>
      <w:r>
        <w:rPr>
          <w:rFonts w:ascii="Times New Roman" w:cs="Times New Roman" w:eastAsia="Times New Roman" w:hAnsi="Times New Roman"/>
          <w:sz w:val="22"/>
          <w:szCs w:val="22"/>
          <w:color w:val="auto"/>
        </w:rPr>
        <w:t>7.2.1. to cure any ambiguity, omission, inconsistency or mistake in any such instrument that does not adversely affect the rights, preferences, privileges or voting powers of the Series A Preferred Stock or any Holder;</w:t>
      </w:r>
    </w:p>
    <w:p>
      <w:pPr>
        <w:spacing w:after="0" w:line="150" w:lineRule="exact"/>
        <w:rPr>
          <w:sz w:val="20"/>
          <w:szCs w:val="20"/>
          <w:color w:val="auto"/>
        </w:rPr>
      </w:pPr>
    </w:p>
    <w:p>
      <w:pPr>
        <w:jc w:val="both"/>
        <w:ind w:right="20" w:firstLine="1944"/>
        <w:spacing w:after="0" w:line="225" w:lineRule="auto"/>
        <w:rPr>
          <w:sz w:val="20"/>
          <w:szCs w:val="20"/>
          <w:color w:val="auto"/>
        </w:rPr>
      </w:pPr>
      <w:r>
        <w:rPr>
          <w:rFonts w:ascii="Times New Roman" w:cs="Times New Roman" w:eastAsia="Times New Roman" w:hAnsi="Times New Roman"/>
          <w:sz w:val="22"/>
          <w:szCs w:val="22"/>
          <w:color w:val="auto"/>
        </w:rPr>
        <w:t>7.2.2. to make any provision with respect to matters or questions relating to the Series A Preferred Stock that is not inconsistent with the provisions of this Certificate of Designations and that does not adversely affect the rights, preferences, privileges or voting powers of the Series A Preferred Stock or any Holder; or</w:t>
      </w:r>
    </w:p>
    <w:p>
      <w:pPr>
        <w:spacing w:after="0" w:line="153" w:lineRule="exact"/>
        <w:rPr>
          <w:sz w:val="20"/>
          <w:szCs w:val="20"/>
          <w:color w:val="auto"/>
        </w:rPr>
      </w:pPr>
    </w:p>
    <w:p>
      <w:pPr>
        <w:jc w:val="both"/>
        <w:ind w:firstLine="1944"/>
        <w:spacing w:after="0" w:line="231" w:lineRule="auto"/>
        <w:rPr>
          <w:sz w:val="20"/>
          <w:szCs w:val="20"/>
          <w:color w:val="auto"/>
        </w:rPr>
      </w:pPr>
      <w:r>
        <w:rPr>
          <w:rFonts w:ascii="Times New Roman" w:cs="Times New Roman" w:eastAsia="Times New Roman" w:hAnsi="Times New Roman"/>
          <w:sz w:val="21"/>
          <w:szCs w:val="21"/>
          <w:color w:val="auto"/>
        </w:rPr>
        <w:t xml:space="preserve">7.2.3. to make any other change that does not adversely affect the rights, preferences, privileges or voting powers of the Series A Preferred Stock or any Holder (other than any Holder that consents to such change);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the Corporation shall provide each Holder with notice of any amendment, alteration, supplement or repeal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any terms of the Restated Certificate prior to the approval of any such amendment, alteration, supplement or repeal.</w:t>
      </w:r>
    </w:p>
    <w:p>
      <w:pPr>
        <w:spacing w:after="0" w:line="150" w:lineRule="exact"/>
        <w:rPr>
          <w:sz w:val="20"/>
          <w:szCs w:val="20"/>
          <w:color w:val="auto"/>
        </w:rPr>
      </w:pPr>
    </w:p>
    <w:p>
      <w:pPr>
        <w:jc w:val="both"/>
        <w:ind w:firstLine="1377"/>
        <w:spacing w:after="0" w:line="220" w:lineRule="auto"/>
        <w:rPr>
          <w:sz w:val="20"/>
          <w:szCs w:val="20"/>
          <w:color w:val="auto"/>
        </w:rPr>
      </w:pPr>
      <w:r>
        <w:rPr>
          <w:rFonts w:ascii="Times New Roman" w:cs="Times New Roman" w:eastAsia="Times New Roman" w:hAnsi="Times New Roman"/>
          <w:sz w:val="22"/>
          <w:szCs w:val="22"/>
          <w:color w:val="auto"/>
        </w:rPr>
        <w:t>7.3. Prior to the close of the Business Day on the applicable Conversion Date, the shares of Common Stock issuable upon conversion of the Series A Preferred Stock shall not be deemed to be outstanding and Holders shall have no voting rights with respect to such shares of Common Stock solely by virtue of holding the Series A Preferred Stock.</w:t>
      </w:r>
    </w:p>
    <w:p>
      <w:pPr>
        <w:spacing w:after="0" w:line="152" w:lineRule="exact"/>
        <w:rPr>
          <w:sz w:val="20"/>
          <w:szCs w:val="20"/>
          <w:color w:val="auto"/>
        </w:rPr>
      </w:pPr>
    </w:p>
    <w:p>
      <w:pPr>
        <w:jc w:val="both"/>
        <w:ind w:firstLine="1377"/>
        <w:spacing w:after="0" w:line="236" w:lineRule="auto"/>
        <w:rPr>
          <w:sz w:val="20"/>
          <w:szCs w:val="20"/>
          <w:color w:val="auto"/>
        </w:rPr>
      </w:pPr>
      <w:r>
        <w:rPr>
          <w:rFonts w:ascii="Times New Roman" w:cs="Times New Roman" w:eastAsia="Times New Roman" w:hAnsi="Times New Roman"/>
          <w:sz w:val="22"/>
          <w:szCs w:val="22"/>
          <w:color w:val="auto"/>
        </w:rPr>
        <w:t>7.4. In exercising the voting rights set forth in Section 7.1, each share of Series A Preferred Stock shall be entitled to one vote.</w:t>
      </w:r>
    </w:p>
    <w:p>
      <w:pPr>
        <w:spacing w:after="0" w:line="150" w:lineRule="exact"/>
        <w:rPr>
          <w:sz w:val="20"/>
          <w:szCs w:val="20"/>
          <w:color w:val="auto"/>
        </w:rPr>
      </w:pPr>
    </w:p>
    <w:p>
      <w:pPr>
        <w:jc w:val="both"/>
        <w:ind w:firstLine="1377"/>
        <w:spacing w:after="0" w:line="212" w:lineRule="auto"/>
        <w:rPr>
          <w:sz w:val="20"/>
          <w:szCs w:val="20"/>
          <w:color w:val="auto"/>
        </w:rPr>
      </w:pPr>
      <w:r>
        <w:rPr>
          <w:rFonts w:ascii="Times New Roman" w:cs="Times New Roman" w:eastAsia="Times New Roman" w:hAnsi="Times New Roman"/>
          <w:sz w:val="22"/>
          <w:szCs w:val="22"/>
          <w:color w:val="auto"/>
        </w:rPr>
        <w:t>7.5. The rules and procedures for calling and conducting any meeting of the Holders (including, without limitation, the fixing of a record date in connection therewith), the solicitation and use of proxies at such a meeting, the obtaining of written consents and any other procedural aspect or matter with regard to such a meeting or such consents shall be governed by any rules the Board of Directors, in its discretion, may adopt from time to time, which rules and procedures shall conform to the requirements of the Restated Certificate, the Bylaws, applicable Law and the rules of any National Securities Exchange on which the Series A Preferred Stock is listed or traded at the applicable time of such meeting or vote. For the avoidance of doubt, no provision of this Certificate of Designations shall obligate the Corporation to list the Series A Preferred Stock on any National Securities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580"/>
          </w:cols>
          <w:pgMar w:left="980" w:top="1395" w:right="339" w:bottom="1440" w:gutter="0" w:footer="0" w:header="0"/>
        </w:sectPr>
      </w:pPr>
    </w:p>
    <w:bookmarkStart w:id="15" w:name="page16"/>
    <w:bookmarkEnd w:id="15"/>
    <w:p>
      <w:pPr>
        <w:ind w:left="1300" w:hanging="656"/>
        <w:spacing w:after="0"/>
        <w:tabs>
          <w:tab w:leader="none" w:pos="13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Mandatory, Automatic Conversion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944"/>
        <w:spacing w:after="0" w:line="217" w:lineRule="auto"/>
        <w:rPr>
          <w:sz w:val="20"/>
          <w:szCs w:val="20"/>
          <w:color w:val="auto"/>
        </w:rPr>
      </w:pPr>
      <w:r>
        <w:rPr>
          <w:rFonts w:ascii="Times New Roman" w:cs="Times New Roman" w:eastAsia="Times New Roman" w:hAnsi="Times New Roman"/>
          <w:sz w:val="22"/>
          <w:szCs w:val="22"/>
          <w:color w:val="auto"/>
        </w:rPr>
        <w:t>8.1.1. Beginning on or after the Mandatory Pricing Date, if (i) the VWAP is at least two and one-half times the Conversion Price for any 90 Trading Days during any 120 consecutive Trading Day period, which 120-Trading Day period may commence (but not end) prior to the Mandatory Pricing Date, and (ii) the Information Statement Condition has been satisfied, then the Corporation may, at its option, cause all outstanding Series A Preferred Stock to be automatically converted into shares of Common Stock at the Conversion Ratio.</w:t>
      </w:r>
    </w:p>
    <w:p>
      <w:pPr>
        <w:spacing w:after="0" w:line="152" w:lineRule="exact"/>
        <w:rPr>
          <w:sz w:val="20"/>
          <w:szCs w:val="20"/>
          <w:color w:val="auto"/>
        </w:rPr>
      </w:pPr>
    </w:p>
    <w:p>
      <w:pPr>
        <w:jc w:val="both"/>
        <w:ind w:firstLine="1944"/>
        <w:spacing w:after="0" w:line="210" w:lineRule="auto"/>
        <w:rPr>
          <w:sz w:val="20"/>
          <w:szCs w:val="20"/>
          <w:color w:val="auto"/>
        </w:rPr>
      </w:pPr>
      <w:r>
        <w:rPr>
          <w:rFonts w:ascii="Times New Roman" w:cs="Times New Roman" w:eastAsia="Times New Roman" w:hAnsi="Times New Roman"/>
          <w:sz w:val="22"/>
          <w:szCs w:val="22"/>
          <w:color w:val="auto"/>
        </w:rPr>
        <w:t>8.1.2. To convert shares of Series A Preferred Stock into shares of Common Stock pursuant to this Section 8.1, the Corporation shall give written notice (the “</w:t>
      </w:r>
      <w:r>
        <w:rPr>
          <w:rFonts w:ascii="Times New Roman" w:cs="Times New Roman" w:eastAsia="Times New Roman" w:hAnsi="Times New Roman"/>
          <w:sz w:val="22"/>
          <w:szCs w:val="22"/>
          <w:u w:val="single" w:color="auto"/>
          <w:color w:val="auto"/>
        </w:rPr>
        <w:t>Corporation Conversion Notice</w:t>
      </w:r>
      <w:r>
        <w:rPr>
          <w:rFonts w:ascii="Times New Roman" w:cs="Times New Roman" w:eastAsia="Times New Roman" w:hAnsi="Times New Roman"/>
          <w:sz w:val="22"/>
          <w:szCs w:val="22"/>
          <w:color w:val="auto"/>
        </w:rPr>
        <w:t>” and the date of such notice, the “</w:t>
      </w:r>
      <w:r>
        <w:rPr>
          <w:rFonts w:ascii="Times New Roman" w:cs="Times New Roman" w:eastAsia="Times New Roman" w:hAnsi="Times New Roman"/>
          <w:sz w:val="22"/>
          <w:szCs w:val="22"/>
          <w:u w:val="single" w:color="auto"/>
          <w:color w:val="auto"/>
        </w:rPr>
        <w:t>Corporation Conversion Notice Date</w:t>
      </w:r>
      <w:r>
        <w:rPr>
          <w:rFonts w:ascii="Times New Roman" w:cs="Times New Roman" w:eastAsia="Times New Roman" w:hAnsi="Times New Roman"/>
          <w:sz w:val="22"/>
          <w:szCs w:val="22"/>
          <w:color w:val="auto"/>
        </w:rPr>
        <w:t>”) to each Holder stating that the Corporation elects to force conversion of such shares of Series A Preferred Stock pursuant to this Section 8.1, and shall state therein (A) the number of shares of Series A Preferred Stock to be converted and (B) the Corporation’s computation of the number of shares of Common Stock to be received by such Holder. Each Holder shall be required to confirm agreement with the information set forth in the Corporation Conversion Notice within five Business Days of receipt by such Holder of the Corporation Conversion Notice in accordance with Section 9. If the Corporation validly delivers a Corporation Conversion Notice in accordance with this Section 8.1.2 and each Holder confirms agreement with the information set forth in the Corporation Conversion Notice within the requisite time, the Corporation shall issue the shares of Common Stock as soon as reasonably practicable, but in no event later than five Business Days thereafter (the date of issuance of such shares,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Conversion Date</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1300"/>
        <w:spacing w:after="0"/>
        <w:tabs>
          <w:tab w:leader="none" w:pos="182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u w:val="single" w:color="auto"/>
          <w:color w:val="auto"/>
        </w:rPr>
        <w:t>Optional Conversion</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944"/>
        <w:spacing w:after="0" w:line="225" w:lineRule="auto"/>
        <w:rPr>
          <w:sz w:val="20"/>
          <w:szCs w:val="20"/>
          <w:color w:val="auto"/>
        </w:rPr>
      </w:pPr>
      <w:r>
        <w:rPr>
          <w:rFonts w:ascii="Times New Roman" w:cs="Times New Roman" w:eastAsia="Times New Roman" w:hAnsi="Times New Roman"/>
          <w:sz w:val="22"/>
          <w:szCs w:val="22"/>
          <w:color w:val="auto"/>
        </w:rPr>
        <w:t>8.2.1. At any time on or after the Optional Conversion Date, at the written election of a Holder in its sole discretion, the shares of Series A Preferred Stock held by such Holder may be converted, in whole or in part, into the number of shares of Common Stock at the Conversion Ratio.</w:t>
      </w:r>
    </w:p>
    <w:p>
      <w:pPr>
        <w:spacing w:after="0" w:line="152" w:lineRule="exact"/>
        <w:rPr>
          <w:sz w:val="20"/>
          <w:szCs w:val="20"/>
          <w:color w:val="auto"/>
        </w:rPr>
      </w:pPr>
    </w:p>
    <w:p>
      <w:pPr>
        <w:jc w:val="both"/>
        <w:ind w:firstLine="1944"/>
        <w:spacing w:after="0" w:line="210" w:lineRule="auto"/>
        <w:rPr>
          <w:sz w:val="20"/>
          <w:szCs w:val="20"/>
          <w:color w:val="auto"/>
        </w:rPr>
      </w:pPr>
      <w:r>
        <w:rPr>
          <w:rFonts w:ascii="Times New Roman" w:cs="Times New Roman" w:eastAsia="Times New Roman" w:hAnsi="Times New Roman"/>
          <w:sz w:val="22"/>
          <w:szCs w:val="22"/>
          <w:color w:val="auto"/>
        </w:rPr>
        <w:t>8.2.2. To convert shares of Series A Preferred Stock into shares of Common Stock pursuant to this Section 8.2, such Holder shall give written notice (the “</w:t>
      </w:r>
      <w:r>
        <w:rPr>
          <w:rFonts w:ascii="Times New Roman" w:cs="Times New Roman" w:eastAsia="Times New Roman" w:hAnsi="Times New Roman"/>
          <w:sz w:val="22"/>
          <w:szCs w:val="22"/>
          <w:u w:val="single" w:color="auto"/>
          <w:color w:val="auto"/>
        </w:rPr>
        <w:t>Holder Conversion Notice</w:t>
      </w:r>
      <w:r>
        <w:rPr>
          <w:rFonts w:ascii="Times New Roman" w:cs="Times New Roman" w:eastAsia="Times New Roman" w:hAnsi="Times New Roman"/>
          <w:sz w:val="22"/>
          <w:szCs w:val="22"/>
          <w:color w:val="auto"/>
        </w:rPr>
        <w:t>” and the date of such notice, the “</w:t>
      </w:r>
      <w:r>
        <w:rPr>
          <w:rFonts w:ascii="Times New Roman" w:cs="Times New Roman" w:eastAsia="Times New Roman" w:hAnsi="Times New Roman"/>
          <w:sz w:val="22"/>
          <w:szCs w:val="22"/>
          <w:u w:val="single" w:color="auto"/>
          <w:color w:val="auto"/>
        </w:rPr>
        <w:t>Holder Conversion Notice Date</w:t>
      </w:r>
      <w:r>
        <w:rPr>
          <w:rFonts w:ascii="Times New Roman" w:cs="Times New Roman" w:eastAsia="Times New Roman" w:hAnsi="Times New Roman"/>
          <w:sz w:val="22"/>
          <w:szCs w:val="22"/>
          <w:color w:val="auto"/>
        </w:rPr>
        <w:t>”) to the Corporation on or after the Optional Conversion Date stating that such Holder elects to so convert shares of Series A Preferred Stock and shall state therein: (A) the number of shares of Series A Preferred Stock to be converted by such Holder, (B) the name or names in which such Holder wishes the shares of Common Stock to be issued and (C) such Holder’s computation of the number of shares of Common Stock to be received by such Holder. If a Holder validly delivers a Holder Conversion Notice in accordance with this Section 8.2.2, the Corporation shall issue the shares of Common Stock as soon as reasonably practicable, but in no event later than five Business Days thereafter (the date of issuance of such shares, the “</w:t>
      </w:r>
      <w:r>
        <w:rPr>
          <w:rFonts w:ascii="Times New Roman" w:cs="Times New Roman" w:eastAsia="Times New Roman" w:hAnsi="Times New Roman"/>
          <w:sz w:val="22"/>
          <w:szCs w:val="22"/>
          <w:u w:val="single" w:color="auto"/>
          <w:color w:val="auto"/>
        </w:rPr>
        <w:t>Holder Conversion Date</w:t>
      </w:r>
      <w:r>
        <w:rPr>
          <w:rFonts w:ascii="Times New Roman" w:cs="Times New Roman" w:eastAsia="Times New Roman" w:hAnsi="Times New Roman"/>
          <w:sz w:val="22"/>
          <w:szCs w:val="22"/>
          <w:color w:val="auto"/>
        </w:rPr>
        <w:t>”). Such Holder shall, as soon as reasonably practicable thereafter, surrender the certificates representing such shares at the office of the Corporation or any Transfer Agent for the Series A Preferred Stock.</w:t>
      </w:r>
    </w:p>
    <w:p>
      <w:pPr>
        <w:spacing w:after="0" w:line="157"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Form of Issuance</w:t>
      </w:r>
      <w:r>
        <w:rPr>
          <w:rFonts w:ascii="Times New Roman" w:cs="Times New Roman" w:eastAsia="Times New Roman" w:hAnsi="Times New Roman"/>
          <w:sz w:val="22"/>
          <w:szCs w:val="22"/>
          <w:color w:val="auto"/>
        </w:rPr>
        <w:t>. Provided the Corporation’s Common Stock Transfer Agent is participating in the Depository Trust Company (“</w:t>
      </w:r>
      <w:r>
        <w:rPr>
          <w:rFonts w:ascii="Times New Roman" w:cs="Times New Roman" w:eastAsia="Times New Roman" w:hAnsi="Times New Roman"/>
          <w:sz w:val="22"/>
          <w:szCs w:val="22"/>
          <w:u w:val="single" w:color="auto"/>
          <w:color w:val="auto"/>
        </w:rPr>
        <w:t>DTC</w:t>
      </w:r>
      <w:r>
        <w:rPr>
          <w:rFonts w:ascii="Times New Roman" w:cs="Times New Roman" w:eastAsia="Times New Roman" w:hAnsi="Times New Roman"/>
          <w:sz w:val="22"/>
          <w:szCs w:val="22"/>
          <w:color w:val="auto"/>
        </w:rPr>
        <w:t>”) Fast Automated Securities Transfer program, the applicable Conversion Notice may specify,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580"/>
          </w:cols>
          <w:pgMar w:left="980" w:top="1395" w:right="339" w:bottom="1440" w:gutter="0" w:footer="0" w:header="0"/>
        </w:sectPr>
      </w:pPr>
    </w:p>
    <w:bookmarkStart w:id="16" w:name="page17"/>
    <w:bookmarkEnd w:id="16"/>
    <w:p>
      <w:pPr>
        <w:jc w:val="both"/>
        <w:ind w:left="4"/>
        <w:spacing w:after="0" w:line="220" w:lineRule="auto"/>
        <w:rPr>
          <w:sz w:val="20"/>
          <w:szCs w:val="20"/>
          <w:color w:val="auto"/>
        </w:rPr>
      </w:pPr>
      <w:r>
        <w:rPr>
          <w:rFonts w:ascii="Times New Roman" w:cs="Times New Roman" w:eastAsia="Times New Roman" w:hAnsi="Times New Roman"/>
          <w:sz w:val="22"/>
          <w:szCs w:val="22"/>
          <w:color w:val="auto"/>
        </w:rPr>
        <w:t>permitted by the Corporation in its sole discretion, whether the applicable shares of Common Stock issuable upon conversion of Series A Preferred Stock shall be credited to the account of the applicable Holder’s bank, broker or nominee with DTC through its Deposit/Withdrawal At Custodian system (a “</w:t>
      </w:r>
      <w:r>
        <w:rPr>
          <w:rFonts w:ascii="Times New Roman" w:cs="Times New Roman" w:eastAsia="Times New Roman" w:hAnsi="Times New Roman"/>
          <w:sz w:val="22"/>
          <w:szCs w:val="22"/>
          <w:u w:val="single" w:color="auto"/>
          <w:color w:val="auto"/>
        </w:rPr>
        <w:t>DWAC Delivery</w:t>
      </w:r>
      <w:r>
        <w:rPr>
          <w:rFonts w:ascii="Times New Roman" w:cs="Times New Roman" w:eastAsia="Times New Roman" w:hAnsi="Times New Roman"/>
          <w:sz w:val="22"/>
          <w:szCs w:val="22"/>
          <w:color w:val="auto"/>
          <w:highlight w:val="white"/>
        </w:rPr>
        <w:t>”) or credited in book-entry</w:t>
      </w:r>
      <w:r>
        <w:rPr>
          <w:rFonts w:ascii="Times New Roman" w:cs="Times New Roman" w:eastAsia="Times New Roman" w:hAnsi="Times New Roman"/>
          <w:sz w:val="22"/>
          <w:szCs w:val="22"/>
          <w:color w:val="auto"/>
        </w:rPr>
        <w:t xml:space="preserve"> form on the register of the Corporation’s Common Stock Transfer Agent.</w:t>
      </w:r>
    </w:p>
    <w:p>
      <w:pPr>
        <w:spacing w:after="0" w:line="152" w:lineRule="exact"/>
        <w:rPr>
          <w:sz w:val="20"/>
          <w:szCs w:val="20"/>
          <w:color w:val="auto"/>
        </w:rPr>
      </w:pPr>
    </w:p>
    <w:p>
      <w:pPr>
        <w:jc w:val="both"/>
        <w:ind w:left="4" w:firstLine="1296"/>
        <w:spacing w:after="0" w:line="211"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Rights and Ownership</w:t>
      </w:r>
      <w:r>
        <w:rPr>
          <w:rFonts w:ascii="Times New Roman" w:cs="Times New Roman" w:eastAsia="Times New Roman" w:hAnsi="Times New Roman"/>
          <w:sz w:val="22"/>
          <w:szCs w:val="22"/>
          <w:color w:val="auto"/>
        </w:rPr>
        <w:t>. Immediately prior to the close of business on the Holder Conversion Date or the Corporation Conversion Date, as applicable, with respect to a conversion, a Holder shall be deemed to be the holder of record of Common Stock issuable upon conversion of such Holder’s shares of Series A Preferred Stock notwithstanding that the share register of the Corporation shall then be closed or that certificates representing such Common Stock shall not then be actually delivered to such Holder. On the Holder Conversion Date or the Corporation Conversion Date, as applicable, dividends shall cease to accrue on the shares of Series A Preferred Stock so converted and all other rights with respect to the shares of Preferred Stock so converted, including the rights, if any, to receive notices, will terminate, except only the rights of Holders thereof to receive the number of whole, fully paid and non-assessable shares of Common Stock into which such shares of Series A Preferred Stock have been converted.</w:t>
      </w:r>
    </w:p>
    <w:p>
      <w:pPr>
        <w:spacing w:after="0" w:line="158" w:lineRule="exact"/>
        <w:rPr>
          <w:sz w:val="20"/>
          <w:szCs w:val="20"/>
          <w:color w:val="auto"/>
        </w:rPr>
      </w:pPr>
    </w:p>
    <w:p>
      <w:pPr>
        <w:jc w:val="both"/>
        <w:ind w:left="4" w:firstLine="1296"/>
        <w:spacing w:after="0" w:line="225"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Fractional Shares</w:t>
      </w:r>
      <w:r>
        <w:rPr>
          <w:rFonts w:ascii="Times New Roman" w:cs="Times New Roman" w:eastAsia="Times New Roman" w:hAnsi="Times New Roman"/>
          <w:sz w:val="22"/>
          <w:szCs w:val="22"/>
          <w:color w:val="auto"/>
        </w:rPr>
        <w:t>. No fractional shares or scrip representing fractional shares shall be issued upon the conversion of the Series A Preferred Stock. As to any fraction of a share which a Holder would otherwise be entitled to purchase upon such conversion, the Corporation shall round up to the next whole share.</w:t>
      </w:r>
    </w:p>
    <w:p>
      <w:pPr>
        <w:spacing w:after="0" w:line="153" w:lineRule="exact"/>
        <w:rPr>
          <w:sz w:val="20"/>
          <w:szCs w:val="20"/>
          <w:color w:val="auto"/>
        </w:rPr>
      </w:pPr>
    </w:p>
    <w:p>
      <w:pPr>
        <w:jc w:val="both"/>
        <w:ind w:left="4" w:firstLine="1296"/>
        <w:spacing w:after="0" w:line="212"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u w:val="single" w:color="auto"/>
          <w:color w:val="auto"/>
        </w:rPr>
        <w:t>Transfer Taxes and Expenses</w:t>
      </w:r>
      <w:r>
        <w:rPr>
          <w:rFonts w:ascii="Times New Roman" w:cs="Times New Roman" w:eastAsia="Times New Roman" w:hAnsi="Times New Roman"/>
          <w:sz w:val="22"/>
          <w:szCs w:val="22"/>
          <w:color w:val="auto"/>
        </w:rPr>
        <w:t>. The issuance of certificates for shares of the Common Stock on conversion of Series A Preferred Stock shall be made without charge to the Holders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Holders of such shares of Series A Preferred Stock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156" w:lineRule="exact"/>
        <w:rPr>
          <w:sz w:val="20"/>
          <w:szCs w:val="20"/>
          <w:color w:val="auto"/>
        </w:rPr>
      </w:pPr>
    </w:p>
    <w:p>
      <w:pPr>
        <w:jc w:val="both"/>
        <w:ind w:left="4" w:firstLine="1296"/>
        <w:spacing w:after="0" w:line="220" w:lineRule="auto"/>
        <w:rPr>
          <w:sz w:val="20"/>
          <w:szCs w:val="20"/>
          <w:color w:val="auto"/>
        </w:rPr>
      </w:pPr>
      <w:r>
        <w:rPr>
          <w:rFonts w:ascii="Times New Roman" w:cs="Times New Roman" w:eastAsia="Times New Roman" w:hAnsi="Times New Roman"/>
          <w:sz w:val="22"/>
          <w:szCs w:val="22"/>
          <w:color w:val="auto"/>
        </w:rPr>
        <w:t xml:space="preserve">8.7. </w:t>
      </w:r>
      <w:r>
        <w:rPr>
          <w:rFonts w:ascii="Times New Roman" w:cs="Times New Roman" w:eastAsia="Times New Roman" w:hAnsi="Times New Roman"/>
          <w:sz w:val="22"/>
          <w:szCs w:val="22"/>
          <w:u w:val="single" w:color="auto"/>
          <w:color w:val="auto"/>
        </w:rPr>
        <w:t>Information Statement</w:t>
      </w:r>
      <w:r>
        <w:rPr>
          <w:rFonts w:ascii="Times New Roman" w:cs="Times New Roman" w:eastAsia="Times New Roman" w:hAnsi="Times New Roman"/>
          <w:sz w:val="22"/>
          <w:szCs w:val="22"/>
          <w:color w:val="auto"/>
        </w:rPr>
        <w:t>. The Company shall prepare and send the Information Statement to its stockholders in a manner consistent with the requirements set forth under Rule 14c-2 under the Exchange Act as soon as practicable following the Issuance Date and file a preliminary Information Statement with the Securities and Exchange Commission no later than ten (10) Business Days following the Issuance Date.</w:t>
      </w:r>
    </w:p>
    <w:p>
      <w:pPr>
        <w:spacing w:after="0" w:line="152" w:lineRule="exact"/>
        <w:rPr>
          <w:sz w:val="20"/>
          <w:szCs w:val="20"/>
          <w:color w:val="auto"/>
        </w:rPr>
      </w:pPr>
    </w:p>
    <w:p>
      <w:pPr>
        <w:jc w:val="both"/>
        <w:ind w:left="4" w:firstLine="644"/>
        <w:spacing w:after="0" w:line="209" w:lineRule="auto"/>
        <w:tabs>
          <w:tab w:leader="none" w:pos="130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instructions and other communications hereunder or in connection herewith shall be in writing, shall be sent to the address of the relevant party set forth in the applicable Purchase Agreement. Any such notice, instruction or communication shall be deemed to have been delivered upon the earlier of actual receipt, or (a) personal delivery to the party to be notified, (b) when sent, if sent by electronic mail prior to 5:00 p.m. local time of the recipient, and if not sent prior to 5:00 p.m. local time of the recipient, then on the recipient’s next Business Day, (c) five</w:t>
      </w:r>
    </w:p>
    <w:p>
      <w:pPr>
        <w:spacing w:after="0" w:line="2" w:lineRule="exact"/>
        <w:rPr>
          <w:rFonts w:ascii="Times New Roman" w:cs="Times New Roman" w:eastAsia="Times New Roman" w:hAnsi="Times New Roman"/>
          <w:sz w:val="22"/>
          <w:szCs w:val="22"/>
          <w:color w:val="auto"/>
        </w:rPr>
      </w:pPr>
    </w:p>
    <w:p>
      <w:pPr>
        <w:jc w:val="both"/>
        <w:ind w:left="4" w:hanging="4"/>
        <w:spacing w:after="0" w:line="212" w:lineRule="auto"/>
        <w:tabs>
          <w:tab w:leader="none" w:pos="33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having been sent by registered or certified mail, return receipt requested, postage prepaid, or (d) one (1) Business Day after deposit with a nationally recognized overnight courier, freight prepaid, specifying next business day delivery, with written verification of receipt. Upon receipt or delivery by the Corporation of any notice in accordance with this Section 9, unless the Corporation has in good faith determined that the matters relating to such notice do not constitute material, nonpublic information relating to the Corporation,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584"/>
          </w:cols>
          <w:pgMar w:left="976" w:top="1395" w:right="339" w:bottom="1440" w:gutter="0" w:footer="0" w:header="0"/>
        </w:sectPr>
      </w:pPr>
    </w:p>
    <w:bookmarkStart w:id="17" w:name="page18"/>
    <w:bookmarkEnd w:id="17"/>
    <w:p>
      <w:pPr>
        <w:jc w:val="both"/>
        <w:spacing w:after="0" w:line="217" w:lineRule="auto"/>
        <w:rPr>
          <w:sz w:val="20"/>
          <w:szCs w:val="20"/>
          <w:color w:val="auto"/>
        </w:rPr>
      </w:pPr>
      <w:r>
        <w:rPr>
          <w:rFonts w:ascii="Times New Roman" w:cs="Times New Roman" w:eastAsia="Times New Roman" w:hAnsi="Times New Roman"/>
          <w:sz w:val="22"/>
          <w:szCs w:val="22"/>
          <w:color w:val="auto"/>
        </w:rPr>
        <w:t>Corporation shall indicate to the Holders contemporaneously with delivery of such notice that the Holders may possess material, non-public information relating to the Corporation or any of its securities, and the Corporation shall use commercially reasonable efforts to publicly disclose such material, non-public information. In the absence of any such indication, the Holders shall be allowed to presume that all matters relating to such notice do not constitute material, nonpublic information relating to the Corporation or any of its securities.</w:t>
      </w:r>
    </w:p>
    <w:p>
      <w:pPr>
        <w:spacing w:after="0" w:line="152" w:lineRule="exact"/>
        <w:rPr>
          <w:sz w:val="20"/>
          <w:szCs w:val="20"/>
          <w:color w:val="auto"/>
        </w:rPr>
      </w:pPr>
    </w:p>
    <w:p>
      <w:pPr>
        <w:ind w:left="1300" w:hanging="656"/>
        <w:spacing w:after="0"/>
        <w:tabs>
          <w:tab w:leader="none" w:pos="13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Uncertificated Shares; Transfers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Form</w:t>
      </w:r>
      <w:r>
        <w:rPr>
          <w:rFonts w:ascii="Times New Roman" w:cs="Times New Roman" w:eastAsia="Times New Roman" w:hAnsi="Times New Roman"/>
          <w:sz w:val="22"/>
          <w:szCs w:val="22"/>
          <w:color w:val="auto"/>
        </w:rPr>
        <w:t>. Notwithstanding anything to the contrary herein, the shares of Series A Preferred Stock and any shares of Common Stock issued upon conversion thereof shall be in uncertificated, book entry form as permitted by the Bylaws and the Delaware General Corporation Law. Within a reasonable time after the issuance or transfer of uncertificated shares, the Corporation shall, or shall cause the Transfer Agent to, send to the registered owner thereof an Ownership Notice.</w:t>
      </w:r>
    </w:p>
    <w:p>
      <w:pPr>
        <w:spacing w:after="0" w:line="15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1"/>
          <w:szCs w:val="21"/>
          <w:u w:val="single" w:color="auto"/>
          <w:color w:val="auto"/>
        </w:rPr>
        <w:t>Transfers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944"/>
        <w:spacing w:after="0" w:line="209" w:lineRule="auto"/>
        <w:rPr>
          <w:sz w:val="20"/>
          <w:szCs w:val="20"/>
          <w:color w:val="auto"/>
        </w:rPr>
      </w:pPr>
      <w:r>
        <w:rPr>
          <w:rFonts w:ascii="Times New Roman" w:cs="Times New Roman" w:eastAsia="Times New Roman" w:hAnsi="Times New Roman"/>
          <w:sz w:val="22"/>
          <w:szCs w:val="22"/>
          <w:color w:val="auto"/>
        </w:rPr>
        <w:t>10.2.1. The Holders shall not, without the prior approval of the Board or any authorized officer of the Corporation, which approval may be granted or withheld in the sole discretion of the Board or any such authorized officer, (i) offer, pledge, sell, contract to sell, sell any option or contract to purchase, purchase any option or contract to sell, grant any option, right or warrant to purchase, lend, assign, mortgage, encumber or otherwise transfer or dispose of, directly or indirectly, any shares of Series A Preferred Stock or (ii) enter into any swap or other arrangement that transfers to another, in whole or in part, directly or indirectly, any of the economic consequences of ownership of shares of Series A Preferred Stock, whether any such transaction described in clause (i) or (ii) above is to be settled by delivery of Common Stock of the Company, in cash or otherwise (each, a “</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other than by means of a Permitted Transfer. The foregoing restrictions shall not apply to any sale, disposition or transfer of shares of Common Stock underlying shares of Series A Preferred Stock. Any purported Transfer that violates this Section 10.2.1 shall be null and void and shall have no force and effect, and neither the Corporation nor the Transfer Agent shall register any such purported Transfer. The foregoing restrictions on Transfers shall lapse immediately prior to the voluntary or involuntary liquidation, dissolution, winding up or Deemed Liquidation Event of the Corporation.</w:t>
      </w:r>
    </w:p>
    <w:p>
      <w:pPr>
        <w:spacing w:after="0" w:line="160" w:lineRule="exact"/>
        <w:rPr>
          <w:sz w:val="20"/>
          <w:szCs w:val="20"/>
          <w:color w:val="auto"/>
        </w:rPr>
      </w:pPr>
    </w:p>
    <w:p>
      <w:pPr>
        <w:jc w:val="both"/>
        <w:ind w:firstLine="1944"/>
        <w:spacing w:after="0" w:line="211" w:lineRule="auto"/>
        <w:rPr>
          <w:sz w:val="20"/>
          <w:szCs w:val="20"/>
          <w:color w:val="auto"/>
        </w:rPr>
      </w:pPr>
      <w:r>
        <w:rPr>
          <w:rFonts w:ascii="Times New Roman" w:cs="Times New Roman" w:eastAsia="Times New Roman" w:hAnsi="Times New Roman"/>
          <w:sz w:val="22"/>
          <w:szCs w:val="22"/>
          <w:color w:val="auto"/>
        </w:rPr>
        <w:t>10.2.2. Permitted Transfers of Series A Preferred Stock or transfers of Common Stock issued upon conversion thereof shall be made only upon the transfer books of the Corporation kept at an office of the Transfer Agent upon receipt of proper transfer instructions from the registered owner of such uncertificated shares, or from a duly authorized attorney or from an individual presenting proper evidence of succession, assignment or authority to transfer the stock. The Corporation or Transfer Agent may refuse any requested transfer until furnished evidence satisfactory to it that such transfer is proper. The Corporation and the Transfer Agent may treat the Person in whose name any share of Series A Preferred Stock is duly registered on the register of the Transfer Agent as the owner for the purpose of receiving dividends as herein provided and for all other purposes, and neither the Corporation nor the Transfer Agent shall be affected by notice to the contrary.</w:t>
      </w:r>
    </w:p>
    <w:p>
      <w:pPr>
        <w:spacing w:after="0" w:line="158"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u w:val="single" w:color="auto"/>
          <w:color w:val="auto"/>
        </w:rPr>
        <w:t>Legends</w:t>
      </w:r>
      <w:r>
        <w:rPr>
          <w:rFonts w:ascii="Times New Roman" w:cs="Times New Roman" w:eastAsia="Times New Roman" w:hAnsi="Times New Roman"/>
          <w:sz w:val="22"/>
          <w:szCs w:val="22"/>
          <w:color w:val="auto"/>
        </w:rPr>
        <w:t>. Except as provided for in Section 8.2 with respect to shares of Common Stock issuable in a DWAC Delivery, each share of Series A Preferred Stock or any Common Stock issued upon the conversion of Preferred Stock shall bear a legend in substantially the following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580"/>
          </w:cols>
          <w:pgMar w:left="980" w:top="1395" w:right="339" w:bottom="1440" w:gutter="0" w:footer="0" w:header="0"/>
        </w:sectPr>
      </w:pPr>
    </w:p>
    <w:bookmarkStart w:id="18" w:name="page19"/>
    <w:bookmarkEnd w:id="18"/>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“THE SECURITIES IDENTIFIED HEREIN HAVE NOT BEEN REGISTERED UNDER THE SECURITIES ACT OF 1933, AS AMENDED (THE “SECURITIES ACT”), OR ANY STATE SECURITIES LAWS. NEITHER THESE SECURITIES NOR ANY INTEREST OR PARTICIPATION HEREIN MAY BE REOFFERED, SOLD, ASSIGNED, TRANSFERRED, PLEDGED, ENCUMBERED OR OTHERWISE DISPOSED OF IN THE ABSENCE OF SUCH REGISTRATION OR UNLESS SUCH TRANSACTION IS EXEMPT FROM, OR NOT SUBJECT TO, REGISTRATION.</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THE FOREGOING LEGEND WILL BE REMOVED AND A NEW OWNERSHIP NOTICE PROVIDED WITH RESPECT TO THE SECURITIES IDENTIFIED HEREIN UPON THE REQUEST OF THE HOLDER AFTER THE EXPIRATION OF THE APPLICABLE HOLDING PERIOD WITH RESPECT TO RESTRICTED SECURITIES SET FORTH IN RULE 144 UNDER THE SECURITIES ACT.</w:t>
      </w:r>
    </w:p>
    <w:p>
      <w:pPr>
        <w:spacing w:after="0" w:line="179"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SUBJECT TO THE TERMS AND CONDITIONS SET FORTH IN THE CERTIFICATE OF INCORPORATION OF SOUNDHOUND AI, INC. (THE “CORPORATION”), INCLUDING THE CERTIFICATES OF DESIGNATIONS INCLUDED THEREIN (AS FURTHER AMENDED AND RESTATED FROM TIME TO TIME, THE “CHARTER”). THE CORPORATION IS AUTHORIZED TO ISSUE MORE THAN ONE CLASS OF STOCK OR MORE THAN ONE SERIES OF ANY CLASS AND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THE SHARES EVIDENCED BY THIS NOTICE ARE SUBJECT TO THE OBLIGATIONS AND RESTRICTIONS STATED IN, AND ARE TRANSFERABLE ONLY IN ACCORDANCE WITH, THE PROVISIONS OF THE CHARTER. THE TERMS OF THE CHARTER ARE HEREBY INCORPORATED INTO THIS NOTICE BY REFERENCE.</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IN CONNECTION WITH ANY TRANSFER, THE HOLDER WILL DELIVER TO THE TRANSFER AGENT SUCH CERTIFICATES AND OTHER INFORMATION AS SUCH TRANSFER AGENT MAY REASONABLY REQUIRE TO CONFIRM THAT THE TRANSFER COMPLIES WITH THE FOREGOING RESTRICTIONS.”</w:t>
      </w:r>
    </w:p>
    <w:p>
      <w:pPr>
        <w:spacing w:after="0" w:line="179"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u w:val="single" w:color="auto"/>
          <w:color w:val="auto"/>
        </w:rPr>
        <w:t>Charges</w:t>
      </w:r>
      <w:r>
        <w:rPr>
          <w:rFonts w:ascii="Times New Roman" w:cs="Times New Roman" w:eastAsia="Times New Roman" w:hAnsi="Times New Roman"/>
          <w:sz w:val="22"/>
          <w:szCs w:val="22"/>
          <w:color w:val="auto"/>
        </w:rPr>
        <w:t>. No service charge shall be made to a Holder for any registration of transfer or exchange of any Series A Preferred Stock or Common Stock issued upon the conversion thereof on the transfer books of the Corporation or the Transfer Agent or upon surrender of any Series A Preferred Stock or Common Stock certificate or book-entry entitlements, as applicable, at the office of the Transfer Agent maintained for that purpose. However, the Corporation may require payment of a sum sufficient to cover any tax or other governmental charge that may be imposed in connection with any registration of transfer or exchange of Series A Preferred Stock or Common Stock if the Person receiving shares in connection with such transfer or exchange is not the holder thereof.</w:t>
      </w:r>
    </w:p>
    <w:p>
      <w:pPr>
        <w:spacing w:after="0" w:line="156"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u w:val="single" w:color="auto"/>
          <w:color w:val="auto"/>
        </w:rPr>
        <w:t>No Obligation of the Transfer Agent</w:t>
      </w:r>
      <w:r>
        <w:rPr>
          <w:rFonts w:ascii="Times New Roman" w:cs="Times New Roman" w:eastAsia="Times New Roman" w:hAnsi="Times New Roman"/>
          <w:sz w:val="22"/>
          <w:szCs w:val="22"/>
          <w:color w:val="auto"/>
        </w:rPr>
        <w:t>. The Transfer Agent shall have no obligation or duty to monitor, determine or inquire as to compliance with any restrictions on transfer imposed under this Certificate of Designations or under applicable Law with respect to any transfer of any interest in any Series A Preferred Stock other than to require delivery of such certificates and other documentation or evidence as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580"/>
          </w:cols>
          <w:pgMar w:left="980" w:top="1395" w:right="339" w:bottom="1440" w:gutter="0" w:footer="0" w:header="0"/>
        </w:sectPr>
      </w:pPr>
    </w:p>
    <w:bookmarkStart w:id="19" w:name="page20"/>
    <w:bookmarkEnd w:id="19"/>
    <w:p>
      <w:pPr>
        <w:ind w:right="20"/>
        <w:spacing w:after="0" w:line="236" w:lineRule="auto"/>
        <w:rPr>
          <w:sz w:val="20"/>
          <w:szCs w:val="20"/>
          <w:color w:val="auto"/>
        </w:rPr>
      </w:pPr>
      <w:r>
        <w:rPr>
          <w:rFonts w:ascii="Times New Roman" w:cs="Times New Roman" w:eastAsia="Times New Roman" w:hAnsi="Times New Roman"/>
          <w:sz w:val="22"/>
          <w:szCs w:val="22"/>
          <w:color w:val="auto"/>
        </w:rPr>
        <w:t>expressly required by, and to do so if and when expressly required by, the terms of this Certificate of Designations, and to examine the same to determine substantial compliance as to form with the express requirements hereof.</w:t>
      </w:r>
    </w:p>
    <w:p>
      <w:pPr>
        <w:spacing w:after="0" w:line="150" w:lineRule="exact"/>
        <w:rPr>
          <w:sz w:val="20"/>
          <w:szCs w:val="20"/>
          <w:color w:val="auto"/>
        </w:rPr>
      </w:pPr>
    </w:p>
    <w:p>
      <w:pPr>
        <w:jc w:val="both"/>
        <w:ind w:firstLine="644"/>
        <w:spacing w:after="0" w:line="211" w:lineRule="auto"/>
        <w:tabs>
          <w:tab w:leader="none" w:pos="128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Any waiver by the Corporation or the Holders of a breach of any provision of this Certificate of Designations shall not operate as or be construed to be a waiver of any other breach of such provision or of any breach of any other provision of this Certificate of Designations. The failure of the Corporation or the Holders to insist upon strict adherence to any term of this Certificate of Designations on one or more occasions shall not be considered a waiver or deprive that party of the right thereafter to insist upon strict adherence to that term or any other term of this Certificate of Designations on any other occasion. Any waiver by the Corporation or the Holders must be in writing. Notwithstanding any provision in this Certificate of Designations to the contrary, any provision contained herein and any rights of the Holders granted hereunder may be waived as to all shares of Series A Preferred Stock (and the Holders) upon the written consent of the Holders.</w:t>
      </w:r>
    </w:p>
    <w:p>
      <w:pPr>
        <w:spacing w:after="0" w:line="158" w:lineRule="exact"/>
        <w:rPr>
          <w:rFonts w:ascii="Times New Roman" w:cs="Times New Roman" w:eastAsia="Times New Roman" w:hAnsi="Times New Roman"/>
          <w:sz w:val="22"/>
          <w:szCs w:val="22"/>
          <w:color w:val="auto"/>
        </w:rPr>
      </w:pPr>
    </w:p>
    <w:p>
      <w:pPr>
        <w:jc w:val="both"/>
        <w:ind w:firstLine="644"/>
        <w:spacing w:after="0" w:line="225" w:lineRule="auto"/>
        <w:tabs>
          <w:tab w:leader="none" w:pos="129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Certificate of Designations is invalid, illegal or unenforceable, the balance of this Certificate of Designations shall remain in effect, and if any provision is inapplicable to any Person or circumstance, it shall nevertheless remain applicable to all other Persons and circumstances.</w:t>
      </w:r>
    </w:p>
    <w:p>
      <w:pPr>
        <w:spacing w:after="0" w:line="152" w:lineRule="exact"/>
        <w:rPr>
          <w:rFonts w:ascii="Times New Roman" w:cs="Times New Roman" w:eastAsia="Times New Roman" w:hAnsi="Times New Roman"/>
          <w:sz w:val="22"/>
          <w:szCs w:val="22"/>
          <w:color w:val="auto"/>
        </w:rPr>
      </w:pPr>
    </w:p>
    <w:p>
      <w:pPr>
        <w:jc w:val="both"/>
        <w:ind w:firstLine="644"/>
        <w:spacing w:after="0" w:line="227" w:lineRule="auto"/>
        <w:tabs>
          <w:tab w:leader="none" w:pos="1296"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Next Trading Day or Business Day</w:t>
      </w:r>
      <w:r>
        <w:rPr>
          <w:rFonts w:ascii="Times New Roman" w:cs="Times New Roman" w:eastAsia="Times New Roman" w:hAnsi="Times New Roman"/>
          <w:sz w:val="21"/>
          <w:szCs w:val="21"/>
          <w:color w:val="auto"/>
        </w:rPr>
        <w:t>. Whenever any payment or other obligation hereunder shall be due on a day other than a Trading Day or Business Day, such payment shall be made or such obligation shall be come due, as the case may be, on the next succeeding Trading Day or Business Day, as applicable. All payments required hereunder shall be made by wire transfer of immediately available funds in United States Dollars to the Holders in accordance with the payment instructions as such Holders may deliver by written notice to the Corporation from time to time.</w:t>
      </w:r>
    </w:p>
    <w:p>
      <w:pPr>
        <w:spacing w:after="0" w:line="153" w:lineRule="exact"/>
        <w:rPr>
          <w:rFonts w:ascii="Times New Roman" w:cs="Times New Roman" w:eastAsia="Times New Roman" w:hAnsi="Times New Roman"/>
          <w:sz w:val="21"/>
          <w:szCs w:val="21"/>
          <w:color w:val="auto"/>
        </w:rPr>
      </w:pPr>
    </w:p>
    <w:p>
      <w:pPr>
        <w:jc w:val="both"/>
        <w:ind w:firstLine="644"/>
        <w:spacing w:after="0" w:line="220" w:lineRule="auto"/>
        <w:tabs>
          <w:tab w:leader="none" w:pos="129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Converted or Redeemed Series A Preferred Stock</w:t>
      </w:r>
      <w:r>
        <w:rPr>
          <w:rFonts w:ascii="Times New Roman" w:cs="Times New Roman" w:eastAsia="Times New Roman" w:hAnsi="Times New Roman"/>
          <w:sz w:val="22"/>
          <w:szCs w:val="22"/>
          <w:color w:val="auto"/>
        </w:rPr>
        <w:t>. Shares of Series A Preferred Stock may only be issued pursuant to a Purchase Agreement. If any shares of Series A Preferred Stock shall be converted, redeemed or reacquired by the Corporation, such shares shall be deemed to be retired and cancelled and shall resume the status of authorized but unissued shares of Preferred Stock and shall no longer be designated as Series A Preferred Stock.</w:t>
      </w:r>
    </w:p>
    <w:p>
      <w:pPr>
        <w:spacing w:after="0" w:line="152" w:lineRule="exact"/>
        <w:rPr>
          <w:rFonts w:ascii="Times New Roman" w:cs="Times New Roman" w:eastAsia="Times New Roman" w:hAnsi="Times New Roman"/>
          <w:sz w:val="22"/>
          <w:szCs w:val="22"/>
          <w:color w:val="auto"/>
        </w:rPr>
      </w:pPr>
    </w:p>
    <w:p>
      <w:pPr>
        <w:ind w:left="1300" w:hanging="656"/>
        <w:spacing w:after="0"/>
        <w:tabs>
          <w:tab w:leader="none" w:pos="13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Provisions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15.1. With respect to any notice to a Holder required to be provided hereunder, neither failure to mail such notice, nor any defect therein or in the mailing thereof, to any particular Holder shall affect the sufficiency of the notice or the validity of the proceedings referred to in such notice with respect to the other Holders or affect the legality or validity of any vote upon any such action (assuming due and proper notice to such other Holders). Any notice which was mailed in the manner herein provided shall be conclusively presumed to have been duly given whether or not such Holder receives the notice.</w:t>
      </w:r>
    </w:p>
    <w:p>
      <w:pPr>
        <w:spacing w:after="0" w:line="15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15.2.</w:t>
      </w:r>
      <w:r>
        <w:rPr>
          <w:sz w:val="20"/>
          <w:szCs w:val="20"/>
          <w:color w:val="auto"/>
        </w:rPr>
        <w:tab/>
      </w:r>
      <w:r>
        <w:rPr>
          <w:rFonts w:ascii="Times New Roman" w:cs="Times New Roman" w:eastAsia="Times New Roman" w:hAnsi="Times New Roman"/>
          <w:sz w:val="21"/>
          <w:szCs w:val="21"/>
          <w:color w:val="auto"/>
        </w:rPr>
        <w:t>The shares of Series A Preferred Stock shall be issuable only in whole shares.</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15.3. Notwithstanding anything to the contrary herein, whenever the Board of Directors is permitted or required to determine fair market value, such determination shall be made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0580"/>
          </w:cols>
          <w:pgMar w:left="980" w:top="1395" w:right="339" w:bottom="1440" w:gutter="0" w:footer="0" w:header="0"/>
        </w:sectPr>
      </w:pPr>
    </w:p>
    <w:bookmarkStart w:id="20" w:name="page21"/>
    <w:bookmarkEnd w:id="20"/>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15.4. The Holders shall have no preemptive or preferential rights to purchase or subscribe to any stock, obligations, warrants or other securities of the Corporation of any class.</w:t>
      </w:r>
    </w:p>
    <w:p>
      <w:pPr>
        <w:spacing w:after="0" w:line="150"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auto"/>
        </w:rPr>
        <w:t>15.5. For U.S. federal and other applicable state and local income tax purposes, it is intended that the Series A Preferred Stock will not be treated as “preferred stock” within the meaning of Section 305(b)(4) of the Internal Revenue Code of 1986, as amended (the “Code”) and Treasury Regulations Section 1.305-5(a), and this Certificate is to be interpreted accordingly. If, for any reason, a Holder of Series A Preferred Stock would be, in the Company’s good faith determination, required to include a material amount of income as dividend income (within the purview of Sections 301(c)(1) and 316 of the Code) in respect of any Accrued Dividends for a Dividend Period by operation of Section 305(b) or (c) of the Code, then the Company shall, if permitted under agreements or instruments governing the Company’s indebtedness, make a Cash Dividend Election in respect of the Accrued Dividends for such Dividend Period.</w:t>
      </w:r>
    </w:p>
    <w:p>
      <w:pPr>
        <w:spacing w:after="0" w:line="40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0580"/>
          </w:cols>
          <w:pgMar w:left="980" w:top="1395" w:right="339" w:bottom="1440" w:gutter="0" w:footer="0" w:header="0"/>
        </w:sectPr>
      </w:pPr>
    </w:p>
    <w:bookmarkStart w:id="21" w:name="page22"/>
    <w:bookmarkEnd w:id="21"/>
    <w:p>
      <w:pPr>
        <w:ind w:left="1300"/>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Corporation has caused this Certificate to be signed this 20th day of January</w:t>
      </w:r>
    </w:p>
    <w:p>
      <w:pPr>
        <w:spacing w:after="0"/>
        <w:rPr>
          <w:sz w:val="20"/>
          <w:szCs w:val="20"/>
          <w:color w:val="auto"/>
        </w:rPr>
      </w:pPr>
      <w:r>
        <w:rPr>
          <w:rFonts w:ascii="Times New Roman" w:cs="Times New Roman" w:eastAsia="Times New Roman" w:hAnsi="Times New Roman"/>
          <w:sz w:val="22"/>
          <w:szCs w:val="22"/>
          <w:color w:val="auto"/>
        </w:rPr>
        <w:t>2023.</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SoundHound AI, Inc.</w:t>
      </w:r>
    </w:p>
    <w:p>
      <w:pPr>
        <w:spacing w:after="0" w:line="251" w:lineRule="exact"/>
        <w:rPr>
          <w:sz w:val="20"/>
          <w:szCs w:val="20"/>
          <w:color w:val="auto"/>
        </w:rPr>
      </w:pPr>
    </w:p>
    <w:p>
      <w:pPr>
        <w:jc w:val="center"/>
        <w:ind w:left="4600"/>
        <w:spacing w:after="0"/>
        <w:tabs>
          <w:tab w:leader="none" w:pos="3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Keyvan Mohajer</w:t>
      </w:r>
    </w:p>
    <w:p>
      <w:pPr>
        <w:spacing w:after="0" w:line="29" w:lineRule="exact"/>
        <w:rPr>
          <w:sz w:val="20"/>
          <w:szCs w:val="20"/>
          <w:color w:val="auto"/>
        </w:rPr>
      </w:pPr>
    </w:p>
    <w:tbl>
      <w:tblPr>
        <w:tblLayout w:type="fixed"/>
        <w:tblInd w:w="5280" w:type="dxa"/>
        <w:tblCellMar>
          <w:top w:w="0" w:type="dxa"/>
          <w:left w:w="0" w:type="dxa"/>
          <w:bottom w:w="0" w:type="dxa"/>
          <w:right w:w="0" w:type="dxa"/>
        </w:tblCellMar>
      </w:tblPr>
      <w:tr>
        <w:trPr>
          <w:trHeight w:val="251"/>
        </w:trPr>
        <w:tc>
          <w:tcPr>
            <w:tcW w:w="760" w:type="dxa"/>
            <w:vAlign w:val="bottom"/>
            <w:tcBorders>
              <w:top w:val="single" w:sz="8" w:color="auto"/>
            </w:tcBorders>
          </w:tcPr>
          <w:p>
            <w:pPr>
              <w:ind w:left="20"/>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5200" w:type="dxa"/>
            <w:vAlign w:val="bottom"/>
            <w:tcBorders>
              <w:top w:val="single" w:sz="8" w:color="auto"/>
            </w:tcBorders>
          </w:tcPr>
          <w:p>
            <w:pPr>
              <w:ind w:left="160"/>
              <w:spacing w:after="0" w:line="251" w:lineRule="exact"/>
              <w:rPr>
                <w:sz w:val="20"/>
                <w:szCs w:val="20"/>
                <w:color w:val="auto"/>
              </w:rPr>
            </w:pPr>
            <w:r>
              <w:rPr>
                <w:rFonts w:ascii="Times New Roman" w:cs="Times New Roman" w:eastAsia="Times New Roman" w:hAnsi="Times New Roman"/>
                <w:sz w:val="22"/>
                <w:szCs w:val="22"/>
                <w:color w:val="auto"/>
              </w:rPr>
              <w:t>Keyvan Mohajer</w:t>
            </w:r>
          </w:p>
        </w:tc>
      </w:tr>
      <w:tr>
        <w:trPr>
          <w:trHeight w:val="282"/>
        </w:trPr>
        <w:tc>
          <w:tcPr>
            <w:tcW w:w="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52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82" w:right="339" w:bottom="1440" w:gutter="0" w:footer="0" w:header="0"/>
        </w:sectPr>
      </w:pPr>
    </w:p>
    <w:bookmarkStart w:id="22" w:name="page23"/>
    <w:bookmarkEnd w:id="22"/>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PREFERRED STOCK PURCHASE AGREEMENT</w:t>
      </w:r>
    </w:p>
    <w:p>
      <w:pPr>
        <w:sectPr>
          <w:pgSz w:w="11900" w:h="16838" w:orient="portrait"/>
          <w:cols w:equalWidth="0" w:num="1">
            <w:col w:w="9019"/>
          </w:cols>
          <w:pgMar w:left="1440" w:top="1440" w:right="1440" w:bottom="1440" w:gutter="0" w:footer="0" w:header="0"/>
        </w:sectPr>
      </w:pPr>
    </w:p>
    <w:bookmarkStart w:id="23" w:name="page24"/>
    <w:bookmarkEnd w:id="23"/>
    <w:p>
      <w:pPr>
        <w:jc w:val="center"/>
        <w:ind w:left="585"/>
        <w:spacing w:after="0"/>
        <w:rPr>
          <w:sz w:val="20"/>
          <w:szCs w:val="20"/>
          <w:color w:val="auto"/>
        </w:rPr>
      </w:pPr>
      <w:r>
        <w:rPr>
          <w:rFonts w:ascii="Arial" w:cs="Arial" w:eastAsia="Arial" w:hAnsi="Arial"/>
          <w:sz w:val="17"/>
          <w:szCs w:val="17"/>
          <w:b w:val="1"/>
          <w:bCs w:val="1"/>
          <w:color w:val="auto"/>
        </w:rPr>
        <w:t>TABLE OF CONTENTS</w:t>
      </w:r>
    </w:p>
    <w:p>
      <w:pPr>
        <w:spacing w:after="0" w:line="385" w:lineRule="exact"/>
        <w:rPr>
          <w:sz w:val="20"/>
          <w:szCs w:val="20"/>
          <w:color w:val="auto"/>
        </w:rPr>
      </w:pPr>
    </w:p>
    <w:p>
      <w:pPr>
        <w:ind w:left="345" w:hanging="345"/>
        <w:spacing w:after="0"/>
        <w:tabs>
          <w:tab w:leader="none" w:pos="345" w:val="left"/>
        </w:tabs>
        <w:numPr>
          <w:ilvl w:val="0"/>
          <w:numId w:val="17"/>
        </w:numPr>
        <w:rPr>
          <w:rFonts w:ascii="Arial" w:cs="Arial" w:eastAsia="Arial" w:hAnsi="Arial"/>
          <w:sz w:val="18"/>
          <w:szCs w:val="18"/>
          <w:b w:val="1"/>
          <w:bCs w:val="1"/>
          <w:u w:val="single" w:color="auto"/>
          <w:color w:val="0563C1"/>
        </w:rPr>
      </w:pPr>
      <w:r>
        <w:rPr>
          <w:rFonts w:ascii="Arial" w:cs="Arial" w:eastAsia="Arial" w:hAnsi="Arial"/>
          <w:sz w:val="18"/>
          <w:szCs w:val="18"/>
          <w:b w:val="1"/>
          <w:bCs w:val="1"/>
          <w:u w:val="single" w:color="auto"/>
          <w:color w:val="0563C1"/>
        </w:rPr>
        <w:t>Defined Terms Used in this Agreement</w:t>
      </w:r>
    </w:p>
    <w:p>
      <w:pPr>
        <w:spacing w:after="0" w:line="39" w:lineRule="exact"/>
        <w:rPr>
          <w:rFonts w:ascii="Arial" w:cs="Arial" w:eastAsia="Arial" w:hAnsi="Arial"/>
          <w:sz w:val="18"/>
          <w:szCs w:val="18"/>
          <w:b w:val="1"/>
          <w:bCs w:val="1"/>
          <w:u w:val="single" w:color="auto"/>
          <w:color w:val="0563C1"/>
        </w:rPr>
      </w:pPr>
    </w:p>
    <w:p>
      <w:pPr>
        <w:jc w:val="both"/>
        <w:ind w:left="5" w:right="6240" w:hanging="5"/>
        <w:spacing w:after="0" w:line="289" w:lineRule="auto"/>
        <w:tabs>
          <w:tab w:leader="none" w:pos="355" w:val="left"/>
        </w:tabs>
        <w:numPr>
          <w:ilvl w:val="0"/>
          <w:numId w:val="17"/>
        </w:numPr>
        <w:rPr>
          <w:rFonts w:ascii="Arial" w:cs="Arial" w:eastAsia="Arial" w:hAnsi="Arial"/>
          <w:sz w:val="18"/>
          <w:szCs w:val="18"/>
          <w:b w:val="1"/>
          <w:bCs w:val="1"/>
          <w:u w:val="single" w:color="auto"/>
          <w:color w:val="0563C1"/>
        </w:rPr>
      </w:pPr>
      <w:r>
        <w:rPr>
          <w:rFonts w:ascii="Arial" w:cs="Arial" w:eastAsia="Arial" w:hAnsi="Arial"/>
          <w:sz w:val="18"/>
          <w:szCs w:val="18"/>
          <w:b w:val="1"/>
          <w:bCs w:val="1"/>
          <w:u w:val="single" w:color="auto"/>
          <w:color w:val="0563C1"/>
        </w:rPr>
        <w:t>Purchase and Sale of Preferred Stock 2.1 Sale and Issuance of Preferred Stock</w:t>
      </w:r>
    </w:p>
    <w:p>
      <w:pPr>
        <w:spacing w:after="0" w:line="1" w:lineRule="exact"/>
        <w:rPr>
          <w:rFonts w:ascii="Arial" w:cs="Arial" w:eastAsia="Arial" w:hAnsi="Arial"/>
          <w:sz w:val="18"/>
          <w:szCs w:val="18"/>
          <w:b w:val="1"/>
          <w:bCs w:val="1"/>
          <w:u w:val="single" w:color="auto"/>
          <w:color w:val="0563C1"/>
        </w:rPr>
      </w:pPr>
    </w:p>
    <w:p>
      <w:pPr>
        <w:ind w:left="5"/>
        <w:spacing w:after="0"/>
        <w:rPr>
          <w:rFonts w:ascii="Arial" w:cs="Arial" w:eastAsia="Arial" w:hAnsi="Arial"/>
          <w:sz w:val="18"/>
          <w:szCs w:val="18"/>
          <w:b w:val="1"/>
          <w:bCs w:val="1"/>
          <w:u w:val="single" w:color="auto"/>
          <w:color w:val="0563C1"/>
        </w:rPr>
      </w:pPr>
      <w:r>
        <w:rPr>
          <w:rFonts w:ascii="Arial" w:cs="Arial" w:eastAsia="Arial" w:hAnsi="Arial"/>
          <w:sz w:val="18"/>
          <w:szCs w:val="18"/>
          <w:b w:val="1"/>
          <w:bCs w:val="1"/>
          <w:u w:val="single" w:color="auto"/>
          <w:color w:val="0563C1"/>
        </w:rPr>
        <w:t>2.2  Closing; Delivery; Adjustments</w:t>
      </w:r>
    </w:p>
    <w:p>
      <w:pPr>
        <w:spacing w:after="0" w:line="45" w:lineRule="exact"/>
        <w:rPr>
          <w:rFonts w:ascii="Arial" w:cs="Arial" w:eastAsia="Arial" w:hAnsi="Arial"/>
          <w:sz w:val="18"/>
          <w:szCs w:val="18"/>
          <w:b w:val="1"/>
          <w:bCs w:val="1"/>
          <w:u w:val="single" w:color="auto"/>
          <w:color w:val="0563C1"/>
        </w:rPr>
      </w:pPr>
    </w:p>
    <w:p>
      <w:pPr>
        <w:ind w:left="345" w:hanging="345"/>
        <w:spacing w:after="0"/>
        <w:tabs>
          <w:tab w:leader="none" w:pos="345" w:val="left"/>
        </w:tabs>
        <w:numPr>
          <w:ilvl w:val="0"/>
          <w:numId w:val="17"/>
        </w:numPr>
        <w:rPr>
          <w:rFonts w:ascii="Arial" w:cs="Arial" w:eastAsia="Arial" w:hAnsi="Arial"/>
          <w:sz w:val="18"/>
          <w:szCs w:val="18"/>
          <w:b w:val="1"/>
          <w:bCs w:val="1"/>
          <w:u w:val="single" w:color="auto"/>
          <w:color w:val="0563C1"/>
        </w:rPr>
      </w:pPr>
      <w:r>
        <w:rPr>
          <w:rFonts w:ascii="Arial" w:cs="Arial" w:eastAsia="Arial" w:hAnsi="Arial"/>
          <w:sz w:val="18"/>
          <w:szCs w:val="18"/>
          <w:b w:val="1"/>
          <w:bCs w:val="1"/>
          <w:u w:val="single" w:color="auto"/>
          <w:color w:val="0563C1"/>
        </w:rPr>
        <w:t>Representation, Warranties and Covenants of the Company</w:t>
      </w:r>
    </w:p>
    <w:p>
      <w:pPr>
        <w:spacing w:after="0" w:line="40" w:lineRule="exact"/>
        <w:rPr>
          <w:sz w:val="20"/>
          <w:szCs w:val="20"/>
          <w:color w:val="auto"/>
        </w:rPr>
      </w:pPr>
    </w:p>
    <w:p>
      <w:pPr>
        <w:ind w:left="5"/>
        <w:spacing w:after="0"/>
        <w:tabs>
          <w:tab w:leader="none" w:pos="424" w:val="left"/>
        </w:tabs>
        <w:rPr>
          <w:sz w:val="20"/>
          <w:szCs w:val="20"/>
          <w:color w:val="auto"/>
        </w:rPr>
      </w:pPr>
      <w:r>
        <w:rPr>
          <w:rFonts w:ascii="Arial" w:cs="Arial" w:eastAsia="Arial" w:hAnsi="Arial"/>
          <w:sz w:val="18"/>
          <w:szCs w:val="18"/>
          <w:b w:val="1"/>
          <w:bCs w:val="1"/>
          <w:u w:val="single" w:color="auto"/>
          <w:color w:val="0563C1"/>
        </w:rPr>
        <w:t>3.1</w:t>
        <w:tab/>
        <w:t>Organization, Good Standing, Corporate Power and Qualification</w:t>
      </w:r>
    </w:p>
    <w:p>
      <w:pPr>
        <w:spacing w:after="0" w:line="59" w:lineRule="exact"/>
        <w:rPr>
          <w:sz w:val="20"/>
          <w:szCs w:val="20"/>
          <w:color w:val="auto"/>
        </w:rPr>
      </w:pPr>
    </w:p>
    <w:p>
      <w:pPr>
        <w:ind w:left="5"/>
        <w:spacing w:after="0"/>
        <w:tabs>
          <w:tab w:leader="none" w:pos="424" w:val="left"/>
        </w:tabs>
        <w:rPr>
          <w:sz w:val="20"/>
          <w:szCs w:val="20"/>
          <w:color w:val="auto"/>
        </w:rPr>
      </w:pPr>
      <w:r>
        <w:rPr>
          <w:rFonts w:ascii="Arial" w:cs="Arial" w:eastAsia="Arial" w:hAnsi="Arial"/>
          <w:sz w:val="18"/>
          <w:szCs w:val="18"/>
          <w:b w:val="1"/>
          <w:bCs w:val="1"/>
          <w:u w:val="single" w:color="auto"/>
          <w:color w:val="0563C1"/>
        </w:rPr>
        <w:t>3.2</w:t>
        <w:tab/>
        <w:t>Subsidiaries</w:t>
      </w:r>
    </w:p>
    <w:p>
      <w:pPr>
        <w:spacing w:after="0" w:line="63" w:lineRule="exact"/>
        <w:rPr>
          <w:sz w:val="20"/>
          <w:szCs w:val="20"/>
          <w:color w:val="auto"/>
        </w:rPr>
      </w:pPr>
    </w:p>
    <w:p>
      <w:pPr>
        <w:ind w:left="5"/>
        <w:spacing w:after="0"/>
        <w:tabs>
          <w:tab w:leader="none" w:pos="424" w:val="left"/>
        </w:tabs>
        <w:rPr>
          <w:sz w:val="20"/>
          <w:szCs w:val="20"/>
          <w:color w:val="auto"/>
        </w:rPr>
      </w:pPr>
      <w:r>
        <w:rPr>
          <w:rFonts w:ascii="Arial" w:cs="Arial" w:eastAsia="Arial" w:hAnsi="Arial"/>
          <w:sz w:val="18"/>
          <w:szCs w:val="18"/>
          <w:b w:val="1"/>
          <w:bCs w:val="1"/>
          <w:u w:val="single" w:color="auto"/>
          <w:color w:val="0563C1"/>
        </w:rPr>
        <w:t>3.3</w:t>
      </w:r>
      <w:r>
        <w:rPr>
          <w:sz w:val="20"/>
          <w:szCs w:val="20"/>
          <w:color w:val="auto"/>
        </w:rPr>
        <w:tab/>
      </w:r>
      <w:r>
        <w:rPr>
          <w:rFonts w:ascii="Arial" w:cs="Arial" w:eastAsia="Arial" w:hAnsi="Arial"/>
          <w:sz w:val="17"/>
          <w:szCs w:val="17"/>
          <w:b w:val="1"/>
          <w:bCs w:val="1"/>
          <w:u w:val="single" w:color="auto"/>
          <w:color w:val="0563C1"/>
        </w:rPr>
        <w:t>Company Capitalization</w:t>
      </w:r>
    </w:p>
    <w:p>
      <w:pPr>
        <w:spacing w:after="0" w:line="50" w:lineRule="exact"/>
        <w:rPr>
          <w:sz w:val="20"/>
          <w:szCs w:val="20"/>
          <w:color w:val="auto"/>
        </w:rPr>
      </w:pPr>
    </w:p>
    <w:p>
      <w:pPr>
        <w:ind w:left="5"/>
        <w:spacing w:after="0"/>
        <w:tabs>
          <w:tab w:leader="none" w:pos="424" w:val="left"/>
        </w:tabs>
        <w:rPr>
          <w:sz w:val="20"/>
          <w:szCs w:val="20"/>
          <w:color w:val="auto"/>
        </w:rPr>
      </w:pPr>
      <w:r>
        <w:rPr>
          <w:rFonts w:ascii="Arial" w:cs="Arial" w:eastAsia="Arial" w:hAnsi="Arial"/>
          <w:sz w:val="18"/>
          <w:szCs w:val="18"/>
          <w:b w:val="1"/>
          <w:bCs w:val="1"/>
          <w:u w:val="single" w:color="auto"/>
          <w:color w:val="0563C1"/>
        </w:rPr>
        <w:t>3.4</w:t>
        <w:tab/>
        <w:t>Authorization</w:t>
      </w:r>
    </w:p>
    <w:p>
      <w:pPr>
        <w:spacing w:after="0" w:line="40" w:lineRule="exact"/>
        <w:rPr>
          <w:sz w:val="20"/>
          <w:szCs w:val="20"/>
          <w:color w:val="auto"/>
        </w:rPr>
      </w:pPr>
    </w:p>
    <w:p>
      <w:pPr>
        <w:ind w:left="5"/>
        <w:spacing w:after="0"/>
        <w:tabs>
          <w:tab w:leader="none" w:pos="424" w:val="left"/>
        </w:tabs>
        <w:rPr>
          <w:sz w:val="20"/>
          <w:szCs w:val="20"/>
          <w:color w:val="auto"/>
        </w:rPr>
      </w:pPr>
      <w:r>
        <w:rPr>
          <w:rFonts w:ascii="Arial" w:cs="Arial" w:eastAsia="Arial" w:hAnsi="Arial"/>
          <w:sz w:val="18"/>
          <w:szCs w:val="18"/>
          <w:b w:val="1"/>
          <w:bCs w:val="1"/>
          <w:u w:val="single" w:color="auto"/>
          <w:color w:val="0563C1"/>
        </w:rPr>
        <w:t>3.5</w:t>
      </w:r>
      <w:r>
        <w:rPr>
          <w:sz w:val="20"/>
          <w:szCs w:val="20"/>
          <w:color w:val="auto"/>
        </w:rPr>
        <w:tab/>
      </w:r>
      <w:r>
        <w:rPr>
          <w:rFonts w:ascii="Arial" w:cs="Arial" w:eastAsia="Arial" w:hAnsi="Arial"/>
          <w:sz w:val="17"/>
          <w:szCs w:val="17"/>
          <w:b w:val="1"/>
          <w:bCs w:val="1"/>
          <w:u w:val="single" w:color="auto"/>
          <w:color w:val="0563C1"/>
        </w:rPr>
        <w:t>Valid Issuance of Shares</w:t>
      </w:r>
    </w:p>
    <w:p>
      <w:pPr>
        <w:spacing w:after="0" w:line="23" w:lineRule="exact"/>
        <w:rPr>
          <w:sz w:val="20"/>
          <w:szCs w:val="20"/>
          <w:color w:val="auto"/>
        </w:rPr>
      </w:pPr>
    </w:p>
    <w:p>
      <w:pPr>
        <w:ind w:left="5"/>
        <w:spacing w:after="0"/>
        <w:tabs>
          <w:tab w:leader="none" w:pos="424" w:val="left"/>
        </w:tabs>
        <w:rPr>
          <w:sz w:val="20"/>
          <w:szCs w:val="20"/>
          <w:color w:val="auto"/>
        </w:rPr>
      </w:pPr>
      <w:r>
        <w:rPr>
          <w:rFonts w:ascii="Arial" w:cs="Arial" w:eastAsia="Arial" w:hAnsi="Arial"/>
          <w:sz w:val="18"/>
          <w:szCs w:val="18"/>
          <w:b w:val="1"/>
          <w:bCs w:val="1"/>
          <w:u w:val="single" w:color="auto"/>
          <w:color w:val="0563C1"/>
        </w:rPr>
        <w:t>3.6</w:t>
      </w:r>
      <w:r>
        <w:rPr>
          <w:sz w:val="20"/>
          <w:szCs w:val="20"/>
          <w:color w:val="auto"/>
        </w:rPr>
        <w:tab/>
      </w:r>
      <w:r>
        <w:rPr>
          <w:rFonts w:ascii="Arial" w:cs="Arial" w:eastAsia="Arial" w:hAnsi="Arial"/>
          <w:sz w:val="17"/>
          <w:szCs w:val="17"/>
          <w:b w:val="1"/>
          <w:bCs w:val="1"/>
          <w:u w:val="single" w:color="auto"/>
          <w:color w:val="0563C1"/>
        </w:rPr>
        <w:t>Governmental Consents and Filings</w:t>
      </w:r>
    </w:p>
    <w:p>
      <w:pPr>
        <w:spacing w:after="0" w:line="23" w:lineRule="exact"/>
        <w:rPr>
          <w:sz w:val="20"/>
          <w:szCs w:val="20"/>
          <w:color w:val="auto"/>
        </w:rPr>
      </w:pPr>
    </w:p>
    <w:p>
      <w:pPr>
        <w:ind w:left="5"/>
        <w:spacing w:after="0"/>
        <w:tabs>
          <w:tab w:leader="none" w:pos="424" w:val="left"/>
        </w:tabs>
        <w:rPr>
          <w:sz w:val="20"/>
          <w:szCs w:val="20"/>
          <w:color w:val="auto"/>
        </w:rPr>
      </w:pPr>
      <w:r>
        <w:rPr>
          <w:rFonts w:ascii="Arial" w:cs="Arial" w:eastAsia="Arial" w:hAnsi="Arial"/>
          <w:sz w:val="18"/>
          <w:szCs w:val="18"/>
          <w:b w:val="1"/>
          <w:bCs w:val="1"/>
          <w:u w:val="single" w:color="auto"/>
          <w:color w:val="0563C1"/>
        </w:rPr>
        <w:t>3.7</w:t>
        <w:tab/>
        <w:t>Litigation</w:t>
      </w:r>
    </w:p>
    <w:p>
      <w:pPr>
        <w:spacing w:after="0" w:line="23" w:lineRule="exact"/>
        <w:rPr>
          <w:sz w:val="20"/>
          <w:szCs w:val="20"/>
          <w:color w:val="auto"/>
        </w:rPr>
      </w:pPr>
    </w:p>
    <w:p>
      <w:pPr>
        <w:ind w:left="5"/>
        <w:spacing w:after="0"/>
        <w:tabs>
          <w:tab w:leader="none" w:pos="424" w:val="left"/>
        </w:tabs>
        <w:rPr>
          <w:sz w:val="20"/>
          <w:szCs w:val="20"/>
          <w:color w:val="auto"/>
        </w:rPr>
      </w:pPr>
      <w:r>
        <w:rPr>
          <w:rFonts w:ascii="Arial" w:cs="Arial" w:eastAsia="Arial" w:hAnsi="Arial"/>
          <w:sz w:val="18"/>
          <w:szCs w:val="18"/>
          <w:b w:val="1"/>
          <w:bCs w:val="1"/>
          <w:u w:val="single" w:color="auto"/>
          <w:color w:val="0563C1"/>
        </w:rPr>
        <w:t>3.8</w:t>
      </w:r>
      <w:r>
        <w:rPr>
          <w:sz w:val="20"/>
          <w:szCs w:val="20"/>
          <w:color w:val="auto"/>
        </w:rPr>
        <w:tab/>
      </w:r>
      <w:r>
        <w:rPr>
          <w:rFonts w:ascii="Arial" w:cs="Arial" w:eastAsia="Arial" w:hAnsi="Arial"/>
          <w:sz w:val="17"/>
          <w:szCs w:val="17"/>
          <w:b w:val="1"/>
          <w:bCs w:val="1"/>
          <w:u w:val="single" w:color="auto"/>
          <w:color w:val="0563C1"/>
        </w:rPr>
        <w:t>Compliance with Other Instruments</w:t>
      </w:r>
    </w:p>
    <w:p>
      <w:pPr>
        <w:spacing w:after="0" w:line="23" w:lineRule="exact"/>
        <w:rPr>
          <w:sz w:val="20"/>
          <w:szCs w:val="20"/>
          <w:color w:val="auto"/>
        </w:rPr>
      </w:pPr>
    </w:p>
    <w:p>
      <w:pPr>
        <w:ind w:left="5"/>
        <w:spacing w:after="0"/>
        <w:tabs>
          <w:tab w:leader="none" w:pos="424" w:val="left"/>
        </w:tabs>
        <w:rPr>
          <w:sz w:val="20"/>
          <w:szCs w:val="20"/>
          <w:color w:val="auto"/>
        </w:rPr>
      </w:pPr>
      <w:r>
        <w:rPr>
          <w:rFonts w:ascii="Arial" w:cs="Arial" w:eastAsia="Arial" w:hAnsi="Arial"/>
          <w:sz w:val="18"/>
          <w:szCs w:val="18"/>
          <w:b w:val="1"/>
          <w:bCs w:val="1"/>
          <w:u w:val="single" w:color="auto"/>
          <w:color w:val="0563C1"/>
        </w:rPr>
        <w:t>3.9</w:t>
        <w:tab/>
        <w:t>SEC Filings; Financial Statements</w:t>
      </w:r>
    </w:p>
    <w:p>
      <w:pPr>
        <w:spacing w:after="0" w:line="46" w:lineRule="exact"/>
        <w:rPr>
          <w:sz w:val="20"/>
          <w:szCs w:val="20"/>
          <w:color w:val="auto"/>
        </w:rPr>
      </w:pPr>
    </w:p>
    <w:p>
      <w:pPr>
        <w:ind w:left="5"/>
        <w:spacing w:after="0"/>
        <w:tabs>
          <w:tab w:leader="none" w:pos="524" w:val="left"/>
        </w:tabs>
        <w:rPr>
          <w:sz w:val="20"/>
          <w:szCs w:val="20"/>
          <w:color w:val="auto"/>
        </w:rPr>
      </w:pPr>
      <w:r>
        <w:rPr>
          <w:rFonts w:ascii="Arial" w:cs="Arial" w:eastAsia="Arial" w:hAnsi="Arial"/>
          <w:sz w:val="18"/>
          <w:szCs w:val="18"/>
          <w:b w:val="1"/>
          <w:bCs w:val="1"/>
          <w:u w:val="single" w:color="auto"/>
          <w:color w:val="0563C1"/>
        </w:rPr>
        <w:t>3.10</w:t>
      </w:r>
      <w:r>
        <w:rPr>
          <w:sz w:val="20"/>
          <w:szCs w:val="20"/>
          <w:color w:val="auto"/>
        </w:rPr>
        <w:tab/>
      </w:r>
      <w:r>
        <w:rPr>
          <w:rFonts w:ascii="Arial" w:cs="Arial" w:eastAsia="Arial" w:hAnsi="Arial"/>
          <w:sz w:val="17"/>
          <w:szCs w:val="17"/>
          <w:b w:val="1"/>
          <w:bCs w:val="1"/>
          <w:u w:val="single" w:color="auto"/>
          <w:color w:val="0563C1"/>
        </w:rPr>
        <w:t>No Material Adverse Effect; Absence of Certain Changes</w:t>
      </w:r>
    </w:p>
    <w:p>
      <w:pPr>
        <w:spacing w:after="0" w:line="40" w:lineRule="exact"/>
        <w:rPr>
          <w:sz w:val="20"/>
          <w:szCs w:val="20"/>
          <w:color w:val="auto"/>
        </w:rPr>
      </w:pPr>
    </w:p>
    <w:p>
      <w:pPr>
        <w:ind w:left="5"/>
        <w:spacing w:after="0"/>
        <w:tabs>
          <w:tab w:leader="none" w:pos="524" w:val="left"/>
        </w:tabs>
        <w:rPr>
          <w:sz w:val="20"/>
          <w:szCs w:val="20"/>
          <w:color w:val="auto"/>
        </w:rPr>
      </w:pPr>
      <w:r>
        <w:rPr>
          <w:rFonts w:ascii="Arial" w:cs="Arial" w:eastAsia="Arial" w:hAnsi="Arial"/>
          <w:sz w:val="18"/>
          <w:szCs w:val="18"/>
          <w:b w:val="1"/>
          <w:bCs w:val="1"/>
          <w:u w:val="single" w:color="auto"/>
          <w:color w:val="0563C1"/>
        </w:rPr>
        <w:t>3.11</w:t>
      </w:r>
      <w:r>
        <w:rPr>
          <w:sz w:val="20"/>
          <w:szCs w:val="20"/>
          <w:color w:val="auto"/>
        </w:rPr>
        <w:tab/>
      </w:r>
      <w:r>
        <w:rPr>
          <w:rFonts w:ascii="Arial" w:cs="Arial" w:eastAsia="Arial" w:hAnsi="Arial"/>
          <w:sz w:val="17"/>
          <w:szCs w:val="17"/>
          <w:b w:val="1"/>
          <w:bCs w:val="1"/>
          <w:u w:val="single" w:color="auto"/>
          <w:color w:val="0563C1"/>
        </w:rPr>
        <w:t>No Material Defaults</w:t>
      </w:r>
    </w:p>
    <w:p>
      <w:pPr>
        <w:spacing w:after="0" w:line="23" w:lineRule="exact"/>
        <w:rPr>
          <w:sz w:val="20"/>
          <w:szCs w:val="20"/>
          <w:color w:val="auto"/>
        </w:rPr>
      </w:pPr>
    </w:p>
    <w:p>
      <w:pPr>
        <w:ind w:left="5"/>
        <w:spacing w:after="0"/>
        <w:tabs>
          <w:tab w:leader="none" w:pos="524" w:val="left"/>
        </w:tabs>
        <w:rPr>
          <w:sz w:val="20"/>
          <w:szCs w:val="20"/>
          <w:color w:val="auto"/>
        </w:rPr>
      </w:pPr>
      <w:r>
        <w:rPr>
          <w:rFonts w:ascii="Arial" w:cs="Arial" w:eastAsia="Arial" w:hAnsi="Arial"/>
          <w:sz w:val="18"/>
          <w:szCs w:val="18"/>
          <w:b w:val="1"/>
          <w:bCs w:val="1"/>
          <w:u w:val="single" w:color="auto"/>
          <w:color w:val="0563C1"/>
        </w:rPr>
        <w:t>3.12</w:t>
        <w:tab/>
        <w:t>No Preferential Rights</w:t>
      </w:r>
    </w:p>
    <w:p>
      <w:pPr>
        <w:spacing w:after="0" w:line="23" w:lineRule="exact"/>
        <w:rPr>
          <w:sz w:val="20"/>
          <w:szCs w:val="20"/>
          <w:color w:val="auto"/>
        </w:rPr>
      </w:pPr>
    </w:p>
    <w:p>
      <w:pPr>
        <w:ind w:left="5"/>
        <w:spacing w:after="0"/>
        <w:tabs>
          <w:tab w:leader="none" w:pos="524" w:val="left"/>
        </w:tabs>
        <w:rPr>
          <w:sz w:val="20"/>
          <w:szCs w:val="20"/>
          <w:color w:val="auto"/>
        </w:rPr>
      </w:pPr>
      <w:r>
        <w:rPr>
          <w:rFonts w:ascii="Arial" w:cs="Arial" w:eastAsia="Arial" w:hAnsi="Arial"/>
          <w:sz w:val="18"/>
          <w:szCs w:val="18"/>
          <w:b w:val="1"/>
          <w:bCs w:val="1"/>
          <w:u w:val="single" w:color="auto"/>
          <w:color w:val="0563C1"/>
        </w:rPr>
        <w:t>3.13</w:t>
        <w:tab/>
        <w:t>Real Property; Intellectual Property</w:t>
      </w:r>
    </w:p>
    <w:p>
      <w:pPr>
        <w:spacing w:after="0" w:line="23" w:lineRule="exact"/>
        <w:rPr>
          <w:sz w:val="20"/>
          <w:szCs w:val="20"/>
          <w:color w:val="auto"/>
        </w:rPr>
      </w:pPr>
    </w:p>
    <w:p>
      <w:pPr>
        <w:ind w:left="5"/>
        <w:spacing w:after="0"/>
        <w:tabs>
          <w:tab w:leader="none" w:pos="524" w:val="left"/>
        </w:tabs>
        <w:rPr>
          <w:sz w:val="20"/>
          <w:szCs w:val="20"/>
          <w:color w:val="auto"/>
        </w:rPr>
      </w:pPr>
      <w:r>
        <w:rPr>
          <w:rFonts w:ascii="Arial" w:cs="Arial" w:eastAsia="Arial" w:hAnsi="Arial"/>
          <w:sz w:val="18"/>
          <w:szCs w:val="18"/>
          <w:b w:val="1"/>
          <w:bCs w:val="1"/>
          <w:u w:val="single" w:color="auto"/>
          <w:color w:val="0563C1"/>
        </w:rPr>
        <w:t>3.14</w:t>
        <w:tab/>
        <w:t>Material Contracts</w:t>
      </w:r>
    </w:p>
    <w:p>
      <w:pPr>
        <w:spacing w:after="0" w:line="23" w:lineRule="exact"/>
        <w:rPr>
          <w:sz w:val="20"/>
          <w:szCs w:val="20"/>
          <w:color w:val="auto"/>
        </w:rPr>
      </w:pPr>
    </w:p>
    <w:p>
      <w:pPr>
        <w:ind w:left="5"/>
        <w:spacing w:after="0"/>
        <w:tabs>
          <w:tab w:leader="none" w:pos="524" w:val="left"/>
        </w:tabs>
        <w:rPr>
          <w:sz w:val="20"/>
          <w:szCs w:val="20"/>
          <w:color w:val="auto"/>
        </w:rPr>
      </w:pPr>
      <w:r>
        <w:rPr>
          <w:rFonts w:ascii="Arial" w:cs="Arial" w:eastAsia="Arial" w:hAnsi="Arial"/>
          <w:sz w:val="18"/>
          <w:szCs w:val="18"/>
          <w:b w:val="1"/>
          <w:bCs w:val="1"/>
          <w:u w:val="single" w:color="auto"/>
          <w:color w:val="0563C1"/>
        </w:rPr>
        <w:t>3.15</w:t>
        <w:tab/>
        <w:t>Solvency</w:t>
      </w:r>
    </w:p>
    <w:p>
      <w:pPr>
        <w:spacing w:after="0" w:line="23" w:lineRule="exact"/>
        <w:rPr>
          <w:sz w:val="20"/>
          <w:szCs w:val="20"/>
          <w:color w:val="auto"/>
        </w:rPr>
      </w:pPr>
    </w:p>
    <w:p>
      <w:pPr>
        <w:ind w:left="5"/>
        <w:spacing w:after="0"/>
        <w:tabs>
          <w:tab w:leader="none" w:pos="524" w:val="left"/>
        </w:tabs>
        <w:rPr>
          <w:sz w:val="20"/>
          <w:szCs w:val="20"/>
          <w:color w:val="auto"/>
        </w:rPr>
      </w:pPr>
      <w:r>
        <w:rPr>
          <w:rFonts w:ascii="Arial" w:cs="Arial" w:eastAsia="Arial" w:hAnsi="Arial"/>
          <w:sz w:val="18"/>
          <w:szCs w:val="18"/>
          <w:b w:val="1"/>
          <w:bCs w:val="1"/>
          <w:u w:val="single" w:color="auto"/>
          <w:color w:val="0563C1"/>
        </w:rPr>
        <w:t>3.16</w:t>
      </w:r>
      <w:r>
        <w:rPr>
          <w:sz w:val="20"/>
          <w:szCs w:val="20"/>
          <w:color w:val="auto"/>
        </w:rPr>
        <w:tab/>
      </w:r>
      <w:r>
        <w:rPr>
          <w:rFonts w:ascii="Arial" w:cs="Arial" w:eastAsia="Arial" w:hAnsi="Arial"/>
          <w:sz w:val="17"/>
          <w:szCs w:val="17"/>
          <w:b w:val="1"/>
          <w:bCs w:val="1"/>
          <w:u w:val="single" w:color="auto"/>
          <w:color w:val="0563C1"/>
        </w:rPr>
        <w:t>Pending Actions</w:t>
      </w:r>
    </w:p>
    <w:p>
      <w:pPr>
        <w:spacing w:after="0" w:line="23" w:lineRule="exact"/>
        <w:rPr>
          <w:sz w:val="20"/>
          <w:szCs w:val="20"/>
          <w:color w:val="auto"/>
        </w:rPr>
      </w:pPr>
    </w:p>
    <w:p>
      <w:pPr>
        <w:ind w:left="5"/>
        <w:spacing w:after="0"/>
        <w:tabs>
          <w:tab w:leader="none" w:pos="524" w:val="left"/>
        </w:tabs>
        <w:rPr>
          <w:sz w:val="20"/>
          <w:szCs w:val="20"/>
          <w:color w:val="auto"/>
        </w:rPr>
      </w:pPr>
      <w:r>
        <w:rPr>
          <w:rFonts w:ascii="Arial" w:cs="Arial" w:eastAsia="Arial" w:hAnsi="Arial"/>
          <w:sz w:val="18"/>
          <w:szCs w:val="18"/>
          <w:b w:val="1"/>
          <w:bCs w:val="1"/>
          <w:u w:val="single" w:color="auto"/>
          <w:color w:val="0563C1"/>
        </w:rPr>
        <w:t>3.17</w:t>
        <w:tab/>
        <w:t>Compliance with Laws</w:t>
      </w:r>
    </w:p>
    <w:p>
      <w:pPr>
        <w:spacing w:after="0" w:line="23" w:lineRule="exact"/>
        <w:rPr>
          <w:sz w:val="20"/>
          <w:szCs w:val="20"/>
          <w:color w:val="auto"/>
        </w:rPr>
      </w:pPr>
    </w:p>
    <w:p>
      <w:pPr>
        <w:ind w:left="5"/>
        <w:spacing w:after="0"/>
        <w:tabs>
          <w:tab w:leader="none" w:pos="524" w:val="left"/>
        </w:tabs>
        <w:rPr>
          <w:sz w:val="20"/>
          <w:szCs w:val="20"/>
          <w:color w:val="auto"/>
        </w:rPr>
      </w:pPr>
      <w:r>
        <w:rPr>
          <w:rFonts w:ascii="Arial" w:cs="Arial" w:eastAsia="Arial" w:hAnsi="Arial"/>
          <w:sz w:val="18"/>
          <w:szCs w:val="18"/>
          <w:b w:val="1"/>
          <w:bCs w:val="1"/>
          <w:u w:val="single" w:color="auto"/>
          <w:color w:val="0563C1"/>
        </w:rPr>
        <w:t>3.18</w:t>
        <w:tab/>
        <w:t>No Broker r Registration</w:t>
      </w:r>
    </w:p>
    <w:p>
      <w:pPr>
        <w:spacing w:after="0" w:line="23" w:lineRule="exact"/>
        <w:rPr>
          <w:sz w:val="20"/>
          <w:szCs w:val="20"/>
          <w:color w:val="auto"/>
        </w:rPr>
      </w:pPr>
    </w:p>
    <w:p>
      <w:pPr>
        <w:ind w:left="5"/>
        <w:spacing w:after="0"/>
        <w:tabs>
          <w:tab w:leader="none" w:pos="524" w:val="left"/>
        </w:tabs>
        <w:rPr>
          <w:sz w:val="20"/>
          <w:szCs w:val="20"/>
          <w:color w:val="auto"/>
        </w:rPr>
      </w:pPr>
      <w:r>
        <w:rPr>
          <w:rFonts w:ascii="Arial" w:cs="Arial" w:eastAsia="Arial" w:hAnsi="Arial"/>
          <w:sz w:val="18"/>
          <w:szCs w:val="18"/>
          <w:b w:val="1"/>
          <w:bCs w:val="1"/>
          <w:u w:val="single" w:color="auto"/>
          <w:color w:val="0563C1"/>
        </w:rPr>
        <w:t>3.19</w:t>
        <w:tab/>
        <w:t>CFIUS</w:t>
      </w:r>
    </w:p>
    <w:p>
      <w:pPr>
        <w:spacing w:after="0" w:line="23" w:lineRule="exact"/>
        <w:rPr>
          <w:sz w:val="20"/>
          <w:szCs w:val="20"/>
          <w:color w:val="auto"/>
        </w:rPr>
      </w:pPr>
    </w:p>
    <w:p>
      <w:pPr>
        <w:ind w:left="5"/>
        <w:spacing w:after="0"/>
        <w:tabs>
          <w:tab w:leader="none" w:pos="524" w:val="left"/>
        </w:tabs>
        <w:rPr>
          <w:sz w:val="20"/>
          <w:szCs w:val="20"/>
          <w:color w:val="auto"/>
        </w:rPr>
      </w:pPr>
      <w:r>
        <w:rPr>
          <w:rFonts w:ascii="Arial" w:cs="Arial" w:eastAsia="Arial" w:hAnsi="Arial"/>
          <w:sz w:val="18"/>
          <w:szCs w:val="18"/>
          <w:b w:val="1"/>
          <w:bCs w:val="1"/>
          <w:u w:val="single" w:color="auto"/>
          <w:color w:val="0563C1"/>
        </w:rPr>
        <w:t>3.20</w:t>
      </w:r>
      <w:r>
        <w:rPr>
          <w:sz w:val="20"/>
          <w:szCs w:val="20"/>
          <w:color w:val="auto"/>
        </w:rPr>
        <w:tab/>
      </w:r>
      <w:r>
        <w:rPr>
          <w:rFonts w:ascii="Arial" w:cs="Arial" w:eastAsia="Arial" w:hAnsi="Arial"/>
          <w:sz w:val="17"/>
          <w:szCs w:val="17"/>
          <w:b w:val="1"/>
          <w:bCs w:val="1"/>
          <w:u w:val="single" w:color="auto"/>
          <w:color w:val="0563C1"/>
        </w:rPr>
        <w:t>Permits</w:t>
      </w:r>
    </w:p>
    <w:p>
      <w:pPr>
        <w:spacing w:after="0" w:line="59" w:lineRule="exact"/>
        <w:rPr>
          <w:sz w:val="20"/>
          <w:szCs w:val="20"/>
          <w:color w:val="auto"/>
        </w:rPr>
      </w:pPr>
    </w:p>
    <w:p>
      <w:pPr>
        <w:ind w:left="5"/>
        <w:spacing w:after="0"/>
        <w:tabs>
          <w:tab w:leader="none" w:pos="524" w:val="left"/>
        </w:tabs>
        <w:rPr>
          <w:sz w:val="20"/>
          <w:szCs w:val="20"/>
          <w:color w:val="auto"/>
        </w:rPr>
      </w:pPr>
      <w:r>
        <w:rPr>
          <w:rFonts w:ascii="Arial" w:cs="Arial" w:eastAsia="Arial" w:hAnsi="Arial"/>
          <w:sz w:val="18"/>
          <w:szCs w:val="18"/>
          <w:b w:val="1"/>
          <w:bCs w:val="1"/>
          <w:u w:val="single" w:color="auto"/>
          <w:color w:val="0563C1"/>
        </w:rPr>
        <w:t>3.21</w:t>
      </w:r>
      <w:r>
        <w:rPr>
          <w:sz w:val="20"/>
          <w:szCs w:val="20"/>
          <w:color w:val="auto"/>
        </w:rPr>
        <w:tab/>
      </w:r>
      <w:r>
        <w:rPr>
          <w:rFonts w:ascii="Arial" w:cs="Arial" w:eastAsia="Arial" w:hAnsi="Arial"/>
          <w:sz w:val="17"/>
          <w:szCs w:val="17"/>
          <w:b w:val="1"/>
          <w:bCs w:val="1"/>
          <w:u w:val="single" w:color="auto"/>
          <w:color w:val="0563C1"/>
        </w:rPr>
        <w:t>International Compliance; No Improper Practices</w:t>
      </w:r>
    </w:p>
    <w:p>
      <w:pPr>
        <w:spacing w:after="0" w:line="63" w:lineRule="exact"/>
        <w:rPr>
          <w:sz w:val="20"/>
          <w:szCs w:val="20"/>
          <w:color w:val="auto"/>
        </w:rPr>
      </w:pPr>
    </w:p>
    <w:p>
      <w:pPr>
        <w:ind w:left="5"/>
        <w:spacing w:after="0"/>
        <w:tabs>
          <w:tab w:leader="none" w:pos="524" w:val="left"/>
        </w:tabs>
        <w:rPr>
          <w:sz w:val="20"/>
          <w:szCs w:val="20"/>
          <w:color w:val="auto"/>
        </w:rPr>
      </w:pPr>
      <w:r>
        <w:rPr>
          <w:rFonts w:ascii="Arial" w:cs="Arial" w:eastAsia="Arial" w:hAnsi="Arial"/>
          <w:sz w:val="18"/>
          <w:szCs w:val="18"/>
          <w:b w:val="1"/>
          <w:bCs w:val="1"/>
          <w:u w:val="single" w:color="auto"/>
          <w:color w:val="0563C1"/>
        </w:rPr>
        <w:t>3.22</w:t>
      </w:r>
      <w:r>
        <w:rPr>
          <w:sz w:val="20"/>
          <w:szCs w:val="20"/>
          <w:color w:val="auto"/>
        </w:rPr>
        <w:tab/>
      </w:r>
      <w:r>
        <w:rPr>
          <w:rFonts w:ascii="Arial" w:cs="Arial" w:eastAsia="Arial" w:hAnsi="Arial"/>
          <w:sz w:val="17"/>
          <w:szCs w:val="17"/>
          <w:b w:val="1"/>
          <w:bCs w:val="1"/>
          <w:u w:val="single" w:color="auto"/>
          <w:color w:val="0563C1"/>
        </w:rPr>
        <w:t>Information Technology; Compliance with Data Privacy Laws</w:t>
      </w:r>
    </w:p>
    <w:p>
      <w:pPr>
        <w:spacing w:after="0" w:line="63" w:lineRule="exact"/>
        <w:rPr>
          <w:sz w:val="20"/>
          <w:szCs w:val="20"/>
          <w:color w:val="auto"/>
        </w:rPr>
      </w:pPr>
    </w:p>
    <w:p>
      <w:pPr>
        <w:ind w:left="5"/>
        <w:spacing w:after="0"/>
        <w:tabs>
          <w:tab w:leader="none" w:pos="524" w:val="left"/>
        </w:tabs>
        <w:rPr>
          <w:sz w:val="20"/>
          <w:szCs w:val="20"/>
          <w:color w:val="auto"/>
        </w:rPr>
      </w:pPr>
      <w:r>
        <w:rPr>
          <w:rFonts w:ascii="Arial" w:cs="Arial" w:eastAsia="Arial" w:hAnsi="Arial"/>
          <w:sz w:val="18"/>
          <w:szCs w:val="18"/>
          <w:b w:val="1"/>
          <w:bCs w:val="1"/>
          <w:u w:val="single" w:color="auto"/>
          <w:color w:val="0563C1"/>
        </w:rPr>
        <w:t>3.23</w:t>
      </w:r>
      <w:r>
        <w:rPr>
          <w:sz w:val="20"/>
          <w:szCs w:val="20"/>
          <w:color w:val="auto"/>
        </w:rPr>
        <w:tab/>
      </w:r>
      <w:r>
        <w:rPr>
          <w:rFonts w:ascii="Arial" w:cs="Arial" w:eastAsia="Arial" w:hAnsi="Arial"/>
          <w:sz w:val="17"/>
          <w:szCs w:val="17"/>
          <w:b w:val="1"/>
          <w:bCs w:val="1"/>
          <w:u w:val="single" w:color="auto"/>
          <w:color w:val="0563C1"/>
        </w:rPr>
        <w:t>Off-Balance Sheet Arrangements</w:t>
      </w:r>
    </w:p>
    <w:p>
      <w:pPr>
        <w:spacing w:after="0" w:line="63" w:lineRule="exact"/>
        <w:rPr>
          <w:sz w:val="20"/>
          <w:szCs w:val="20"/>
          <w:color w:val="auto"/>
        </w:rPr>
      </w:pPr>
    </w:p>
    <w:p>
      <w:pPr>
        <w:ind w:left="5"/>
        <w:spacing w:after="0"/>
        <w:tabs>
          <w:tab w:leader="none" w:pos="524" w:val="left"/>
        </w:tabs>
        <w:rPr>
          <w:sz w:val="20"/>
          <w:szCs w:val="20"/>
          <w:color w:val="auto"/>
        </w:rPr>
      </w:pPr>
      <w:r>
        <w:rPr>
          <w:rFonts w:ascii="Arial" w:cs="Arial" w:eastAsia="Arial" w:hAnsi="Arial"/>
          <w:sz w:val="18"/>
          <w:szCs w:val="18"/>
          <w:b w:val="1"/>
          <w:bCs w:val="1"/>
          <w:u w:val="single" w:color="auto"/>
          <w:color w:val="0563C1"/>
        </w:rPr>
        <w:t>3.24</w:t>
      </w:r>
      <w:r>
        <w:rPr>
          <w:sz w:val="20"/>
          <w:szCs w:val="20"/>
          <w:color w:val="auto"/>
        </w:rPr>
        <w:tab/>
      </w:r>
      <w:r>
        <w:rPr>
          <w:rFonts w:ascii="Arial" w:cs="Arial" w:eastAsia="Arial" w:hAnsi="Arial"/>
          <w:sz w:val="17"/>
          <w:szCs w:val="17"/>
          <w:b w:val="1"/>
          <w:bCs w:val="1"/>
          <w:u w:val="single" w:color="auto"/>
          <w:color w:val="0563C1"/>
        </w:rPr>
        <w:t>Transactions with Affiliates</w:t>
      </w:r>
    </w:p>
    <w:p>
      <w:pPr>
        <w:spacing w:after="0" w:line="63" w:lineRule="exact"/>
        <w:rPr>
          <w:sz w:val="20"/>
          <w:szCs w:val="20"/>
          <w:color w:val="auto"/>
        </w:rPr>
      </w:pPr>
    </w:p>
    <w:p>
      <w:pPr>
        <w:ind w:left="5"/>
        <w:spacing w:after="0"/>
        <w:tabs>
          <w:tab w:leader="none" w:pos="524" w:val="left"/>
        </w:tabs>
        <w:rPr>
          <w:sz w:val="20"/>
          <w:szCs w:val="20"/>
          <w:color w:val="auto"/>
        </w:rPr>
      </w:pPr>
      <w:r>
        <w:rPr>
          <w:rFonts w:ascii="Arial" w:cs="Arial" w:eastAsia="Arial" w:hAnsi="Arial"/>
          <w:sz w:val="18"/>
          <w:szCs w:val="18"/>
          <w:b w:val="1"/>
          <w:bCs w:val="1"/>
          <w:u w:val="single" w:color="auto"/>
          <w:color w:val="0563C1"/>
        </w:rPr>
        <w:t>3.25</w:t>
        <w:tab/>
        <w:t>Labor Disputes</w:t>
      </w:r>
    </w:p>
    <w:p>
      <w:pPr>
        <w:spacing w:after="0" w:line="63" w:lineRule="exact"/>
        <w:rPr>
          <w:sz w:val="20"/>
          <w:szCs w:val="20"/>
          <w:color w:val="auto"/>
        </w:rPr>
      </w:pPr>
    </w:p>
    <w:p>
      <w:pPr>
        <w:ind w:left="5"/>
        <w:spacing w:after="0"/>
        <w:tabs>
          <w:tab w:leader="none" w:pos="524" w:val="left"/>
        </w:tabs>
        <w:rPr>
          <w:sz w:val="20"/>
          <w:szCs w:val="20"/>
          <w:color w:val="auto"/>
        </w:rPr>
      </w:pPr>
      <w:r>
        <w:rPr>
          <w:rFonts w:ascii="Arial" w:cs="Arial" w:eastAsia="Arial" w:hAnsi="Arial"/>
          <w:sz w:val="18"/>
          <w:szCs w:val="18"/>
          <w:b w:val="1"/>
          <w:bCs w:val="1"/>
          <w:u w:val="single" w:color="auto"/>
          <w:color w:val="0563C1"/>
        </w:rPr>
        <w:t>3.26</w:t>
      </w:r>
      <w:r>
        <w:rPr>
          <w:sz w:val="20"/>
          <w:szCs w:val="20"/>
          <w:color w:val="auto"/>
        </w:rPr>
        <w:tab/>
      </w:r>
      <w:r>
        <w:rPr>
          <w:rFonts w:ascii="Arial" w:cs="Arial" w:eastAsia="Arial" w:hAnsi="Arial"/>
          <w:sz w:val="17"/>
          <w:szCs w:val="17"/>
          <w:b w:val="1"/>
          <w:bCs w:val="1"/>
          <w:u w:val="single" w:color="auto"/>
          <w:color w:val="0563C1"/>
        </w:rPr>
        <w:t>Investment Company Act Status</w:t>
      </w:r>
    </w:p>
    <w:p>
      <w:pPr>
        <w:spacing w:after="0" w:line="63" w:lineRule="exact"/>
        <w:rPr>
          <w:sz w:val="20"/>
          <w:szCs w:val="20"/>
          <w:color w:val="auto"/>
        </w:rPr>
      </w:pPr>
    </w:p>
    <w:p>
      <w:pPr>
        <w:ind w:left="5"/>
        <w:spacing w:after="0"/>
        <w:tabs>
          <w:tab w:leader="none" w:pos="524" w:val="left"/>
        </w:tabs>
        <w:rPr>
          <w:sz w:val="20"/>
          <w:szCs w:val="20"/>
          <w:color w:val="auto"/>
        </w:rPr>
      </w:pPr>
      <w:r>
        <w:rPr>
          <w:rFonts w:ascii="Arial" w:cs="Arial" w:eastAsia="Arial" w:hAnsi="Arial"/>
          <w:sz w:val="18"/>
          <w:szCs w:val="18"/>
          <w:b w:val="1"/>
          <w:bCs w:val="1"/>
          <w:u w:val="single" w:color="auto"/>
          <w:color w:val="0563C1"/>
        </w:rPr>
        <w:t>3.27</w:t>
      </w:r>
      <w:r>
        <w:rPr>
          <w:sz w:val="20"/>
          <w:szCs w:val="20"/>
          <w:color w:val="auto"/>
        </w:rPr>
        <w:tab/>
      </w:r>
      <w:r>
        <w:rPr>
          <w:rFonts w:ascii="Arial" w:cs="Arial" w:eastAsia="Arial" w:hAnsi="Arial"/>
          <w:sz w:val="17"/>
          <w:szCs w:val="17"/>
          <w:b w:val="1"/>
          <w:bCs w:val="1"/>
          <w:u w:val="single" w:color="auto"/>
          <w:color w:val="0563C1"/>
        </w:rPr>
        <w:t>Taxes</w:t>
      </w:r>
    </w:p>
    <w:p>
      <w:pPr>
        <w:spacing w:after="0" w:line="63" w:lineRule="exact"/>
        <w:rPr>
          <w:sz w:val="20"/>
          <w:szCs w:val="20"/>
          <w:color w:val="auto"/>
        </w:rPr>
      </w:pPr>
    </w:p>
    <w:p>
      <w:pPr>
        <w:ind w:left="5"/>
        <w:spacing w:after="0"/>
        <w:tabs>
          <w:tab w:leader="none" w:pos="524" w:val="left"/>
        </w:tabs>
        <w:rPr>
          <w:sz w:val="20"/>
          <w:szCs w:val="20"/>
          <w:color w:val="auto"/>
        </w:rPr>
      </w:pPr>
      <w:r>
        <w:rPr>
          <w:rFonts w:ascii="Arial" w:cs="Arial" w:eastAsia="Arial" w:hAnsi="Arial"/>
          <w:sz w:val="18"/>
          <w:szCs w:val="18"/>
          <w:b w:val="1"/>
          <w:bCs w:val="1"/>
          <w:u w:val="single" w:color="auto"/>
          <w:color w:val="0563C1"/>
        </w:rPr>
        <w:t>3.28</w:t>
        <w:tab/>
        <w:t>ERISA</w:t>
      </w:r>
    </w:p>
    <w:p>
      <w:pPr>
        <w:spacing w:after="0" w:line="63" w:lineRule="exact"/>
        <w:rPr>
          <w:sz w:val="20"/>
          <w:szCs w:val="20"/>
          <w:color w:val="auto"/>
        </w:rPr>
      </w:pPr>
    </w:p>
    <w:p>
      <w:pPr>
        <w:ind w:left="5"/>
        <w:spacing w:after="0"/>
        <w:tabs>
          <w:tab w:leader="none" w:pos="524" w:val="left"/>
        </w:tabs>
        <w:rPr>
          <w:sz w:val="20"/>
          <w:szCs w:val="20"/>
          <w:color w:val="auto"/>
        </w:rPr>
      </w:pPr>
      <w:r>
        <w:rPr>
          <w:rFonts w:ascii="Arial" w:cs="Arial" w:eastAsia="Arial" w:hAnsi="Arial"/>
          <w:sz w:val="18"/>
          <w:szCs w:val="18"/>
          <w:b w:val="1"/>
          <w:bCs w:val="1"/>
          <w:u w:val="single" w:color="auto"/>
          <w:color w:val="0563C1"/>
        </w:rPr>
        <w:t>3.29</w:t>
        <w:tab/>
        <w:t>Insurance</w:t>
      </w:r>
    </w:p>
    <w:p>
      <w:pPr>
        <w:spacing w:after="0" w:line="63" w:lineRule="exact"/>
        <w:rPr>
          <w:sz w:val="20"/>
          <w:szCs w:val="20"/>
          <w:color w:val="auto"/>
        </w:rPr>
      </w:pPr>
    </w:p>
    <w:p>
      <w:pPr>
        <w:ind w:left="5"/>
        <w:spacing w:after="0"/>
        <w:tabs>
          <w:tab w:leader="none" w:pos="524" w:val="left"/>
        </w:tabs>
        <w:rPr>
          <w:sz w:val="20"/>
          <w:szCs w:val="20"/>
          <w:color w:val="auto"/>
        </w:rPr>
      </w:pPr>
      <w:r>
        <w:rPr>
          <w:rFonts w:ascii="Arial" w:cs="Arial" w:eastAsia="Arial" w:hAnsi="Arial"/>
          <w:sz w:val="18"/>
          <w:szCs w:val="18"/>
          <w:b w:val="1"/>
          <w:bCs w:val="1"/>
          <w:u w:val="single" w:color="auto"/>
          <w:color w:val="0563C1"/>
        </w:rPr>
        <w:t>3.30</w:t>
        <w:tab/>
        <w:t>Private Placement</w:t>
      </w:r>
    </w:p>
    <w:p>
      <w:pPr>
        <w:spacing w:after="0" w:line="63" w:lineRule="exact"/>
        <w:rPr>
          <w:sz w:val="20"/>
          <w:szCs w:val="20"/>
          <w:color w:val="auto"/>
        </w:rPr>
      </w:pPr>
    </w:p>
    <w:p>
      <w:pPr>
        <w:ind w:left="5"/>
        <w:spacing w:after="0"/>
        <w:tabs>
          <w:tab w:leader="none" w:pos="524" w:val="left"/>
        </w:tabs>
        <w:rPr>
          <w:sz w:val="20"/>
          <w:szCs w:val="20"/>
          <w:color w:val="auto"/>
        </w:rPr>
      </w:pPr>
      <w:r>
        <w:rPr>
          <w:rFonts w:ascii="Arial" w:cs="Arial" w:eastAsia="Arial" w:hAnsi="Arial"/>
          <w:sz w:val="18"/>
          <w:szCs w:val="18"/>
          <w:b w:val="1"/>
          <w:bCs w:val="1"/>
          <w:u w:val="single" w:color="auto"/>
          <w:color w:val="0563C1"/>
        </w:rPr>
        <w:t>3.31</w:t>
        <w:tab/>
        <w:t>No Integrated Offering</w:t>
      </w:r>
    </w:p>
    <w:p>
      <w:pPr>
        <w:spacing w:after="0" w:line="50" w:lineRule="exact"/>
        <w:rPr>
          <w:sz w:val="20"/>
          <w:szCs w:val="20"/>
          <w:color w:val="auto"/>
        </w:rPr>
      </w:pPr>
    </w:p>
    <w:p>
      <w:pPr>
        <w:ind w:left="5"/>
        <w:spacing w:after="0"/>
        <w:tabs>
          <w:tab w:leader="none" w:pos="524" w:val="left"/>
        </w:tabs>
        <w:rPr>
          <w:sz w:val="20"/>
          <w:szCs w:val="20"/>
          <w:color w:val="auto"/>
        </w:rPr>
      </w:pPr>
      <w:r>
        <w:rPr>
          <w:rFonts w:ascii="Arial" w:cs="Arial" w:eastAsia="Arial" w:hAnsi="Arial"/>
          <w:sz w:val="18"/>
          <w:szCs w:val="18"/>
          <w:b w:val="1"/>
          <w:bCs w:val="1"/>
          <w:u w:val="single" w:color="auto"/>
          <w:color w:val="0563C1"/>
        </w:rPr>
        <w:t>3.32</w:t>
      </w:r>
      <w:r>
        <w:rPr>
          <w:sz w:val="20"/>
          <w:szCs w:val="20"/>
          <w:color w:val="auto"/>
        </w:rPr>
        <w:tab/>
      </w:r>
      <w:r>
        <w:rPr>
          <w:rFonts w:ascii="Arial" w:cs="Arial" w:eastAsia="Arial" w:hAnsi="Arial"/>
          <w:sz w:val="17"/>
          <w:szCs w:val="17"/>
          <w:b w:val="1"/>
          <w:bCs w:val="1"/>
          <w:u w:val="single" w:color="auto"/>
          <w:color w:val="0563C1"/>
        </w:rPr>
        <w:t>No General Solicitation</w:t>
      </w:r>
    </w:p>
    <w:p>
      <w:pPr>
        <w:spacing w:after="0" w:line="40" w:lineRule="exact"/>
        <w:rPr>
          <w:sz w:val="20"/>
          <w:szCs w:val="20"/>
          <w:color w:val="auto"/>
        </w:rPr>
      </w:pPr>
    </w:p>
    <w:p>
      <w:pPr>
        <w:ind w:left="5" w:right="5480" w:hanging="5"/>
        <w:spacing w:after="0" w:line="266" w:lineRule="auto"/>
        <w:tabs>
          <w:tab w:leader="none" w:pos="355" w:val="left"/>
        </w:tabs>
        <w:numPr>
          <w:ilvl w:val="0"/>
          <w:numId w:val="18"/>
        </w:numPr>
        <w:rPr>
          <w:rFonts w:ascii="Arial" w:cs="Arial" w:eastAsia="Arial" w:hAnsi="Arial"/>
          <w:sz w:val="18"/>
          <w:szCs w:val="18"/>
          <w:b w:val="1"/>
          <w:bCs w:val="1"/>
          <w:u w:val="single" w:color="auto"/>
          <w:color w:val="0563C1"/>
        </w:rPr>
      </w:pPr>
      <w:r>
        <w:rPr>
          <w:rFonts w:ascii="Arial" w:cs="Arial" w:eastAsia="Arial" w:hAnsi="Arial"/>
          <w:sz w:val="18"/>
          <w:szCs w:val="18"/>
          <w:b w:val="1"/>
          <w:bCs w:val="1"/>
          <w:u w:val="single" w:color="auto"/>
          <w:color w:val="0563C1"/>
        </w:rPr>
        <w:t>Representations and Warranties of the Investor 4.1 Authorization</w:t>
      </w:r>
    </w:p>
    <w:p>
      <w:pPr>
        <w:ind w:left="5"/>
        <w:spacing w:after="0"/>
        <w:rPr>
          <w:rFonts w:ascii="Arial" w:cs="Arial" w:eastAsia="Arial" w:hAnsi="Arial"/>
          <w:sz w:val="18"/>
          <w:szCs w:val="18"/>
          <w:b w:val="1"/>
          <w:bCs w:val="1"/>
          <w:u w:val="single" w:color="auto"/>
          <w:color w:val="0563C1"/>
        </w:rPr>
      </w:pPr>
      <w:r>
        <w:rPr>
          <w:rFonts w:ascii="Arial" w:cs="Arial" w:eastAsia="Arial" w:hAnsi="Arial"/>
          <w:sz w:val="18"/>
          <w:szCs w:val="18"/>
          <w:b w:val="1"/>
          <w:bCs w:val="1"/>
          <w:u w:val="single" w:color="auto"/>
          <w:color w:val="0563C1"/>
        </w:rPr>
        <w:t>4.2  Purchase Entirely for Own Account</w:t>
      </w:r>
    </w:p>
    <w:p>
      <w:pPr>
        <w:spacing w:after="0" w:line="22" w:lineRule="exact"/>
        <w:rPr>
          <w:rFonts w:ascii="Arial" w:cs="Arial" w:eastAsia="Arial" w:hAnsi="Arial"/>
          <w:sz w:val="18"/>
          <w:szCs w:val="18"/>
          <w:b w:val="1"/>
          <w:bCs w:val="1"/>
          <w:u w:val="single" w:color="auto"/>
          <w:color w:val="0563C1"/>
        </w:rPr>
      </w:pPr>
    </w:p>
    <w:p>
      <w:pPr>
        <w:ind w:left="5"/>
        <w:spacing w:after="0"/>
        <w:rPr>
          <w:rFonts w:ascii="Arial" w:cs="Arial" w:eastAsia="Arial" w:hAnsi="Arial"/>
          <w:sz w:val="18"/>
          <w:szCs w:val="18"/>
          <w:b w:val="1"/>
          <w:bCs w:val="1"/>
          <w:u w:val="single" w:color="auto"/>
          <w:color w:val="0563C1"/>
        </w:rPr>
      </w:pPr>
      <w:r>
        <w:rPr>
          <w:rFonts w:ascii="Arial" w:cs="Arial" w:eastAsia="Arial" w:hAnsi="Arial"/>
          <w:sz w:val="18"/>
          <w:szCs w:val="18"/>
          <w:b w:val="1"/>
          <w:bCs w:val="1"/>
          <w:u w:val="single" w:color="auto"/>
          <w:color w:val="0563C1"/>
        </w:rPr>
        <w:t>4.3  Disclosure of Information</w:t>
      </w:r>
    </w:p>
    <w:p>
      <w:pPr>
        <w:spacing w:after="0" w:line="22" w:lineRule="exact"/>
        <w:rPr>
          <w:rFonts w:ascii="Arial" w:cs="Arial" w:eastAsia="Arial" w:hAnsi="Arial"/>
          <w:sz w:val="18"/>
          <w:szCs w:val="18"/>
          <w:b w:val="1"/>
          <w:bCs w:val="1"/>
          <w:u w:val="single" w:color="auto"/>
          <w:color w:val="0563C1"/>
        </w:rPr>
      </w:pPr>
    </w:p>
    <w:p>
      <w:pPr>
        <w:ind w:left="5"/>
        <w:spacing w:after="0"/>
        <w:rPr>
          <w:rFonts w:ascii="Arial" w:cs="Arial" w:eastAsia="Arial" w:hAnsi="Arial"/>
          <w:sz w:val="18"/>
          <w:szCs w:val="18"/>
          <w:b w:val="1"/>
          <w:bCs w:val="1"/>
          <w:u w:val="single" w:color="auto"/>
          <w:color w:val="0563C1"/>
        </w:rPr>
      </w:pPr>
      <w:r>
        <w:rPr>
          <w:rFonts w:ascii="Arial" w:cs="Arial" w:eastAsia="Arial" w:hAnsi="Arial"/>
          <w:sz w:val="18"/>
          <w:szCs w:val="18"/>
          <w:b w:val="1"/>
          <w:bCs w:val="1"/>
          <w:u w:val="single" w:color="auto"/>
          <w:color w:val="0563C1"/>
        </w:rPr>
        <w:t>4.4  Restricted Securities</w:t>
      </w:r>
    </w:p>
    <w:p>
      <w:pPr>
        <w:spacing w:after="0" w:line="22" w:lineRule="exact"/>
        <w:rPr>
          <w:rFonts w:ascii="Arial" w:cs="Arial" w:eastAsia="Arial" w:hAnsi="Arial"/>
          <w:sz w:val="18"/>
          <w:szCs w:val="18"/>
          <w:b w:val="1"/>
          <w:bCs w:val="1"/>
          <w:u w:val="single" w:color="auto"/>
          <w:color w:val="0563C1"/>
        </w:rPr>
      </w:pPr>
    </w:p>
    <w:p>
      <w:pPr>
        <w:ind w:left="5"/>
        <w:spacing w:after="0"/>
        <w:rPr>
          <w:rFonts w:ascii="Arial" w:cs="Arial" w:eastAsia="Arial" w:hAnsi="Arial"/>
          <w:sz w:val="18"/>
          <w:szCs w:val="18"/>
          <w:b w:val="1"/>
          <w:bCs w:val="1"/>
          <w:u w:val="single" w:color="auto"/>
          <w:color w:val="0563C1"/>
        </w:rPr>
      </w:pPr>
      <w:r>
        <w:rPr>
          <w:rFonts w:ascii="Arial" w:cs="Arial" w:eastAsia="Arial" w:hAnsi="Arial"/>
          <w:sz w:val="18"/>
          <w:szCs w:val="18"/>
          <w:b w:val="1"/>
          <w:bCs w:val="1"/>
          <w:u w:val="single" w:color="auto"/>
          <w:color w:val="0563C1"/>
        </w:rPr>
        <w:t>4.5  Investor Status</w:t>
      </w:r>
    </w:p>
    <w:p>
      <w:pPr>
        <w:spacing w:after="0" w:line="22" w:lineRule="exact"/>
        <w:rPr>
          <w:rFonts w:ascii="Arial" w:cs="Arial" w:eastAsia="Arial" w:hAnsi="Arial"/>
          <w:sz w:val="18"/>
          <w:szCs w:val="18"/>
          <w:b w:val="1"/>
          <w:bCs w:val="1"/>
          <w:u w:val="single" w:color="auto"/>
          <w:color w:val="0563C1"/>
        </w:rPr>
      </w:pPr>
    </w:p>
    <w:p>
      <w:pPr>
        <w:ind w:left="5"/>
        <w:spacing w:after="0"/>
        <w:rPr>
          <w:rFonts w:ascii="Arial" w:cs="Arial" w:eastAsia="Arial" w:hAnsi="Arial"/>
          <w:sz w:val="18"/>
          <w:szCs w:val="18"/>
          <w:b w:val="1"/>
          <w:bCs w:val="1"/>
          <w:u w:val="single" w:color="auto"/>
          <w:color w:val="0563C1"/>
        </w:rPr>
      </w:pPr>
      <w:r>
        <w:rPr>
          <w:rFonts w:ascii="Arial" w:cs="Arial" w:eastAsia="Arial" w:hAnsi="Arial"/>
          <w:sz w:val="18"/>
          <w:szCs w:val="18"/>
          <w:b w:val="1"/>
          <w:bCs w:val="1"/>
          <w:u w:val="single" w:color="auto"/>
          <w:color w:val="0563C1"/>
        </w:rPr>
        <w:t>4.6  Foreign Person</w:t>
      </w:r>
    </w:p>
    <w:p>
      <w:pPr>
        <w:spacing w:after="0" w:line="22" w:lineRule="exact"/>
        <w:rPr>
          <w:rFonts w:ascii="Arial" w:cs="Arial" w:eastAsia="Arial" w:hAnsi="Arial"/>
          <w:sz w:val="18"/>
          <w:szCs w:val="18"/>
          <w:b w:val="1"/>
          <w:bCs w:val="1"/>
          <w:u w:val="single" w:color="auto"/>
          <w:color w:val="0563C1"/>
        </w:rPr>
      </w:pPr>
    </w:p>
    <w:p>
      <w:pPr>
        <w:ind w:left="5"/>
        <w:spacing w:after="0"/>
        <w:rPr>
          <w:rFonts w:ascii="Arial" w:cs="Arial" w:eastAsia="Arial" w:hAnsi="Arial"/>
          <w:sz w:val="18"/>
          <w:szCs w:val="18"/>
          <w:b w:val="1"/>
          <w:bCs w:val="1"/>
          <w:u w:val="single" w:color="auto"/>
          <w:color w:val="0563C1"/>
        </w:rPr>
      </w:pPr>
      <w:r>
        <w:rPr>
          <w:rFonts w:ascii="Arial" w:cs="Arial" w:eastAsia="Arial" w:hAnsi="Arial"/>
          <w:sz w:val="18"/>
          <w:szCs w:val="18"/>
          <w:b w:val="1"/>
          <w:bCs w:val="1"/>
          <w:u w:val="single" w:color="auto"/>
          <w:color w:val="0563C1"/>
        </w:rPr>
        <w:t>4.7  No General Solicitation</w:t>
      </w:r>
    </w:p>
    <w:p>
      <w:pPr>
        <w:spacing w:after="0" w:line="22" w:lineRule="exact"/>
        <w:rPr>
          <w:rFonts w:ascii="Arial" w:cs="Arial" w:eastAsia="Arial" w:hAnsi="Arial"/>
          <w:sz w:val="18"/>
          <w:szCs w:val="18"/>
          <w:b w:val="1"/>
          <w:bCs w:val="1"/>
          <w:u w:val="single" w:color="auto"/>
          <w:color w:val="0563C1"/>
        </w:rPr>
      </w:pPr>
    </w:p>
    <w:p>
      <w:pPr>
        <w:ind w:left="5"/>
        <w:spacing w:after="0"/>
        <w:rPr>
          <w:rFonts w:ascii="Arial" w:cs="Arial" w:eastAsia="Arial" w:hAnsi="Arial"/>
          <w:sz w:val="18"/>
          <w:szCs w:val="18"/>
          <w:b w:val="1"/>
          <w:bCs w:val="1"/>
          <w:u w:val="single" w:color="auto"/>
          <w:color w:val="0563C1"/>
        </w:rPr>
      </w:pPr>
      <w:r>
        <w:rPr>
          <w:rFonts w:ascii="Arial" w:cs="Arial" w:eastAsia="Arial" w:hAnsi="Arial"/>
          <w:sz w:val="18"/>
          <w:szCs w:val="18"/>
          <w:b w:val="1"/>
          <w:bCs w:val="1"/>
          <w:u w:val="single" w:color="auto"/>
          <w:color w:val="0563C1"/>
        </w:rPr>
        <w:t>4.8  Exculpation</w:t>
      </w:r>
    </w:p>
    <w:p>
      <w:pPr>
        <w:spacing w:after="0" w:line="22" w:lineRule="exact"/>
        <w:rPr>
          <w:rFonts w:ascii="Arial" w:cs="Arial" w:eastAsia="Arial" w:hAnsi="Arial"/>
          <w:sz w:val="18"/>
          <w:szCs w:val="18"/>
          <w:b w:val="1"/>
          <w:bCs w:val="1"/>
          <w:u w:val="single" w:color="auto"/>
          <w:color w:val="0563C1"/>
        </w:rPr>
      </w:pPr>
    </w:p>
    <w:p>
      <w:pPr>
        <w:ind w:left="5"/>
        <w:spacing w:after="0"/>
        <w:rPr>
          <w:rFonts w:ascii="Arial" w:cs="Arial" w:eastAsia="Arial" w:hAnsi="Arial"/>
          <w:sz w:val="18"/>
          <w:szCs w:val="18"/>
          <w:b w:val="1"/>
          <w:bCs w:val="1"/>
          <w:u w:val="single" w:color="auto"/>
          <w:color w:val="0563C1"/>
        </w:rPr>
      </w:pPr>
      <w:r>
        <w:rPr>
          <w:rFonts w:ascii="Arial" w:cs="Arial" w:eastAsia="Arial" w:hAnsi="Arial"/>
          <w:sz w:val="18"/>
          <w:szCs w:val="18"/>
          <w:b w:val="1"/>
          <w:bCs w:val="1"/>
          <w:u w:val="single" w:color="auto"/>
          <w:color w:val="0563C1"/>
        </w:rPr>
        <w:t>4.9  Compliance</w:t>
      </w:r>
    </w:p>
    <w:p>
      <w:pPr>
        <w:spacing w:after="0" w:line="22" w:lineRule="exact"/>
        <w:rPr>
          <w:rFonts w:ascii="Arial" w:cs="Arial" w:eastAsia="Arial" w:hAnsi="Arial"/>
          <w:sz w:val="18"/>
          <w:szCs w:val="18"/>
          <w:b w:val="1"/>
          <w:bCs w:val="1"/>
          <w:u w:val="single" w:color="auto"/>
          <w:color w:val="0563C1"/>
        </w:rPr>
      </w:pPr>
    </w:p>
    <w:p>
      <w:pPr>
        <w:ind w:left="5"/>
        <w:spacing w:after="0"/>
        <w:rPr>
          <w:rFonts w:ascii="Arial" w:cs="Arial" w:eastAsia="Arial" w:hAnsi="Arial"/>
          <w:sz w:val="18"/>
          <w:szCs w:val="18"/>
          <w:b w:val="1"/>
          <w:bCs w:val="1"/>
          <w:u w:val="single" w:color="auto"/>
          <w:color w:val="0563C1"/>
        </w:rPr>
      </w:pPr>
      <w:r>
        <w:rPr>
          <w:rFonts w:ascii="Arial" w:cs="Arial" w:eastAsia="Arial" w:hAnsi="Arial"/>
          <w:sz w:val="18"/>
          <w:szCs w:val="18"/>
          <w:b w:val="1"/>
          <w:bCs w:val="1"/>
          <w:u w:val="single" w:color="auto"/>
          <w:color w:val="0563C1"/>
        </w:rPr>
        <w:t>4.10  Benefit Plan</w:t>
      </w:r>
    </w:p>
    <w:p>
      <w:pPr>
        <w:spacing w:after="0" w:line="22" w:lineRule="exact"/>
        <w:rPr>
          <w:rFonts w:ascii="Arial" w:cs="Arial" w:eastAsia="Arial" w:hAnsi="Arial"/>
          <w:sz w:val="18"/>
          <w:szCs w:val="18"/>
          <w:b w:val="1"/>
          <w:bCs w:val="1"/>
          <w:u w:val="single" w:color="auto"/>
          <w:color w:val="0563C1"/>
        </w:rPr>
      </w:pPr>
    </w:p>
    <w:p>
      <w:pPr>
        <w:ind w:left="5"/>
        <w:spacing w:after="0"/>
        <w:rPr>
          <w:rFonts w:ascii="Arial" w:cs="Arial" w:eastAsia="Arial" w:hAnsi="Arial"/>
          <w:sz w:val="18"/>
          <w:szCs w:val="18"/>
          <w:b w:val="1"/>
          <w:bCs w:val="1"/>
          <w:u w:val="single" w:color="auto"/>
          <w:color w:val="0563C1"/>
        </w:rPr>
      </w:pPr>
      <w:r>
        <w:rPr>
          <w:rFonts w:ascii="Arial" w:cs="Arial" w:eastAsia="Arial" w:hAnsi="Arial"/>
          <w:sz w:val="18"/>
          <w:szCs w:val="18"/>
          <w:b w:val="1"/>
          <w:bCs w:val="1"/>
          <w:u w:val="single" w:color="auto"/>
          <w:color w:val="0563C1"/>
        </w:rPr>
        <w:t>4.11  Disqualified Investor</w:t>
      </w:r>
    </w:p>
    <w:p>
      <w:pPr>
        <w:spacing w:after="0" w:line="22" w:lineRule="exact"/>
        <w:rPr>
          <w:rFonts w:ascii="Arial" w:cs="Arial" w:eastAsia="Arial" w:hAnsi="Arial"/>
          <w:sz w:val="18"/>
          <w:szCs w:val="18"/>
          <w:b w:val="1"/>
          <w:bCs w:val="1"/>
          <w:u w:val="single" w:color="auto"/>
          <w:color w:val="0563C1"/>
        </w:rPr>
      </w:pPr>
    </w:p>
    <w:p>
      <w:pPr>
        <w:ind w:left="345" w:hanging="345"/>
        <w:spacing w:after="0"/>
        <w:tabs>
          <w:tab w:leader="none" w:pos="345" w:val="left"/>
        </w:tabs>
        <w:numPr>
          <w:ilvl w:val="0"/>
          <w:numId w:val="18"/>
        </w:numPr>
        <w:rPr>
          <w:rFonts w:ascii="Arial" w:cs="Arial" w:eastAsia="Arial" w:hAnsi="Arial"/>
          <w:sz w:val="18"/>
          <w:szCs w:val="18"/>
          <w:b w:val="1"/>
          <w:bCs w:val="1"/>
          <w:u w:val="single" w:color="auto"/>
          <w:color w:val="0563C1"/>
        </w:rPr>
      </w:pPr>
      <w:r>
        <w:rPr>
          <w:rFonts w:ascii="Arial" w:cs="Arial" w:eastAsia="Arial" w:hAnsi="Arial"/>
          <w:sz w:val="18"/>
          <w:szCs w:val="18"/>
          <w:b w:val="1"/>
          <w:bCs w:val="1"/>
          <w:u w:val="single" w:color="auto"/>
          <w:color w:val="0563C1"/>
        </w:rPr>
        <w:t>CONFIDENTIALITY</w:t>
      </w:r>
    </w:p>
    <w:p>
      <w:pPr>
        <w:spacing w:after="0" w:line="22" w:lineRule="exact"/>
        <w:rPr>
          <w:rFonts w:ascii="Arial" w:cs="Arial" w:eastAsia="Arial" w:hAnsi="Arial"/>
          <w:sz w:val="18"/>
          <w:szCs w:val="18"/>
          <w:b w:val="1"/>
          <w:bCs w:val="1"/>
          <w:u w:val="single" w:color="auto"/>
          <w:color w:val="0563C1"/>
        </w:rPr>
      </w:pPr>
    </w:p>
    <w:p>
      <w:pPr>
        <w:ind w:left="345" w:hanging="345"/>
        <w:spacing w:after="0"/>
        <w:tabs>
          <w:tab w:leader="none" w:pos="345" w:val="left"/>
        </w:tabs>
        <w:numPr>
          <w:ilvl w:val="0"/>
          <w:numId w:val="18"/>
        </w:numPr>
        <w:rPr>
          <w:rFonts w:ascii="Arial" w:cs="Arial" w:eastAsia="Arial" w:hAnsi="Arial"/>
          <w:sz w:val="18"/>
          <w:szCs w:val="18"/>
          <w:b w:val="1"/>
          <w:bCs w:val="1"/>
          <w:u w:val="single" w:color="auto"/>
          <w:color w:val="0563C1"/>
        </w:rPr>
      </w:pPr>
      <w:r>
        <w:rPr>
          <w:rFonts w:ascii="Arial" w:cs="Arial" w:eastAsia="Arial" w:hAnsi="Arial"/>
          <w:sz w:val="18"/>
          <w:szCs w:val="18"/>
          <w:b w:val="1"/>
          <w:bCs w:val="1"/>
          <w:u w:val="single" w:color="auto"/>
          <w:color w:val="0563C1"/>
        </w:rPr>
        <w:t>Restrictions on Transfer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w:t>
      </w:r>
    </w:p>
    <w:p>
      <w:pPr>
        <w:spacing w:after="0" w:line="200" w:lineRule="exact"/>
        <w:rPr>
          <w:sz w:val="20"/>
          <w:szCs w:val="20"/>
          <w:color w:val="auto"/>
        </w:rPr>
      </w:pPr>
    </w:p>
    <w:p>
      <w:pPr>
        <w:sectPr>
          <w:pgSz w:w="11900" w:h="16838" w:orient="portrait"/>
          <w:cols w:equalWidth="0" w:num="2">
            <w:col w:w="9865" w:space="720"/>
            <w:col w:w="200"/>
          </w:cols>
          <w:pgMar w:left="395" w:top="1403" w:right="719" w:bottom="4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04"/>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85"/>
          </w:cols>
          <w:pgMar w:left="395" w:top="1403" w:right="719" w:bottom="421" w:gutter="0" w:footer="0" w:header="0"/>
          <w:type w:val="continuous"/>
        </w:sectPr>
      </w:pPr>
    </w:p>
    <w:bookmarkStart w:id="24" w:name="page25"/>
    <w:bookmarkEnd w:id="24"/>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Borders>
              <w:bottom w:val="single" w:sz="8" w:color="0563C1"/>
            </w:tcBorders>
          </w:tcPr>
          <w:p>
            <w:pPr>
              <w:spacing w:after="0"/>
              <w:rPr>
                <w:sz w:val="20"/>
                <w:szCs w:val="20"/>
                <w:color w:val="auto"/>
              </w:rPr>
            </w:pPr>
            <w:r>
              <w:rPr>
                <w:rFonts w:ascii="Arial" w:cs="Arial" w:eastAsia="Arial" w:hAnsi="Arial"/>
                <w:sz w:val="18"/>
                <w:szCs w:val="18"/>
                <w:b w:val="1"/>
                <w:bCs w:val="1"/>
                <w:color w:val="0563C1"/>
              </w:rPr>
              <w:t>7.</w:t>
            </w:r>
          </w:p>
        </w:tc>
        <w:tc>
          <w:tcPr>
            <w:tcW w:w="1000" w:type="dxa"/>
            <w:vAlign w:val="bottom"/>
            <w:tcBorders>
              <w:bottom w:val="single" w:sz="8" w:color="0563C1"/>
            </w:tcBorders>
            <w:gridSpan w:val="3"/>
          </w:tcPr>
          <w:p>
            <w:pPr>
              <w:spacing w:after="0"/>
              <w:rPr>
                <w:sz w:val="20"/>
                <w:szCs w:val="20"/>
                <w:color w:val="auto"/>
              </w:rPr>
            </w:pPr>
            <w:r>
              <w:rPr>
                <w:rFonts w:ascii="Arial" w:cs="Arial" w:eastAsia="Arial" w:hAnsi="Arial"/>
                <w:sz w:val="18"/>
                <w:szCs w:val="18"/>
                <w:b w:val="1"/>
                <w:bCs w:val="1"/>
                <w:color w:val="0563C1"/>
                <w:w w:val="98"/>
              </w:rPr>
              <w:t>RESERVED</w:t>
            </w:r>
          </w:p>
        </w:tc>
        <w:tc>
          <w:tcPr>
            <w:tcW w:w="5540" w:type="dxa"/>
            <w:vAlign w:val="bottom"/>
            <w:gridSpan w:val="11"/>
          </w:tcPr>
          <w:p>
            <w:pPr>
              <w:spacing w:after="0"/>
              <w:rPr>
                <w:sz w:val="17"/>
                <w:szCs w:val="17"/>
                <w:color w:val="auto"/>
              </w:rPr>
            </w:pP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209"/>
        </w:trPr>
        <w:tc>
          <w:tcPr>
            <w:tcW w:w="340" w:type="dxa"/>
            <w:vAlign w:val="bottom"/>
            <w:tcBorders>
              <w:bottom w:val="single" w:sz="8" w:color="0563C1"/>
            </w:tcBorders>
          </w:tcPr>
          <w:p>
            <w:pPr>
              <w:spacing w:after="0"/>
              <w:rPr>
                <w:sz w:val="20"/>
                <w:szCs w:val="20"/>
                <w:color w:val="auto"/>
              </w:rPr>
            </w:pPr>
            <w:r>
              <w:rPr>
                <w:rFonts w:ascii="Arial" w:cs="Arial" w:eastAsia="Arial" w:hAnsi="Arial"/>
                <w:sz w:val="18"/>
                <w:szCs w:val="18"/>
                <w:b w:val="1"/>
                <w:bCs w:val="1"/>
                <w:color w:val="0563C1"/>
              </w:rPr>
              <w:t>8.</w:t>
            </w:r>
          </w:p>
        </w:tc>
        <w:tc>
          <w:tcPr>
            <w:tcW w:w="780" w:type="dxa"/>
            <w:vAlign w:val="bottom"/>
            <w:tcBorders>
              <w:bottom w:val="single" w:sz="8" w:color="0563C1"/>
            </w:tcBorders>
            <w:gridSpan w:val="2"/>
          </w:tcPr>
          <w:p>
            <w:pPr>
              <w:spacing w:after="0"/>
              <w:rPr>
                <w:sz w:val="20"/>
                <w:szCs w:val="20"/>
                <w:color w:val="auto"/>
              </w:rPr>
            </w:pPr>
            <w:r>
              <w:rPr>
                <w:rFonts w:ascii="Arial" w:cs="Arial" w:eastAsia="Arial" w:hAnsi="Arial"/>
                <w:sz w:val="18"/>
                <w:szCs w:val="18"/>
                <w:b w:val="1"/>
                <w:bCs w:val="1"/>
                <w:color w:val="0563C1"/>
              </w:rPr>
              <w:t>reserved</w:t>
            </w:r>
          </w:p>
        </w:tc>
        <w:tc>
          <w:tcPr>
            <w:tcW w:w="5760" w:type="dxa"/>
            <w:vAlign w:val="bottom"/>
            <w:gridSpan w:val="12"/>
          </w:tcPr>
          <w:p>
            <w:pPr>
              <w:spacing w:after="0"/>
              <w:rPr>
                <w:sz w:val="18"/>
                <w:szCs w:val="18"/>
                <w:color w:val="auto"/>
              </w:rPr>
            </w:pP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223"/>
        </w:trPr>
        <w:tc>
          <w:tcPr>
            <w:tcW w:w="340" w:type="dxa"/>
            <w:vAlign w:val="bottom"/>
            <w:tcBorders>
              <w:bottom w:val="single" w:sz="8" w:color="0563C1"/>
            </w:tcBorders>
          </w:tcPr>
          <w:p>
            <w:pPr>
              <w:spacing w:after="0"/>
              <w:rPr>
                <w:sz w:val="20"/>
                <w:szCs w:val="20"/>
                <w:color w:val="auto"/>
              </w:rPr>
            </w:pPr>
            <w:r>
              <w:rPr>
                <w:rFonts w:ascii="Arial" w:cs="Arial" w:eastAsia="Arial" w:hAnsi="Arial"/>
                <w:sz w:val="18"/>
                <w:szCs w:val="18"/>
                <w:b w:val="1"/>
                <w:bCs w:val="1"/>
                <w:color w:val="0563C1"/>
              </w:rPr>
              <w:t>9.</w:t>
            </w:r>
          </w:p>
        </w:tc>
        <w:tc>
          <w:tcPr>
            <w:tcW w:w="1260" w:type="dxa"/>
            <w:vAlign w:val="bottom"/>
            <w:tcBorders>
              <w:bottom w:val="single" w:sz="8" w:color="0563C1"/>
            </w:tcBorders>
            <w:gridSpan w:val="7"/>
          </w:tcPr>
          <w:p>
            <w:pPr>
              <w:spacing w:after="0"/>
              <w:rPr>
                <w:sz w:val="20"/>
                <w:szCs w:val="20"/>
                <w:color w:val="auto"/>
              </w:rPr>
            </w:pPr>
            <w:r>
              <w:rPr>
                <w:rFonts w:ascii="Arial" w:cs="Arial" w:eastAsia="Arial" w:hAnsi="Arial"/>
                <w:sz w:val="18"/>
                <w:szCs w:val="18"/>
                <w:b w:val="1"/>
                <w:bCs w:val="1"/>
                <w:color w:val="0563C1"/>
              </w:rPr>
              <w:t>Miscellaneous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37"/>
        </w:trPr>
        <w:tc>
          <w:tcPr>
            <w:tcW w:w="340" w:type="dxa"/>
            <w:vAlign w:val="bottom"/>
            <w:tcBorders>
              <w:bottom w:val="single" w:sz="8" w:color="0563C1"/>
            </w:tcBorders>
          </w:tcPr>
          <w:p>
            <w:pPr>
              <w:spacing w:after="0"/>
              <w:rPr>
                <w:sz w:val="20"/>
                <w:szCs w:val="20"/>
                <w:color w:val="auto"/>
              </w:rPr>
            </w:pPr>
            <w:r>
              <w:rPr>
                <w:rFonts w:ascii="Arial" w:cs="Arial" w:eastAsia="Arial" w:hAnsi="Arial"/>
                <w:sz w:val="18"/>
                <w:szCs w:val="18"/>
                <w:b w:val="1"/>
                <w:bCs w:val="1"/>
                <w:color w:val="0563C1"/>
              </w:rPr>
              <w:t>9.</w:t>
            </w:r>
            <w:r>
              <w:rPr>
                <w:rFonts w:ascii="Arial" w:cs="Arial" w:eastAsia="Arial" w:hAnsi="Arial"/>
                <w:sz w:val="18"/>
                <w:szCs w:val="18"/>
                <w:b w:val="1"/>
                <w:bCs w:val="1"/>
                <w:u w:val="single" w:color="auto"/>
                <w:color w:val="0563C1"/>
              </w:rPr>
              <w:t>1</w:t>
            </w:r>
          </w:p>
        </w:tc>
        <w:tc>
          <w:tcPr>
            <w:tcW w:w="2240" w:type="dxa"/>
            <w:vAlign w:val="bottom"/>
            <w:tcBorders>
              <w:bottom w:val="single" w:sz="8" w:color="0563C1"/>
            </w:tcBorders>
            <w:gridSpan w:val="12"/>
          </w:tcPr>
          <w:p>
            <w:pPr>
              <w:ind w:left="100"/>
              <w:spacing w:after="0"/>
              <w:rPr>
                <w:sz w:val="20"/>
                <w:szCs w:val="20"/>
                <w:color w:val="auto"/>
              </w:rPr>
            </w:pPr>
            <w:r>
              <w:rPr>
                <w:rFonts w:ascii="Arial" w:cs="Arial" w:eastAsia="Arial" w:hAnsi="Arial"/>
                <w:sz w:val="18"/>
                <w:szCs w:val="18"/>
                <w:b w:val="1"/>
                <w:bCs w:val="1"/>
                <w:color w:val="0563C1"/>
                <w:w w:val="99"/>
              </w:rPr>
              <w:t>Successors and Assigns</w:t>
            </w:r>
          </w:p>
        </w:tc>
        <w:tc>
          <w:tcPr>
            <w:tcW w:w="4300" w:type="dxa"/>
            <w:vAlign w:val="bottom"/>
            <w:gridSpan w:val="2"/>
          </w:tcPr>
          <w:p>
            <w:pPr>
              <w:spacing w:after="0"/>
              <w:rPr>
                <w:sz w:val="20"/>
                <w:szCs w:val="20"/>
                <w:color w:val="auto"/>
              </w:rPr>
            </w:pP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09"/>
        </w:trPr>
        <w:tc>
          <w:tcPr>
            <w:tcW w:w="340" w:type="dxa"/>
            <w:vAlign w:val="bottom"/>
          </w:tcPr>
          <w:p>
            <w:pPr>
              <w:spacing w:after="0"/>
              <w:rPr>
                <w:sz w:val="20"/>
                <w:szCs w:val="20"/>
                <w:color w:val="auto"/>
              </w:rPr>
            </w:pPr>
            <w:r>
              <w:rPr>
                <w:rFonts w:ascii="Arial" w:cs="Arial" w:eastAsia="Arial" w:hAnsi="Arial"/>
                <w:sz w:val="18"/>
                <w:szCs w:val="18"/>
                <w:b w:val="1"/>
                <w:bCs w:val="1"/>
                <w:color w:val="0563C1"/>
              </w:rPr>
              <w:t>9.</w:t>
            </w:r>
            <w:r>
              <w:rPr>
                <w:rFonts w:ascii="Arial" w:cs="Arial" w:eastAsia="Arial" w:hAnsi="Arial"/>
                <w:sz w:val="18"/>
                <w:szCs w:val="18"/>
                <w:b w:val="1"/>
                <w:bCs w:val="1"/>
                <w:u w:val="single" w:color="auto"/>
                <w:color w:val="0563C1"/>
              </w:rPr>
              <w:t>2</w:t>
            </w:r>
          </w:p>
        </w:tc>
        <w:tc>
          <w:tcPr>
            <w:tcW w:w="6540" w:type="dxa"/>
            <w:vAlign w:val="bottom"/>
            <w:gridSpan w:val="14"/>
          </w:tcPr>
          <w:p>
            <w:pPr>
              <w:ind w:left="100"/>
              <w:spacing w:after="0"/>
              <w:rPr>
                <w:sz w:val="20"/>
                <w:szCs w:val="20"/>
                <w:color w:val="auto"/>
              </w:rPr>
            </w:pPr>
            <w:r>
              <w:rPr>
                <w:rFonts w:ascii="Arial" w:cs="Arial" w:eastAsia="Arial" w:hAnsi="Arial"/>
                <w:sz w:val="18"/>
                <w:szCs w:val="18"/>
                <w:b w:val="1"/>
                <w:bCs w:val="1"/>
                <w:color w:val="0563C1"/>
              </w:rPr>
              <w:t>Governing Law</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09"/>
        </w:trPr>
        <w:tc>
          <w:tcPr>
            <w:tcW w:w="340" w:type="dxa"/>
            <w:vAlign w:val="bottom"/>
            <w:tcBorders>
              <w:top w:val="single" w:sz="8" w:color="0563C1"/>
              <w:bottom w:val="single" w:sz="8" w:color="0563C1"/>
            </w:tcBorders>
          </w:tcPr>
          <w:p>
            <w:pPr>
              <w:spacing w:after="0"/>
              <w:rPr>
                <w:sz w:val="20"/>
                <w:szCs w:val="20"/>
                <w:color w:val="auto"/>
              </w:rPr>
            </w:pPr>
            <w:r>
              <w:rPr>
                <w:rFonts w:ascii="Arial" w:cs="Arial" w:eastAsia="Arial" w:hAnsi="Arial"/>
                <w:sz w:val="18"/>
                <w:szCs w:val="18"/>
                <w:b w:val="1"/>
                <w:bCs w:val="1"/>
                <w:color w:val="0563C1"/>
              </w:rPr>
              <w:t>9.</w:t>
            </w:r>
            <w:r>
              <w:rPr>
                <w:rFonts w:ascii="Arial" w:cs="Arial" w:eastAsia="Arial" w:hAnsi="Arial"/>
                <w:sz w:val="18"/>
                <w:szCs w:val="18"/>
                <w:b w:val="1"/>
                <w:bCs w:val="1"/>
                <w:u w:val="single" w:color="auto"/>
                <w:color w:val="0563C1"/>
              </w:rPr>
              <w:t>3</w:t>
            </w:r>
          </w:p>
        </w:tc>
        <w:tc>
          <w:tcPr>
            <w:tcW w:w="1240" w:type="dxa"/>
            <w:vAlign w:val="bottom"/>
            <w:tcBorders>
              <w:top w:val="single" w:sz="8" w:color="0563C1"/>
              <w:bottom w:val="single" w:sz="8" w:color="0563C1"/>
            </w:tcBorders>
            <w:gridSpan w:val="6"/>
          </w:tcPr>
          <w:p>
            <w:pPr>
              <w:ind w:left="100"/>
              <w:spacing w:after="0"/>
              <w:rPr>
                <w:sz w:val="20"/>
                <w:szCs w:val="20"/>
                <w:color w:val="auto"/>
              </w:rPr>
            </w:pPr>
            <w:r>
              <w:rPr>
                <w:rFonts w:ascii="Arial" w:cs="Arial" w:eastAsia="Arial" w:hAnsi="Arial"/>
                <w:sz w:val="18"/>
                <w:szCs w:val="18"/>
                <w:b w:val="1"/>
                <w:bCs w:val="1"/>
                <w:color w:val="0563C1"/>
                <w:w w:val="99"/>
              </w:rPr>
              <w:t>Counterparts</w:t>
            </w:r>
          </w:p>
        </w:tc>
        <w:tc>
          <w:tcPr>
            <w:tcW w:w="160" w:type="dxa"/>
            <w:vAlign w:val="bottom"/>
            <w:tcBorders>
              <w:top w:val="single" w:sz="8" w:color="0563C1"/>
            </w:tcBorders>
            <w:gridSpan w:val="2"/>
          </w:tcPr>
          <w:p>
            <w:pPr>
              <w:spacing w:after="0"/>
              <w:rPr>
                <w:sz w:val="18"/>
                <w:szCs w:val="18"/>
                <w:color w:val="auto"/>
              </w:rPr>
            </w:pPr>
          </w:p>
        </w:tc>
        <w:tc>
          <w:tcPr>
            <w:tcW w:w="5140" w:type="dxa"/>
            <w:vAlign w:val="bottom"/>
            <w:gridSpan w:val="6"/>
          </w:tcPr>
          <w:p>
            <w:pPr>
              <w:spacing w:after="0"/>
              <w:rPr>
                <w:sz w:val="18"/>
                <w:szCs w:val="18"/>
                <w:color w:val="auto"/>
              </w:rPr>
            </w:pP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10"/>
        </w:trPr>
        <w:tc>
          <w:tcPr>
            <w:tcW w:w="340" w:type="dxa"/>
            <w:vAlign w:val="bottom"/>
            <w:tcBorders>
              <w:bottom w:val="single" w:sz="8" w:color="0563C1"/>
            </w:tcBorders>
          </w:tcPr>
          <w:p>
            <w:pPr>
              <w:spacing w:after="0"/>
              <w:rPr>
                <w:sz w:val="20"/>
                <w:szCs w:val="20"/>
                <w:color w:val="auto"/>
              </w:rPr>
            </w:pPr>
            <w:r>
              <w:rPr>
                <w:rFonts w:ascii="Arial" w:cs="Arial" w:eastAsia="Arial" w:hAnsi="Arial"/>
                <w:sz w:val="18"/>
                <w:szCs w:val="18"/>
                <w:b w:val="1"/>
                <w:bCs w:val="1"/>
                <w:color w:val="0563C1"/>
              </w:rPr>
              <w:t>9.</w:t>
            </w:r>
            <w:r>
              <w:rPr>
                <w:rFonts w:ascii="Arial" w:cs="Arial" w:eastAsia="Arial" w:hAnsi="Arial"/>
                <w:sz w:val="18"/>
                <w:szCs w:val="18"/>
                <w:b w:val="1"/>
                <w:bCs w:val="1"/>
                <w:u w:val="single" w:color="auto"/>
                <w:color w:val="0563C1"/>
              </w:rPr>
              <w:t>4</w:t>
            </w:r>
          </w:p>
        </w:tc>
        <w:tc>
          <w:tcPr>
            <w:tcW w:w="1760" w:type="dxa"/>
            <w:vAlign w:val="bottom"/>
            <w:tcBorders>
              <w:bottom w:val="single" w:sz="8" w:color="0563C1"/>
            </w:tcBorders>
            <w:gridSpan w:val="10"/>
          </w:tcPr>
          <w:p>
            <w:pPr>
              <w:ind w:left="100"/>
              <w:spacing w:after="0"/>
              <w:rPr>
                <w:sz w:val="20"/>
                <w:szCs w:val="20"/>
                <w:color w:val="auto"/>
              </w:rPr>
            </w:pPr>
            <w:r>
              <w:rPr>
                <w:rFonts w:ascii="Arial" w:cs="Arial" w:eastAsia="Arial" w:hAnsi="Arial"/>
                <w:sz w:val="18"/>
                <w:szCs w:val="18"/>
                <w:b w:val="1"/>
                <w:bCs w:val="1"/>
                <w:color w:val="0563C1"/>
                <w:w w:val="99"/>
              </w:rPr>
              <w:t>Titles and Subtitles</w:t>
            </w:r>
          </w:p>
        </w:tc>
        <w:tc>
          <w:tcPr>
            <w:tcW w:w="4780" w:type="dxa"/>
            <w:vAlign w:val="bottom"/>
            <w:gridSpan w:val="4"/>
          </w:tcPr>
          <w:p>
            <w:pPr>
              <w:spacing w:after="0"/>
              <w:rPr>
                <w:sz w:val="18"/>
                <w:szCs w:val="18"/>
                <w:color w:val="auto"/>
              </w:rPr>
            </w:pP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09"/>
        </w:trPr>
        <w:tc>
          <w:tcPr>
            <w:tcW w:w="340" w:type="dxa"/>
            <w:vAlign w:val="bottom"/>
            <w:tcBorders>
              <w:bottom w:val="single" w:sz="8" w:color="0563C1"/>
            </w:tcBorders>
          </w:tcPr>
          <w:p>
            <w:pPr>
              <w:spacing w:after="0"/>
              <w:rPr>
                <w:sz w:val="20"/>
                <w:szCs w:val="20"/>
                <w:color w:val="auto"/>
              </w:rPr>
            </w:pPr>
            <w:r>
              <w:rPr>
                <w:rFonts w:ascii="Arial" w:cs="Arial" w:eastAsia="Arial" w:hAnsi="Arial"/>
                <w:sz w:val="18"/>
                <w:szCs w:val="18"/>
                <w:b w:val="1"/>
                <w:bCs w:val="1"/>
                <w:color w:val="0563C1"/>
              </w:rPr>
              <w:t>9.</w:t>
            </w:r>
            <w:r>
              <w:rPr>
                <w:rFonts w:ascii="Arial" w:cs="Arial" w:eastAsia="Arial" w:hAnsi="Arial"/>
                <w:sz w:val="18"/>
                <w:szCs w:val="18"/>
                <w:b w:val="1"/>
                <w:bCs w:val="1"/>
                <w:u w:val="single" w:color="auto"/>
                <w:color w:val="0563C1"/>
              </w:rPr>
              <w:t>5</w:t>
            </w:r>
          </w:p>
        </w:tc>
        <w:tc>
          <w:tcPr>
            <w:tcW w:w="760" w:type="dxa"/>
            <w:vAlign w:val="bottom"/>
            <w:tcBorders>
              <w:bottom w:val="single" w:sz="8" w:color="0563C1"/>
            </w:tcBorders>
          </w:tcPr>
          <w:p>
            <w:pPr>
              <w:ind w:left="100"/>
              <w:spacing w:after="0"/>
              <w:rPr>
                <w:sz w:val="20"/>
                <w:szCs w:val="20"/>
                <w:color w:val="auto"/>
              </w:rPr>
            </w:pPr>
            <w:r>
              <w:rPr>
                <w:rFonts w:ascii="Arial" w:cs="Arial" w:eastAsia="Arial" w:hAnsi="Arial"/>
                <w:sz w:val="18"/>
                <w:szCs w:val="18"/>
                <w:b w:val="1"/>
                <w:bCs w:val="1"/>
                <w:color w:val="0563C1"/>
                <w:w w:val="98"/>
              </w:rPr>
              <w:t>Notices</w:t>
            </w:r>
          </w:p>
        </w:tc>
        <w:tc>
          <w:tcPr>
            <w:tcW w:w="5780" w:type="dxa"/>
            <w:vAlign w:val="bottom"/>
            <w:gridSpan w:val="13"/>
          </w:tcPr>
          <w:p>
            <w:pPr>
              <w:spacing w:after="0"/>
              <w:rPr>
                <w:sz w:val="18"/>
                <w:szCs w:val="18"/>
                <w:color w:val="auto"/>
              </w:rPr>
            </w:pP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10"/>
        </w:trPr>
        <w:tc>
          <w:tcPr>
            <w:tcW w:w="340" w:type="dxa"/>
            <w:vAlign w:val="bottom"/>
            <w:tcBorders>
              <w:bottom w:val="single" w:sz="8" w:color="0563C1"/>
            </w:tcBorders>
          </w:tcPr>
          <w:p>
            <w:pPr>
              <w:spacing w:after="0"/>
              <w:rPr>
                <w:sz w:val="20"/>
                <w:szCs w:val="20"/>
                <w:color w:val="auto"/>
              </w:rPr>
            </w:pPr>
            <w:r>
              <w:rPr>
                <w:rFonts w:ascii="Arial" w:cs="Arial" w:eastAsia="Arial" w:hAnsi="Arial"/>
                <w:sz w:val="18"/>
                <w:szCs w:val="18"/>
                <w:b w:val="1"/>
                <w:bCs w:val="1"/>
                <w:color w:val="0563C1"/>
              </w:rPr>
              <w:t>9.</w:t>
            </w:r>
            <w:r>
              <w:rPr>
                <w:rFonts w:ascii="Arial" w:cs="Arial" w:eastAsia="Arial" w:hAnsi="Arial"/>
                <w:sz w:val="18"/>
                <w:szCs w:val="18"/>
                <w:b w:val="1"/>
                <w:bCs w:val="1"/>
                <w:u w:val="single" w:color="auto"/>
                <w:color w:val="0563C1"/>
              </w:rPr>
              <w:t>6</w:t>
            </w:r>
          </w:p>
        </w:tc>
        <w:tc>
          <w:tcPr>
            <w:tcW w:w="1560" w:type="dxa"/>
            <w:vAlign w:val="bottom"/>
            <w:tcBorders>
              <w:bottom w:val="single" w:sz="8" w:color="0563C1"/>
            </w:tcBorders>
            <w:gridSpan w:val="9"/>
          </w:tcPr>
          <w:p>
            <w:pPr>
              <w:ind w:left="100"/>
              <w:spacing w:after="0"/>
              <w:rPr>
                <w:sz w:val="20"/>
                <w:szCs w:val="20"/>
                <w:color w:val="auto"/>
              </w:rPr>
            </w:pPr>
            <w:r>
              <w:rPr>
                <w:rFonts w:ascii="Arial" w:cs="Arial" w:eastAsia="Arial" w:hAnsi="Arial"/>
                <w:sz w:val="18"/>
                <w:szCs w:val="18"/>
                <w:b w:val="1"/>
                <w:bCs w:val="1"/>
                <w:color w:val="0563C1"/>
                <w:w w:val="99"/>
              </w:rPr>
              <w:t>No Finder’s Fees</w:t>
            </w:r>
          </w:p>
        </w:tc>
        <w:tc>
          <w:tcPr>
            <w:tcW w:w="4980" w:type="dxa"/>
            <w:vAlign w:val="bottom"/>
            <w:gridSpan w:val="5"/>
          </w:tcPr>
          <w:p>
            <w:pPr>
              <w:spacing w:after="0"/>
              <w:rPr>
                <w:sz w:val="18"/>
                <w:szCs w:val="18"/>
                <w:color w:val="auto"/>
              </w:rPr>
            </w:pP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09"/>
        </w:trPr>
        <w:tc>
          <w:tcPr>
            <w:tcW w:w="340" w:type="dxa"/>
            <w:vAlign w:val="bottom"/>
          </w:tcPr>
          <w:p>
            <w:pPr>
              <w:spacing w:after="0"/>
              <w:rPr>
                <w:sz w:val="20"/>
                <w:szCs w:val="20"/>
                <w:color w:val="auto"/>
              </w:rPr>
            </w:pPr>
            <w:r>
              <w:rPr>
                <w:rFonts w:ascii="Arial" w:cs="Arial" w:eastAsia="Arial" w:hAnsi="Arial"/>
                <w:sz w:val="18"/>
                <w:szCs w:val="18"/>
                <w:b w:val="1"/>
                <w:bCs w:val="1"/>
                <w:color w:val="0563C1"/>
              </w:rPr>
              <w:t>9.</w:t>
            </w:r>
            <w:r>
              <w:rPr>
                <w:rFonts w:ascii="Arial" w:cs="Arial" w:eastAsia="Arial" w:hAnsi="Arial"/>
                <w:sz w:val="18"/>
                <w:szCs w:val="18"/>
                <w:b w:val="1"/>
                <w:bCs w:val="1"/>
                <w:u w:val="single" w:color="auto"/>
                <w:color w:val="0563C1"/>
              </w:rPr>
              <w:t>7</w:t>
            </w:r>
          </w:p>
        </w:tc>
        <w:tc>
          <w:tcPr>
            <w:tcW w:w="6540" w:type="dxa"/>
            <w:vAlign w:val="bottom"/>
            <w:gridSpan w:val="14"/>
          </w:tcPr>
          <w:p>
            <w:pPr>
              <w:ind w:left="100"/>
              <w:spacing w:after="0"/>
              <w:rPr>
                <w:sz w:val="20"/>
                <w:szCs w:val="20"/>
                <w:color w:val="auto"/>
              </w:rPr>
            </w:pPr>
            <w:r>
              <w:rPr>
                <w:rFonts w:ascii="Arial" w:cs="Arial" w:eastAsia="Arial" w:hAnsi="Arial"/>
                <w:sz w:val="18"/>
                <w:szCs w:val="18"/>
                <w:b w:val="1"/>
                <w:bCs w:val="1"/>
                <w:color w:val="0563C1"/>
              </w:rPr>
              <w:t>Waivers</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0"/>
        </w:trPr>
        <w:tc>
          <w:tcPr>
            <w:tcW w:w="340" w:type="dxa"/>
            <w:vAlign w:val="bottom"/>
            <w:shd w:val="clear" w:color="auto" w:fill="0563C1"/>
          </w:tcPr>
          <w:p>
            <w:pPr>
              <w:spacing w:after="0" w:line="20" w:lineRule="exact"/>
              <w:rPr>
                <w:sz w:val="1"/>
                <w:szCs w:val="1"/>
                <w:color w:val="auto"/>
              </w:rPr>
            </w:pPr>
          </w:p>
        </w:tc>
        <w:tc>
          <w:tcPr>
            <w:tcW w:w="780" w:type="dxa"/>
            <w:vAlign w:val="bottom"/>
            <w:gridSpan w:val="2"/>
            <w:shd w:val="clear" w:color="auto" w:fill="0563C1"/>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209"/>
        </w:trPr>
        <w:tc>
          <w:tcPr>
            <w:tcW w:w="340" w:type="dxa"/>
            <w:vAlign w:val="bottom"/>
            <w:tcBorders>
              <w:bottom w:val="single" w:sz="8" w:color="0563C1"/>
            </w:tcBorders>
          </w:tcPr>
          <w:p>
            <w:pPr>
              <w:spacing w:after="0"/>
              <w:rPr>
                <w:sz w:val="20"/>
                <w:szCs w:val="20"/>
                <w:color w:val="auto"/>
              </w:rPr>
            </w:pPr>
            <w:r>
              <w:rPr>
                <w:rFonts w:ascii="Arial" w:cs="Arial" w:eastAsia="Arial" w:hAnsi="Arial"/>
                <w:sz w:val="18"/>
                <w:szCs w:val="18"/>
                <w:b w:val="1"/>
                <w:bCs w:val="1"/>
                <w:color w:val="0563C1"/>
              </w:rPr>
              <w:t>9.</w:t>
            </w:r>
            <w:r>
              <w:rPr>
                <w:rFonts w:ascii="Arial" w:cs="Arial" w:eastAsia="Arial" w:hAnsi="Arial"/>
                <w:sz w:val="18"/>
                <w:szCs w:val="18"/>
                <w:b w:val="1"/>
                <w:bCs w:val="1"/>
                <w:u w:val="single" w:color="auto"/>
                <w:color w:val="0563C1"/>
              </w:rPr>
              <w:t>8</w:t>
            </w:r>
          </w:p>
        </w:tc>
        <w:tc>
          <w:tcPr>
            <w:tcW w:w="1120" w:type="dxa"/>
            <w:vAlign w:val="bottom"/>
            <w:tcBorders>
              <w:bottom w:val="single" w:sz="8" w:color="0563C1"/>
            </w:tcBorders>
            <w:gridSpan w:val="5"/>
          </w:tcPr>
          <w:p>
            <w:pPr>
              <w:ind w:left="100"/>
              <w:spacing w:after="0"/>
              <w:rPr>
                <w:sz w:val="20"/>
                <w:szCs w:val="20"/>
                <w:color w:val="auto"/>
              </w:rPr>
            </w:pPr>
            <w:r>
              <w:rPr>
                <w:rFonts w:ascii="Arial" w:cs="Arial" w:eastAsia="Arial" w:hAnsi="Arial"/>
                <w:sz w:val="18"/>
                <w:szCs w:val="18"/>
                <w:b w:val="1"/>
                <w:bCs w:val="1"/>
                <w:color w:val="0563C1"/>
                <w:w w:val="98"/>
              </w:rPr>
              <w:t>Severability</w:t>
            </w:r>
          </w:p>
        </w:tc>
        <w:tc>
          <w:tcPr>
            <w:tcW w:w="5420" w:type="dxa"/>
            <w:vAlign w:val="bottom"/>
            <w:gridSpan w:val="9"/>
          </w:tcPr>
          <w:p>
            <w:pPr>
              <w:spacing w:after="0"/>
              <w:rPr>
                <w:sz w:val="18"/>
                <w:szCs w:val="18"/>
                <w:color w:val="auto"/>
              </w:rPr>
            </w:pP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209"/>
        </w:trPr>
        <w:tc>
          <w:tcPr>
            <w:tcW w:w="340" w:type="dxa"/>
            <w:vAlign w:val="bottom"/>
          </w:tcPr>
          <w:p>
            <w:pPr>
              <w:spacing w:after="0"/>
              <w:rPr>
                <w:sz w:val="20"/>
                <w:szCs w:val="20"/>
                <w:color w:val="auto"/>
              </w:rPr>
            </w:pPr>
            <w:r>
              <w:rPr>
                <w:rFonts w:ascii="Arial" w:cs="Arial" w:eastAsia="Arial" w:hAnsi="Arial"/>
                <w:sz w:val="18"/>
                <w:szCs w:val="18"/>
                <w:b w:val="1"/>
                <w:bCs w:val="1"/>
                <w:color w:val="0563C1"/>
              </w:rPr>
              <w:t>9.</w:t>
            </w:r>
            <w:r>
              <w:rPr>
                <w:rFonts w:ascii="Arial" w:cs="Arial" w:eastAsia="Arial" w:hAnsi="Arial"/>
                <w:sz w:val="18"/>
                <w:szCs w:val="18"/>
                <w:b w:val="1"/>
                <w:bCs w:val="1"/>
                <w:u w:val="single" w:color="auto"/>
                <w:color w:val="0563C1"/>
              </w:rPr>
              <w:t>9</w:t>
            </w:r>
          </w:p>
        </w:tc>
        <w:tc>
          <w:tcPr>
            <w:tcW w:w="6540" w:type="dxa"/>
            <w:vAlign w:val="bottom"/>
            <w:gridSpan w:val="14"/>
          </w:tcPr>
          <w:p>
            <w:pPr>
              <w:ind w:left="100"/>
              <w:spacing w:after="0"/>
              <w:rPr>
                <w:sz w:val="20"/>
                <w:szCs w:val="20"/>
                <w:color w:val="auto"/>
              </w:rPr>
            </w:pPr>
            <w:r>
              <w:rPr>
                <w:rFonts w:ascii="Arial" w:cs="Arial" w:eastAsia="Arial" w:hAnsi="Arial"/>
                <w:sz w:val="18"/>
                <w:szCs w:val="18"/>
                <w:b w:val="1"/>
                <w:bCs w:val="1"/>
                <w:color w:val="0563C1"/>
              </w:rPr>
              <w:t>Delays or Omissions</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20"/>
        </w:trPr>
        <w:tc>
          <w:tcPr>
            <w:tcW w:w="340" w:type="dxa"/>
            <w:vAlign w:val="bottom"/>
            <w:shd w:val="clear" w:color="auto" w:fill="0563C1"/>
          </w:tcPr>
          <w:p>
            <w:pPr>
              <w:spacing w:after="0" w:line="20" w:lineRule="exact"/>
              <w:rPr>
                <w:sz w:val="1"/>
                <w:szCs w:val="1"/>
                <w:color w:val="auto"/>
              </w:rPr>
            </w:pPr>
          </w:p>
        </w:tc>
        <w:tc>
          <w:tcPr>
            <w:tcW w:w="1040" w:type="dxa"/>
            <w:vAlign w:val="bottom"/>
            <w:gridSpan w:val="4"/>
            <w:shd w:val="clear" w:color="auto" w:fill="0563C1"/>
          </w:tcPr>
          <w:p>
            <w:pPr>
              <w:spacing w:after="0" w:line="20" w:lineRule="exact"/>
              <w:rPr>
                <w:sz w:val="1"/>
                <w:szCs w:val="1"/>
                <w:color w:val="auto"/>
              </w:rPr>
            </w:pPr>
          </w:p>
        </w:tc>
        <w:tc>
          <w:tcPr>
            <w:tcW w:w="800" w:type="dxa"/>
            <w:vAlign w:val="bottom"/>
            <w:gridSpan w:val="7"/>
            <w:shd w:val="clear" w:color="auto" w:fill="0563C1"/>
          </w:tcPr>
          <w:p>
            <w:pPr>
              <w:spacing w:after="0" w:line="20" w:lineRule="exact"/>
              <w:rPr>
                <w:sz w:val="1"/>
                <w:szCs w:val="1"/>
                <w:color w:val="auto"/>
              </w:rPr>
            </w:pPr>
          </w:p>
        </w:tc>
        <w:tc>
          <w:tcPr>
            <w:tcW w:w="1020" w:type="dxa"/>
            <w:vAlign w:val="bottom"/>
            <w:tcBorders>
              <w:left w:val="single" w:sz="8" w:color="0563C1"/>
            </w:tcBorders>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209"/>
        </w:trPr>
        <w:tc>
          <w:tcPr>
            <w:tcW w:w="340" w:type="dxa"/>
            <w:vAlign w:val="bottom"/>
            <w:tcBorders>
              <w:bottom w:val="single" w:sz="8" w:color="0563C1"/>
            </w:tcBorders>
          </w:tcPr>
          <w:p>
            <w:pPr>
              <w:spacing w:after="0"/>
              <w:rPr>
                <w:sz w:val="20"/>
                <w:szCs w:val="20"/>
                <w:color w:val="auto"/>
              </w:rPr>
            </w:pPr>
            <w:r>
              <w:rPr>
                <w:rFonts w:ascii="Arial" w:cs="Arial" w:eastAsia="Arial" w:hAnsi="Arial"/>
                <w:sz w:val="18"/>
                <w:szCs w:val="18"/>
                <w:b w:val="1"/>
                <w:bCs w:val="1"/>
                <w:color w:val="0563C1"/>
                <w:w w:val="91"/>
              </w:rPr>
              <w:t>9.</w:t>
            </w:r>
            <w:r>
              <w:rPr>
                <w:rFonts w:ascii="Arial" w:cs="Arial" w:eastAsia="Arial" w:hAnsi="Arial"/>
                <w:sz w:val="18"/>
                <w:szCs w:val="18"/>
                <w:b w:val="1"/>
                <w:bCs w:val="1"/>
                <w:u w:val="single" w:color="auto"/>
                <w:color w:val="0563C1"/>
                <w:w w:val="91"/>
              </w:rPr>
              <w:t>10</w:t>
            </w:r>
          </w:p>
        </w:tc>
        <w:tc>
          <w:tcPr>
            <w:tcW w:w="2860" w:type="dxa"/>
            <w:vAlign w:val="bottom"/>
            <w:tcBorders>
              <w:bottom w:val="single" w:sz="8" w:color="0563C1"/>
            </w:tcBorders>
            <w:gridSpan w:val="13"/>
          </w:tcPr>
          <w:p>
            <w:pPr>
              <w:ind w:left="200"/>
              <w:spacing w:after="0"/>
              <w:rPr>
                <w:sz w:val="20"/>
                <w:szCs w:val="20"/>
                <w:color w:val="auto"/>
              </w:rPr>
            </w:pPr>
            <w:r>
              <w:rPr>
                <w:rFonts w:ascii="Arial" w:cs="Arial" w:eastAsia="Arial" w:hAnsi="Arial"/>
                <w:sz w:val="18"/>
                <w:szCs w:val="18"/>
                <w:b w:val="1"/>
                <w:bCs w:val="1"/>
                <w:color w:val="0563C1"/>
                <w:w w:val="99"/>
              </w:rPr>
              <w:t>Entire Agreement; Amendment</w:t>
            </w:r>
          </w:p>
        </w:tc>
        <w:tc>
          <w:tcPr>
            <w:tcW w:w="3680" w:type="dxa"/>
            <w:vAlign w:val="bottom"/>
          </w:tcPr>
          <w:p>
            <w:pPr>
              <w:spacing w:after="0"/>
              <w:rPr>
                <w:sz w:val="18"/>
                <w:szCs w:val="18"/>
                <w:color w:val="auto"/>
              </w:rPr>
            </w:pP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210"/>
        </w:trPr>
        <w:tc>
          <w:tcPr>
            <w:tcW w:w="340" w:type="dxa"/>
            <w:vAlign w:val="bottom"/>
            <w:tcBorders>
              <w:bottom w:val="single" w:sz="8" w:color="0563C1"/>
            </w:tcBorders>
          </w:tcPr>
          <w:p>
            <w:pPr>
              <w:spacing w:after="0"/>
              <w:rPr>
                <w:sz w:val="20"/>
                <w:szCs w:val="20"/>
                <w:color w:val="auto"/>
              </w:rPr>
            </w:pPr>
            <w:r>
              <w:rPr>
                <w:rFonts w:ascii="Arial" w:cs="Arial" w:eastAsia="Arial" w:hAnsi="Arial"/>
                <w:sz w:val="18"/>
                <w:szCs w:val="18"/>
                <w:b w:val="1"/>
                <w:bCs w:val="1"/>
                <w:color w:val="0563C1"/>
                <w:w w:val="91"/>
              </w:rPr>
              <w:t>9.</w:t>
            </w:r>
            <w:r>
              <w:rPr>
                <w:rFonts w:ascii="Arial" w:cs="Arial" w:eastAsia="Arial" w:hAnsi="Arial"/>
                <w:sz w:val="18"/>
                <w:szCs w:val="18"/>
                <w:b w:val="1"/>
                <w:bCs w:val="1"/>
                <w:u w:val="single" w:color="auto"/>
                <w:color w:val="0563C1"/>
                <w:w w:val="91"/>
              </w:rPr>
              <w:t>11</w:t>
            </w:r>
          </w:p>
        </w:tc>
        <w:tc>
          <w:tcPr>
            <w:tcW w:w="1040" w:type="dxa"/>
            <w:vAlign w:val="bottom"/>
            <w:tcBorders>
              <w:bottom w:val="single" w:sz="8" w:color="0563C1"/>
            </w:tcBorders>
            <w:gridSpan w:val="4"/>
          </w:tcPr>
          <w:p>
            <w:pPr>
              <w:ind w:left="200"/>
              <w:spacing w:after="0"/>
              <w:rPr>
                <w:sz w:val="20"/>
                <w:szCs w:val="20"/>
                <w:color w:val="auto"/>
              </w:rPr>
            </w:pPr>
            <w:r>
              <w:rPr>
                <w:rFonts w:ascii="Arial" w:cs="Arial" w:eastAsia="Arial" w:hAnsi="Arial"/>
                <w:sz w:val="18"/>
                <w:szCs w:val="18"/>
                <w:b w:val="1"/>
                <w:bCs w:val="1"/>
                <w:color w:val="0563C1"/>
                <w:w w:val="97"/>
              </w:rPr>
              <w:t>Expenses</w:t>
            </w:r>
          </w:p>
        </w:tc>
        <w:tc>
          <w:tcPr>
            <w:tcW w:w="5500" w:type="dxa"/>
            <w:vAlign w:val="bottom"/>
            <w:gridSpan w:val="10"/>
          </w:tcPr>
          <w:p>
            <w:pPr>
              <w:spacing w:after="0"/>
              <w:rPr>
                <w:sz w:val="18"/>
                <w:szCs w:val="18"/>
                <w:color w:val="auto"/>
              </w:rPr>
            </w:pP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209"/>
        </w:trPr>
        <w:tc>
          <w:tcPr>
            <w:tcW w:w="340" w:type="dxa"/>
            <w:vAlign w:val="bottom"/>
          </w:tcPr>
          <w:p>
            <w:pPr>
              <w:spacing w:after="0"/>
              <w:rPr>
                <w:sz w:val="20"/>
                <w:szCs w:val="20"/>
                <w:color w:val="auto"/>
              </w:rPr>
            </w:pPr>
            <w:r>
              <w:rPr>
                <w:rFonts w:ascii="Arial" w:cs="Arial" w:eastAsia="Arial" w:hAnsi="Arial"/>
                <w:sz w:val="18"/>
                <w:szCs w:val="18"/>
                <w:b w:val="1"/>
                <w:bCs w:val="1"/>
                <w:color w:val="0563C1"/>
                <w:w w:val="91"/>
              </w:rPr>
              <w:t>9.</w:t>
            </w:r>
            <w:r>
              <w:rPr>
                <w:rFonts w:ascii="Arial" w:cs="Arial" w:eastAsia="Arial" w:hAnsi="Arial"/>
                <w:sz w:val="18"/>
                <w:szCs w:val="18"/>
                <w:b w:val="1"/>
                <w:bCs w:val="1"/>
                <w:u w:val="single" w:color="auto"/>
                <w:color w:val="0563C1"/>
                <w:w w:val="91"/>
              </w:rPr>
              <w:t>12</w:t>
            </w:r>
          </w:p>
        </w:tc>
        <w:tc>
          <w:tcPr>
            <w:tcW w:w="6540" w:type="dxa"/>
            <w:vAlign w:val="bottom"/>
            <w:gridSpan w:val="14"/>
          </w:tcPr>
          <w:p>
            <w:pPr>
              <w:ind w:left="200"/>
              <w:spacing w:after="0"/>
              <w:rPr>
                <w:sz w:val="20"/>
                <w:szCs w:val="20"/>
                <w:color w:val="auto"/>
              </w:rPr>
            </w:pPr>
            <w:r>
              <w:rPr>
                <w:rFonts w:ascii="Arial" w:cs="Arial" w:eastAsia="Arial" w:hAnsi="Arial"/>
                <w:sz w:val="18"/>
                <w:szCs w:val="18"/>
                <w:b w:val="1"/>
                <w:bCs w:val="1"/>
                <w:color w:val="0563C1"/>
              </w:rPr>
              <w:t>Dispute Resolution</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20"/>
        </w:trPr>
        <w:tc>
          <w:tcPr>
            <w:tcW w:w="340" w:type="dxa"/>
            <w:vAlign w:val="bottom"/>
            <w:shd w:val="clear" w:color="auto" w:fill="0563C1"/>
          </w:tcPr>
          <w:p>
            <w:pPr>
              <w:spacing w:after="0" w:line="20" w:lineRule="exact"/>
              <w:rPr>
                <w:sz w:val="1"/>
                <w:szCs w:val="1"/>
                <w:color w:val="auto"/>
              </w:rPr>
            </w:pPr>
          </w:p>
        </w:tc>
        <w:tc>
          <w:tcPr>
            <w:tcW w:w="7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80"/>
          </w:cols>
          <w:pgMar w:left="400" w:top="1440" w:right="719" w:bottom="1440" w:gutter="0" w:footer="0" w:header="0"/>
        </w:sectPr>
      </w:pPr>
    </w:p>
    <w:bookmarkStart w:id="25" w:name="page26"/>
    <w:bookmarkEnd w:id="25"/>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 PURCHASE AGREEMENT</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8"/>
          <w:szCs w:val="18"/>
          <w:b w:val="1"/>
          <w:bCs w:val="1"/>
          <w:color w:val="auto"/>
        </w:rPr>
        <w:t xml:space="preserve">This Preferred Stock Purchase Agreement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January 20, 2023 by and between SoundHound AI,</w:t>
      </w:r>
      <w:r>
        <w:rPr>
          <w:rFonts w:ascii="Arial" w:cs="Arial" w:eastAsia="Arial" w:hAnsi="Arial"/>
          <w:sz w:val="18"/>
          <w:szCs w:val="18"/>
          <w:b w:val="1"/>
          <w:bCs w:val="1"/>
          <w:color w:val="auto"/>
        </w:rPr>
        <w:t xml:space="preserve"> </w:t>
      </w:r>
      <w:r>
        <w:rPr>
          <w:rFonts w:ascii="Arial" w:cs="Arial" w:eastAsia="Arial" w:hAnsi="Arial"/>
          <w:sz w:val="18"/>
          <w:szCs w:val="18"/>
          <w:color w:val="auto"/>
        </w:rPr>
        <w:t>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 ] (the “</w:t>
      </w:r>
      <w:r>
        <w:rPr>
          <w:rFonts w:ascii="Arial" w:cs="Arial" w:eastAsia="Arial" w:hAnsi="Arial"/>
          <w:sz w:val="18"/>
          <w:szCs w:val="18"/>
          <w:b w:val="1"/>
          <w:bCs w:val="1"/>
          <w:i w:val="1"/>
          <w:iCs w:val="1"/>
          <w:color w:val="auto"/>
        </w:rPr>
        <w:t>Investor</w:t>
      </w:r>
      <w:r>
        <w:rPr>
          <w:rFonts w:ascii="Arial" w:cs="Arial" w:eastAsia="Arial" w:hAnsi="Arial"/>
          <w:sz w:val="18"/>
          <w:szCs w:val="18"/>
          <w:color w:val="auto"/>
        </w:rPr>
        <w:t>”).</w:t>
      </w:r>
    </w:p>
    <w:p>
      <w:pPr>
        <w:spacing w:after="0" w:line="123"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WHEREAS, subject to the terms and conditions set forth in this Agreement and pursuant to Section 4(a)(2) of the Securities Act (as defined below) and/or the rules and regulations thereunder, the Company desires to issue and sell to the Investor, and the Investor desires to</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purchase from the Company, shares of the Series A Preferred Stock of the Company, par value $0.0001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with the rights and preferences as set forth in that certain Certificate of Designations of the Company (the “</w:t>
      </w:r>
      <w:r>
        <w:rPr>
          <w:rFonts w:ascii="Arial" w:cs="Arial" w:eastAsia="Arial" w:hAnsi="Arial"/>
          <w:sz w:val="18"/>
          <w:szCs w:val="18"/>
          <w:b w:val="1"/>
          <w:bCs w:val="1"/>
          <w:i w:val="1"/>
          <w:iCs w:val="1"/>
          <w:color w:val="auto"/>
        </w:rPr>
        <w:t>Certificate of Designations</w:t>
      </w:r>
      <w:r>
        <w:rPr>
          <w:rFonts w:ascii="Arial" w:cs="Arial" w:eastAsia="Arial" w:hAnsi="Arial"/>
          <w:sz w:val="18"/>
          <w:szCs w:val="18"/>
          <w:color w:val="auto"/>
        </w:rPr>
        <w:t>”) in the form attached hereto as Exhibit A.</w:t>
      </w:r>
    </w:p>
    <w:p>
      <w:pPr>
        <w:spacing w:after="0" w:line="16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NOW, THEREFORE, in consideration of the foregoing recitals and mutual promises, representations, warranties, and covenants hereinafter set forth and for other good and valuable consideration, the receipt and sufficiency of which are hereby acknowledged, the parties hereby agree as follows:</w:t>
      </w:r>
    </w:p>
    <w:p>
      <w:pPr>
        <w:spacing w:after="0" w:line="169" w:lineRule="exact"/>
        <w:rPr>
          <w:sz w:val="20"/>
          <w:szCs w:val="20"/>
          <w:color w:val="auto"/>
        </w:rPr>
      </w:pPr>
    </w:p>
    <w:p>
      <w:pPr>
        <w:ind w:right="20" w:firstLine="656"/>
        <w:spacing w:after="0"/>
        <w:tabs>
          <w:tab w:leader="none" w:pos="128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Defined Terms Used in this Agreement</w:t>
      </w:r>
      <w:r>
        <w:rPr>
          <w:rFonts w:ascii="Arial" w:cs="Arial" w:eastAsia="Arial" w:hAnsi="Arial"/>
          <w:sz w:val="18"/>
          <w:szCs w:val="18"/>
          <w:color w:val="auto"/>
        </w:rPr>
        <w:t>. In addition to the terms defined above, the following terms used in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construed to have the meanings set forth or referenced below.</w:t>
      </w:r>
    </w:p>
    <w:p>
      <w:pPr>
        <w:spacing w:after="0" w:line="153"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color w:val="auto"/>
        </w:rPr>
        <w:t>“</w:t>
      </w:r>
      <w:r>
        <w:rPr>
          <w:rFonts w:ascii="Arial" w:cs="Arial" w:eastAsia="Arial" w:hAnsi="Arial"/>
          <w:sz w:val="18"/>
          <w:szCs w:val="18"/>
          <w:b w:val="1"/>
          <w:bCs w:val="1"/>
          <w:i w:val="1"/>
          <w:iCs w:val="1"/>
          <w:color w:val="auto"/>
        </w:rPr>
        <w:t>Accountant</w:t>
      </w:r>
      <w:r>
        <w:rPr>
          <w:rFonts w:ascii="Arial" w:cs="Arial" w:eastAsia="Arial" w:hAnsi="Arial"/>
          <w:sz w:val="18"/>
          <w:szCs w:val="18"/>
          <w:color w:val="auto"/>
        </w:rPr>
        <w:t>” has the meaning set forth in Section 3.9.</w:t>
      </w:r>
    </w:p>
    <w:p>
      <w:pPr>
        <w:spacing w:after="0" w:line="198" w:lineRule="exact"/>
        <w:rPr>
          <w:sz w:val="20"/>
          <w:szCs w:val="20"/>
          <w:color w:val="auto"/>
        </w:rPr>
      </w:pPr>
    </w:p>
    <w:p>
      <w:pPr>
        <w:ind w:firstLine="1724"/>
        <w:spacing w:after="0"/>
        <w:rPr>
          <w:sz w:val="20"/>
          <w:szCs w:val="20"/>
          <w:color w:val="auto"/>
        </w:rPr>
      </w:pPr>
      <w:r>
        <w:rPr>
          <w:rFonts w:ascii="Arial" w:cs="Arial" w:eastAsia="Arial" w:hAnsi="Arial"/>
          <w:sz w:val="18"/>
          <w:szCs w:val="18"/>
          <w:b w:val="1"/>
          <w:bCs w:val="1"/>
          <w:color w:val="auto"/>
        </w:rPr>
        <w:t>(ii)</w:t>
      </w: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Person that, directly or indirectly through one or more intermediaries, controls, is controlled by,</w:t>
      </w:r>
      <w:r>
        <w:rPr>
          <w:rFonts w:ascii="Arial" w:cs="Arial" w:eastAsia="Arial" w:hAnsi="Arial"/>
          <w:sz w:val="18"/>
          <w:szCs w:val="18"/>
          <w:b w:val="1"/>
          <w:bCs w:val="1"/>
          <w:color w:val="auto"/>
        </w:rPr>
        <w:t xml:space="preserve"> </w:t>
      </w:r>
      <w:r>
        <w:rPr>
          <w:rFonts w:ascii="Arial" w:cs="Arial" w:eastAsia="Arial" w:hAnsi="Arial"/>
          <w:sz w:val="18"/>
          <w:szCs w:val="18"/>
          <w:color w:val="auto"/>
        </w:rPr>
        <w:t>or is under common control with a Person, as such terms are used in and construed under Rule 144.</w:t>
      </w:r>
    </w:p>
    <w:p>
      <w:pPr>
        <w:spacing w:after="0" w:line="153" w:lineRule="exact"/>
        <w:rPr>
          <w:sz w:val="20"/>
          <w:szCs w:val="20"/>
          <w:color w:val="auto"/>
        </w:rPr>
      </w:pPr>
    </w:p>
    <w:p>
      <w:pPr>
        <w:ind w:firstLine="1674"/>
        <w:spacing w:after="0" w:line="256" w:lineRule="auto"/>
        <w:rPr>
          <w:sz w:val="20"/>
          <w:szCs w:val="20"/>
          <w:color w:val="auto"/>
        </w:rPr>
      </w:pPr>
      <w:r>
        <w:rPr>
          <w:rFonts w:ascii="Arial" w:cs="Arial" w:eastAsia="Arial" w:hAnsi="Arial"/>
          <w:sz w:val="18"/>
          <w:szCs w:val="18"/>
          <w:b w:val="1"/>
          <w:bCs w:val="1"/>
          <w:color w:val="auto"/>
        </w:rPr>
        <w:t>(iii)</w:t>
      </w:r>
      <w:r>
        <w:rPr>
          <w:rFonts w:ascii="Arial" w:cs="Arial" w:eastAsia="Arial" w:hAnsi="Arial"/>
          <w:sz w:val="18"/>
          <w:szCs w:val="18"/>
          <w:color w:val="auto"/>
        </w:rPr>
        <w:t>“</w:t>
      </w:r>
      <w:r>
        <w:rPr>
          <w:rFonts w:ascii="Arial" w:cs="Arial" w:eastAsia="Arial" w:hAnsi="Arial"/>
          <w:sz w:val="18"/>
          <w:szCs w:val="18"/>
          <w:b w:val="1"/>
          <w:bCs w:val="1"/>
          <w:i w:val="1"/>
          <w:iCs w:val="1"/>
          <w:color w:val="auto"/>
        </w:rPr>
        <w:t>Alternative Market</w:t>
      </w:r>
      <w:r>
        <w:rPr>
          <w:rFonts w:ascii="Arial" w:cs="Arial" w:eastAsia="Arial" w:hAnsi="Arial"/>
          <w:sz w:val="18"/>
          <w:szCs w:val="18"/>
          <w:color w:val="auto"/>
        </w:rPr>
        <w:t>” means the New York Stock Exchange, the NYSE American, the Nasdaq Global Select Market</w:t>
      </w:r>
      <w:r>
        <w:rPr>
          <w:rFonts w:ascii="Arial" w:cs="Arial" w:eastAsia="Arial" w:hAnsi="Arial"/>
          <w:sz w:val="18"/>
          <w:szCs w:val="18"/>
          <w:b w:val="1"/>
          <w:bCs w:val="1"/>
          <w:color w:val="auto"/>
        </w:rPr>
        <w:t xml:space="preserve"> </w:t>
      </w:r>
      <w:r>
        <w:rPr>
          <w:rFonts w:ascii="Arial" w:cs="Arial" w:eastAsia="Arial" w:hAnsi="Arial"/>
          <w:sz w:val="18"/>
          <w:szCs w:val="18"/>
          <w:color w:val="auto"/>
        </w:rPr>
        <w:t>or the Nasdaq Global Market.</w:t>
      </w:r>
    </w:p>
    <w:p>
      <w:pPr>
        <w:spacing w:after="0" w:line="139"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(iv)</w:t>
      </w:r>
      <w:r>
        <w:rPr>
          <w:rFonts w:ascii="Arial" w:cs="Arial" w:eastAsia="Arial" w:hAnsi="Arial"/>
          <w:sz w:val="18"/>
          <w:szCs w:val="18"/>
          <w:color w:val="auto"/>
        </w:rPr>
        <w:t>“</w:t>
      </w:r>
      <w:r>
        <w:rPr>
          <w:rFonts w:ascii="Arial" w:cs="Arial" w:eastAsia="Arial" w:hAnsi="Arial"/>
          <w:sz w:val="18"/>
          <w:szCs w:val="18"/>
          <w:b w:val="1"/>
          <w:bCs w:val="1"/>
          <w:i w:val="1"/>
          <w:iCs w:val="1"/>
          <w:color w:val="auto"/>
        </w:rPr>
        <w:t>Anti-Corruption Laws</w:t>
      </w:r>
      <w:r>
        <w:rPr>
          <w:rFonts w:ascii="Arial" w:cs="Arial" w:eastAsia="Arial" w:hAnsi="Arial"/>
          <w:sz w:val="18"/>
          <w:szCs w:val="18"/>
          <w:color w:val="auto"/>
        </w:rPr>
        <w:t>” has the meaning set forth in Section 3.21.</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98"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(vi)</w:t>
      </w:r>
      <w:r>
        <w:rPr>
          <w:rFonts w:ascii="Arial" w:cs="Arial" w:eastAsia="Arial" w:hAnsi="Arial"/>
          <w:sz w:val="18"/>
          <w:szCs w:val="18"/>
          <w:color w:val="auto"/>
        </w:rPr>
        <w:t>“</w:t>
      </w:r>
      <w:r>
        <w:rPr>
          <w:rFonts w:ascii="Arial" w:cs="Arial" w:eastAsia="Arial" w:hAnsi="Arial"/>
          <w:sz w:val="18"/>
          <w:szCs w:val="18"/>
          <w:b w:val="1"/>
          <w:bCs w:val="1"/>
          <w:i w:val="1"/>
          <w:iCs w:val="1"/>
          <w:color w:val="auto"/>
        </w:rPr>
        <w:t>BSA</w:t>
      </w:r>
      <w:r>
        <w:rPr>
          <w:rFonts w:ascii="Arial" w:cs="Arial" w:eastAsia="Arial" w:hAnsi="Arial"/>
          <w:sz w:val="18"/>
          <w:szCs w:val="18"/>
          <w:color w:val="auto"/>
        </w:rPr>
        <w:t>” has the meaning set forth in Section 4.9.</w:t>
      </w:r>
    </w:p>
    <w:p>
      <w:pPr>
        <w:spacing w:after="0" w:line="185"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(vii)</w:t>
      </w:r>
      <w:r>
        <w:rPr>
          <w:rFonts w:ascii="Arial" w:cs="Arial" w:eastAsia="Arial" w:hAnsi="Arial"/>
          <w:sz w:val="18"/>
          <w:szCs w:val="18"/>
          <w:color w:val="auto"/>
        </w:rPr>
        <w:t>“</w:t>
      </w:r>
      <w:r>
        <w:rPr>
          <w:rFonts w:ascii="Arial" w:cs="Arial" w:eastAsia="Arial" w:hAnsi="Arial"/>
          <w:sz w:val="18"/>
          <w:szCs w:val="18"/>
          <w:b w:val="1"/>
          <w:bCs w:val="1"/>
          <w:i w:val="1"/>
          <w:iCs w:val="1"/>
          <w:color w:val="auto"/>
        </w:rPr>
        <w:t>BSA/PATRIOT Act</w:t>
      </w:r>
      <w:r>
        <w:rPr>
          <w:rFonts w:ascii="Arial" w:cs="Arial" w:eastAsia="Arial" w:hAnsi="Arial"/>
          <w:sz w:val="18"/>
          <w:szCs w:val="18"/>
          <w:color w:val="auto"/>
        </w:rPr>
        <w:t>” has the meaning set forth in Section 4.9.</w:t>
      </w:r>
    </w:p>
    <w:p>
      <w:pPr>
        <w:spacing w:after="0" w:line="185" w:lineRule="exact"/>
        <w:rPr>
          <w:sz w:val="20"/>
          <w:szCs w:val="20"/>
          <w:color w:val="auto"/>
        </w:rPr>
      </w:pPr>
    </w:p>
    <w:p>
      <w:pPr>
        <w:ind w:firstLine="1574"/>
        <w:spacing w:after="0" w:line="256" w:lineRule="auto"/>
        <w:rPr>
          <w:sz w:val="20"/>
          <w:szCs w:val="20"/>
          <w:color w:val="auto"/>
        </w:rPr>
      </w:pPr>
      <w:r>
        <w:rPr>
          <w:rFonts w:ascii="Arial" w:cs="Arial" w:eastAsia="Arial" w:hAnsi="Arial"/>
          <w:sz w:val="18"/>
          <w:szCs w:val="18"/>
          <w:b w:val="1"/>
          <w:bCs w:val="1"/>
          <w:color w:val="auto"/>
        </w:rPr>
        <w:t>(viii)</w:t>
      </w: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on days other than a Saturday or Sunday, on which commercial banks in New York, New</w:t>
      </w:r>
      <w:r>
        <w:rPr>
          <w:rFonts w:ascii="Arial" w:cs="Arial" w:eastAsia="Arial" w:hAnsi="Arial"/>
          <w:sz w:val="18"/>
          <w:szCs w:val="18"/>
          <w:b w:val="1"/>
          <w:bCs w:val="1"/>
          <w:color w:val="auto"/>
        </w:rPr>
        <w:t xml:space="preserve"> </w:t>
      </w:r>
      <w:r>
        <w:rPr>
          <w:rFonts w:ascii="Arial" w:cs="Arial" w:eastAsia="Arial" w:hAnsi="Arial"/>
          <w:sz w:val="18"/>
          <w:szCs w:val="18"/>
          <w:color w:val="auto"/>
        </w:rPr>
        <w:t>York are open for the general transaction of business.</w:t>
      </w:r>
    </w:p>
    <w:p>
      <w:pPr>
        <w:spacing w:after="0" w:line="139"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(ix)</w:t>
      </w:r>
      <w:r>
        <w:rPr>
          <w:rFonts w:ascii="Arial" w:cs="Arial" w:eastAsia="Arial" w:hAnsi="Arial"/>
          <w:sz w:val="18"/>
          <w:szCs w:val="18"/>
          <w:color w:val="auto"/>
        </w:rPr>
        <w:t>“</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has the meaning set forth in Section 3.3.</w:t>
      </w:r>
    </w:p>
    <w:p>
      <w:pPr>
        <w:spacing w:after="0" w:line="185"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(x)</w:t>
      </w:r>
      <w:r>
        <w:rPr>
          <w:rFonts w:ascii="Arial" w:cs="Arial" w:eastAsia="Arial" w:hAnsi="Arial"/>
          <w:sz w:val="18"/>
          <w:szCs w:val="18"/>
          <w:color w:val="auto"/>
        </w:rPr>
        <w:t>“</w:t>
      </w:r>
      <w:r>
        <w:rPr>
          <w:rFonts w:ascii="Arial" w:cs="Arial" w:eastAsia="Arial" w:hAnsi="Arial"/>
          <w:sz w:val="18"/>
          <w:szCs w:val="18"/>
          <w:b w:val="1"/>
          <w:bCs w:val="1"/>
          <w:i w:val="1"/>
          <w:iCs w:val="1"/>
          <w:color w:val="auto"/>
        </w:rPr>
        <w:t>CCPA</w:t>
      </w:r>
      <w:r>
        <w:rPr>
          <w:rFonts w:ascii="Arial" w:cs="Arial" w:eastAsia="Arial" w:hAnsi="Arial"/>
          <w:sz w:val="18"/>
          <w:szCs w:val="18"/>
          <w:color w:val="auto"/>
        </w:rPr>
        <w:t>” has the meaning set forth in Section 3.22.</w:t>
      </w:r>
    </w:p>
    <w:p>
      <w:pPr>
        <w:spacing w:after="0" w:line="198"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(xi)</w:t>
      </w: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 of Designations</w:t>
      </w:r>
      <w:r>
        <w:rPr>
          <w:rFonts w:ascii="Arial" w:cs="Arial" w:eastAsia="Arial" w:hAnsi="Arial"/>
          <w:sz w:val="18"/>
          <w:szCs w:val="18"/>
          <w:color w:val="auto"/>
        </w:rPr>
        <w:t>” has the meaning set forth in the Recital of this Agreement.</w:t>
      </w:r>
    </w:p>
    <w:p>
      <w:pPr>
        <w:spacing w:after="0" w:line="185"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(xii)</w:t>
      </w:r>
      <w:r>
        <w:rPr>
          <w:rFonts w:ascii="Arial" w:cs="Arial" w:eastAsia="Arial" w:hAnsi="Arial"/>
          <w:sz w:val="18"/>
          <w:szCs w:val="18"/>
          <w:color w:val="auto"/>
        </w:rPr>
        <w:t>“</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has the meaning set forth in Section 2.2(a).</w:t>
      </w:r>
    </w:p>
    <w:p>
      <w:pPr>
        <w:spacing w:after="0" w:line="18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(xiii)</w:t>
      </w: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has the meaning set forth in Section 2.2(a).</w:t>
      </w:r>
    </w:p>
    <w:p>
      <w:pPr>
        <w:spacing w:after="0" w:line="198"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(xiv)</w:t>
      </w: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has the meaning set forth in Section 3.28.</w:t>
      </w:r>
    </w:p>
    <w:p>
      <w:pPr>
        <w:spacing w:after="0" w:line="185" w:lineRule="exact"/>
        <w:rPr>
          <w:sz w:val="20"/>
          <w:szCs w:val="20"/>
          <w:color w:val="auto"/>
        </w:rPr>
      </w:pPr>
    </w:p>
    <w:p>
      <w:pPr>
        <w:ind w:right="20" w:firstLine="1624"/>
        <w:spacing w:after="0"/>
        <w:rPr>
          <w:sz w:val="20"/>
          <w:szCs w:val="20"/>
          <w:color w:val="auto"/>
        </w:rPr>
      </w:pPr>
      <w:r>
        <w:rPr>
          <w:rFonts w:ascii="Arial" w:cs="Arial" w:eastAsia="Arial" w:hAnsi="Arial"/>
          <w:sz w:val="18"/>
          <w:szCs w:val="18"/>
          <w:b w:val="1"/>
          <w:bCs w:val="1"/>
          <w:color w:val="auto"/>
        </w:rPr>
        <w:t>(xv)</w:t>
      </w: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Class A common stock of the Company, par value $0.0001 per share, and stock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class of securities into which such securities may hereafter be reclassified or 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26" w:name="page27"/>
    <w:bookmarkEnd w:id="26"/>
    <w:p>
      <w:pPr>
        <w:jc w:val="both"/>
        <w:ind w:firstLine="1574"/>
        <w:spacing w:after="0" w:line="221" w:lineRule="auto"/>
        <w:rPr>
          <w:sz w:val="20"/>
          <w:szCs w:val="20"/>
          <w:color w:val="auto"/>
        </w:rPr>
      </w:pPr>
      <w:r>
        <w:rPr>
          <w:rFonts w:ascii="Arial" w:cs="Arial" w:eastAsia="Arial" w:hAnsi="Arial"/>
          <w:sz w:val="18"/>
          <w:szCs w:val="18"/>
          <w:b w:val="1"/>
          <w:bCs w:val="1"/>
          <w:color w:val="auto"/>
        </w:rPr>
        <w:t>(xvi)</w:t>
      </w:r>
      <w:r>
        <w:rPr>
          <w:rFonts w:ascii="Arial" w:cs="Arial" w:eastAsia="Arial" w:hAnsi="Arial"/>
          <w:sz w:val="18"/>
          <w:szCs w:val="18"/>
          <w:color w:val="auto"/>
        </w:rPr>
        <w:t>“</w:t>
      </w:r>
      <w:r>
        <w:rPr>
          <w:rFonts w:ascii="Arial" w:cs="Arial" w:eastAsia="Arial" w:hAnsi="Arial"/>
          <w:sz w:val="18"/>
          <w:szCs w:val="18"/>
          <w:b w:val="1"/>
          <w:bCs w:val="1"/>
          <w:i w:val="1"/>
          <w:iCs w:val="1"/>
          <w:color w:val="auto"/>
        </w:rPr>
        <w:t>Company SEC Reports</w:t>
      </w:r>
      <w:r>
        <w:rPr>
          <w:rFonts w:ascii="Arial" w:cs="Arial" w:eastAsia="Arial" w:hAnsi="Arial"/>
          <w:sz w:val="18"/>
          <w:szCs w:val="18"/>
          <w:color w:val="auto"/>
        </w:rPr>
        <w:t>” means (1) any registration statement on Form S-1 or S-4 filed by the Company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SEC, including any related prospectus or prospectuses, for the registration of the Common Stock since January 1, 2022, (2) any proxy</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statement or prospectus filed by the Company with the SEC, including all documents incorporated or deemed incorporated therein by reference, whether or not included in a registration statement on Form S-1 or S-4, in the form in which such proxy statement or prospectus has most recently been filed with the SEC, since January 1, 2022, (3) all reports, schedules, registrations, forms, statements, information and</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other documents filed with or furnished to the SEC by the Company pursuant to Section 13(a), 13(c), 14 or 15(d) of the Exchange Act since January 1, 2022, (4) each Registration Statement, as the same may be amended from time to time, the Prospectus contained therein and each Prospectus Supplement thereto and (5) all information contained in such filings and all documents and disclosures that have been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may in the future be incorporated by reference therein.</w:t>
      </w:r>
    </w:p>
    <w:p>
      <w:pPr>
        <w:spacing w:after="0" w:line="16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(xvii)</w:t>
      </w: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 Data</w:t>
      </w:r>
      <w:r>
        <w:rPr>
          <w:rFonts w:ascii="Arial" w:cs="Arial" w:eastAsia="Arial" w:hAnsi="Arial"/>
          <w:sz w:val="18"/>
          <w:szCs w:val="18"/>
          <w:color w:val="auto"/>
        </w:rPr>
        <w:t>” has the meaning set forth in Section 3.22.</w:t>
      </w:r>
    </w:p>
    <w:p>
      <w:pPr>
        <w:spacing w:after="0" w:line="185"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(xviii)</w:t>
      </w:r>
      <w:r>
        <w:rPr>
          <w:rFonts w:ascii="Arial" w:cs="Arial" w:eastAsia="Arial" w:hAnsi="Arial"/>
          <w:sz w:val="18"/>
          <w:szCs w:val="18"/>
          <w:color w:val="auto"/>
        </w:rPr>
        <w:t>“</w:t>
      </w:r>
      <w:r>
        <w:rPr>
          <w:rFonts w:ascii="Arial" w:cs="Arial" w:eastAsia="Arial" w:hAnsi="Arial"/>
          <w:sz w:val="18"/>
          <w:szCs w:val="18"/>
          <w:b w:val="1"/>
          <w:bCs w:val="1"/>
          <w:i w:val="1"/>
          <w:iCs w:val="1"/>
          <w:color w:val="auto"/>
        </w:rPr>
        <w:t>Contract</w:t>
      </w:r>
      <w:r>
        <w:rPr>
          <w:rFonts w:ascii="Arial" w:cs="Arial" w:eastAsia="Arial" w:hAnsi="Arial"/>
          <w:sz w:val="18"/>
          <w:szCs w:val="18"/>
          <w:color w:val="auto"/>
        </w:rPr>
        <w:t>” means, with respect to any Person, any written or oral agreement, contract, commitment, indenture, note,</w:t>
      </w:r>
    </w:p>
    <w:p>
      <w:pPr>
        <w:jc w:val="both"/>
        <w:spacing w:after="0" w:line="229" w:lineRule="auto"/>
        <w:rPr>
          <w:sz w:val="20"/>
          <w:szCs w:val="20"/>
          <w:color w:val="auto"/>
        </w:rPr>
      </w:pPr>
      <w:r>
        <w:rPr>
          <w:rFonts w:ascii="Arial" w:cs="Arial" w:eastAsia="Arial" w:hAnsi="Arial"/>
          <w:sz w:val="18"/>
          <w:szCs w:val="18"/>
          <w:color w:val="auto"/>
        </w:rPr>
        <w:t>bond, loan, license, sublicense, lease, sublease, undertaking, statement of work or other arrangement to which such Person is a party or by which any of its properties or assets are subject.</w:t>
      </w:r>
    </w:p>
    <w:p>
      <w:pPr>
        <w:spacing w:after="0" w:line="154"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(xix)</w:t>
      </w:r>
      <w:r>
        <w:rPr>
          <w:rFonts w:ascii="Arial" w:cs="Arial" w:eastAsia="Arial" w:hAnsi="Arial"/>
          <w:sz w:val="18"/>
          <w:szCs w:val="18"/>
          <w:color w:val="auto"/>
        </w:rPr>
        <w:t>“</w:t>
      </w:r>
      <w:r>
        <w:rPr>
          <w:rFonts w:ascii="Arial" w:cs="Arial" w:eastAsia="Arial" w:hAnsi="Arial"/>
          <w:sz w:val="18"/>
          <w:szCs w:val="18"/>
          <w:b w:val="1"/>
          <w:bCs w:val="1"/>
          <w:i w:val="1"/>
          <w:iCs w:val="1"/>
          <w:color w:val="auto"/>
        </w:rPr>
        <w:t>Disqualification Event</w:t>
      </w:r>
      <w:r>
        <w:rPr>
          <w:rFonts w:ascii="Arial" w:cs="Arial" w:eastAsia="Arial" w:hAnsi="Arial"/>
          <w:sz w:val="18"/>
          <w:szCs w:val="18"/>
          <w:color w:val="auto"/>
        </w:rPr>
        <w:t>” has the meaning set forth in Section 4.11.</w:t>
      </w:r>
    </w:p>
    <w:p>
      <w:pPr>
        <w:spacing w:after="0" w:line="198"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(xx)</w:t>
      </w:r>
      <w:r>
        <w:rPr>
          <w:rFonts w:ascii="Arial" w:cs="Arial" w:eastAsia="Arial" w:hAnsi="Arial"/>
          <w:sz w:val="18"/>
          <w:szCs w:val="18"/>
          <w:color w:val="auto"/>
        </w:rPr>
        <w:t>“</w:t>
      </w:r>
      <w:r>
        <w:rPr>
          <w:rFonts w:ascii="Arial" w:cs="Arial" w:eastAsia="Arial" w:hAnsi="Arial"/>
          <w:sz w:val="18"/>
          <w:szCs w:val="18"/>
          <w:b w:val="1"/>
          <w:bCs w:val="1"/>
          <w:i w:val="1"/>
          <w:iCs w:val="1"/>
          <w:color w:val="auto"/>
        </w:rPr>
        <w:t>EDGAR</w:t>
      </w:r>
      <w:r>
        <w:rPr>
          <w:rFonts w:ascii="Arial" w:cs="Arial" w:eastAsia="Arial" w:hAnsi="Arial"/>
          <w:sz w:val="18"/>
          <w:szCs w:val="18"/>
          <w:color w:val="auto"/>
        </w:rPr>
        <w:t>” means the SEC’s Electronic Data Gathering, Analysis and Retrieval System.</w:t>
      </w:r>
    </w:p>
    <w:p>
      <w:pPr>
        <w:spacing w:after="0" w:line="18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(xxi)</w:t>
      </w: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has the meaning set forth in Section 3.28.</w:t>
      </w:r>
    </w:p>
    <w:p>
      <w:pPr>
        <w:spacing w:after="0" w:line="185" w:lineRule="exact"/>
        <w:rPr>
          <w:sz w:val="20"/>
          <w:szCs w:val="20"/>
          <w:color w:val="auto"/>
        </w:rPr>
      </w:pPr>
    </w:p>
    <w:p>
      <w:pPr>
        <w:jc w:val="both"/>
        <w:ind w:firstLine="1524"/>
        <w:spacing w:after="0" w:line="256" w:lineRule="auto"/>
        <w:rPr>
          <w:sz w:val="20"/>
          <w:szCs w:val="20"/>
          <w:color w:val="auto"/>
        </w:rPr>
      </w:pPr>
      <w:r>
        <w:rPr>
          <w:rFonts w:ascii="Arial" w:cs="Arial" w:eastAsia="Arial" w:hAnsi="Arial"/>
          <w:sz w:val="18"/>
          <w:szCs w:val="18"/>
          <w:b w:val="1"/>
          <w:bCs w:val="1"/>
          <w:color w:val="auto"/>
        </w:rPr>
        <w:t>(xxii)</w:t>
      </w: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and the rules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thereunder.</w:t>
      </w:r>
    </w:p>
    <w:p>
      <w:pPr>
        <w:spacing w:after="0" w:line="139"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(xxiii)</w:t>
      </w:r>
      <w:r>
        <w:rPr>
          <w:rFonts w:ascii="Arial" w:cs="Arial" w:eastAsia="Arial" w:hAnsi="Arial"/>
          <w:sz w:val="18"/>
          <w:szCs w:val="18"/>
          <w:color w:val="auto"/>
        </w:rPr>
        <w:t>“</w:t>
      </w:r>
      <w:r>
        <w:rPr>
          <w:rFonts w:ascii="Arial" w:cs="Arial" w:eastAsia="Arial" w:hAnsi="Arial"/>
          <w:sz w:val="18"/>
          <w:szCs w:val="18"/>
          <w:b w:val="1"/>
          <w:bCs w:val="1"/>
          <w:i w:val="1"/>
          <w:iCs w:val="1"/>
          <w:color w:val="auto"/>
        </w:rPr>
        <w:t>FINRA</w:t>
      </w:r>
      <w:r>
        <w:rPr>
          <w:rFonts w:ascii="Arial" w:cs="Arial" w:eastAsia="Arial" w:hAnsi="Arial"/>
          <w:sz w:val="18"/>
          <w:szCs w:val="18"/>
          <w:color w:val="auto"/>
        </w:rPr>
        <w:t>” means the Financial Industry Regulatory Authority Inc.</w:t>
      </w:r>
    </w:p>
    <w:p>
      <w:pPr>
        <w:spacing w:after="0" w:line="185"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(xxiv)</w:t>
      </w: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has the meaning set forth in Section 3.9.</w:t>
      </w:r>
    </w:p>
    <w:p>
      <w:pPr>
        <w:spacing w:after="0" w:line="198"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(xxv)</w:t>
      </w:r>
      <w:r>
        <w:rPr>
          <w:rFonts w:ascii="Arial" w:cs="Arial" w:eastAsia="Arial" w:hAnsi="Arial"/>
          <w:sz w:val="18"/>
          <w:szCs w:val="18"/>
          <w:color w:val="auto"/>
        </w:rPr>
        <w:t>“</w:t>
      </w:r>
      <w:r>
        <w:rPr>
          <w:rFonts w:ascii="Arial" w:cs="Arial" w:eastAsia="Arial" w:hAnsi="Arial"/>
          <w:sz w:val="18"/>
          <w:szCs w:val="18"/>
          <w:b w:val="1"/>
          <w:bCs w:val="1"/>
          <w:i w:val="1"/>
          <w:iCs w:val="1"/>
          <w:color w:val="auto"/>
        </w:rPr>
        <w:t>GDPR</w:t>
      </w:r>
      <w:r>
        <w:rPr>
          <w:rFonts w:ascii="Arial" w:cs="Arial" w:eastAsia="Arial" w:hAnsi="Arial"/>
          <w:sz w:val="18"/>
          <w:szCs w:val="18"/>
          <w:color w:val="auto"/>
        </w:rPr>
        <w:t>” has the meaning set forth in Section 3.22.</w:t>
      </w:r>
    </w:p>
    <w:p>
      <w:pPr>
        <w:spacing w:after="0" w:line="185" w:lineRule="exact"/>
        <w:rPr>
          <w:sz w:val="20"/>
          <w:szCs w:val="20"/>
          <w:color w:val="auto"/>
        </w:rPr>
      </w:pPr>
    </w:p>
    <w:p>
      <w:pPr>
        <w:jc w:val="both"/>
        <w:ind w:firstLine="1474"/>
        <w:spacing w:after="0" w:line="234" w:lineRule="auto"/>
        <w:rPr>
          <w:sz w:val="20"/>
          <w:szCs w:val="20"/>
          <w:color w:val="auto"/>
        </w:rPr>
      </w:pPr>
      <w:r>
        <w:rPr>
          <w:rFonts w:ascii="Arial" w:cs="Arial" w:eastAsia="Arial" w:hAnsi="Arial"/>
          <w:sz w:val="17"/>
          <w:szCs w:val="17"/>
          <w:b w:val="1"/>
          <w:bCs w:val="1"/>
          <w:color w:val="auto"/>
        </w:rPr>
        <w:t>(xxvi)</w:t>
      </w: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Authority</w:t>
      </w:r>
      <w:r>
        <w:rPr>
          <w:rFonts w:ascii="Arial" w:cs="Arial" w:eastAsia="Arial" w:hAnsi="Arial"/>
          <w:sz w:val="17"/>
          <w:szCs w:val="17"/>
          <w:color w:val="auto"/>
        </w:rPr>
        <w:t>” means (i) any federal, provincial, state, local, municipal, national or international</w:t>
      </w:r>
      <w:r>
        <w:rPr>
          <w:rFonts w:ascii="Arial" w:cs="Arial" w:eastAsia="Arial" w:hAnsi="Arial"/>
          <w:sz w:val="17"/>
          <w:szCs w:val="17"/>
          <w:b w:val="1"/>
          <w:bCs w:val="1"/>
          <w:color w:val="auto"/>
        </w:rPr>
        <w:t xml:space="preserve"> </w:t>
      </w:r>
      <w:r>
        <w:rPr>
          <w:rFonts w:ascii="Arial" w:cs="Arial" w:eastAsia="Arial" w:hAnsi="Arial"/>
          <w:sz w:val="17"/>
          <w:szCs w:val="17"/>
          <w:color w:val="auto"/>
        </w:rPr>
        <w:t>government or governmental authority, regulatory or administrative agency, governmental commission, department, board, bureau, agency or</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instrumentality, court, tribunal, arbitrator or arbitral body (public or private); (ii) any self-regulatory organization; or (iii) any political subdivision of any of the foregoing.</w:t>
      </w:r>
    </w:p>
    <w:p>
      <w:pPr>
        <w:spacing w:after="0" w:line="154"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(xxvii)</w:t>
      </w:r>
      <w:r>
        <w:rPr>
          <w:rFonts w:ascii="Arial" w:cs="Arial" w:eastAsia="Arial" w:hAnsi="Arial"/>
          <w:sz w:val="18"/>
          <w:szCs w:val="18"/>
          <w:color w:val="auto"/>
        </w:rPr>
        <w:t>“</w:t>
      </w:r>
      <w:r>
        <w:rPr>
          <w:rFonts w:ascii="Arial" w:cs="Arial" w:eastAsia="Arial" w:hAnsi="Arial"/>
          <w:sz w:val="18"/>
          <w:szCs w:val="18"/>
          <w:b w:val="1"/>
          <w:bCs w:val="1"/>
          <w:i w:val="1"/>
          <w:iCs w:val="1"/>
          <w:color w:val="auto"/>
        </w:rPr>
        <w:t>HIPAA</w:t>
      </w:r>
      <w:r>
        <w:rPr>
          <w:rFonts w:ascii="Arial" w:cs="Arial" w:eastAsia="Arial" w:hAnsi="Arial"/>
          <w:sz w:val="18"/>
          <w:szCs w:val="18"/>
          <w:color w:val="auto"/>
        </w:rPr>
        <w:t>” has the meaning set forth in Section 3.22.</w:t>
      </w:r>
    </w:p>
    <w:p>
      <w:pPr>
        <w:spacing w:after="0" w:line="198"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(xxviii)</w:t>
      </w: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has the meaning set forth in Section 3.13.</w:t>
      </w:r>
    </w:p>
    <w:p>
      <w:pPr>
        <w:spacing w:after="0" w:line="185"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(xxix)</w:t>
      </w:r>
      <w:r>
        <w:rPr>
          <w:rFonts w:ascii="Arial" w:cs="Arial" w:eastAsia="Arial" w:hAnsi="Arial"/>
          <w:sz w:val="18"/>
          <w:szCs w:val="18"/>
          <w:color w:val="auto"/>
        </w:rPr>
        <w:t>“</w:t>
      </w:r>
      <w:r>
        <w:rPr>
          <w:rFonts w:ascii="Arial" w:cs="Arial" w:eastAsia="Arial" w:hAnsi="Arial"/>
          <w:sz w:val="18"/>
          <w:szCs w:val="18"/>
          <w:b w:val="1"/>
          <w:bCs w:val="1"/>
          <w:i w:val="1"/>
          <w:iCs w:val="1"/>
          <w:color w:val="auto"/>
        </w:rPr>
        <w:t>IT Systems</w:t>
      </w:r>
      <w:r>
        <w:rPr>
          <w:rFonts w:ascii="Arial" w:cs="Arial" w:eastAsia="Arial" w:hAnsi="Arial"/>
          <w:sz w:val="18"/>
          <w:szCs w:val="18"/>
          <w:color w:val="auto"/>
        </w:rPr>
        <w:t>” has the meaning set forth in Section 3.22.</w:t>
      </w:r>
    </w:p>
    <w:p>
      <w:pPr>
        <w:spacing w:after="0" w:line="18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(xxx)</w:t>
      </w:r>
      <w:r>
        <w:rPr>
          <w:rFonts w:ascii="Arial" w:cs="Arial" w:eastAsia="Arial" w:hAnsi="Arial"/>
          <w:sz w:val="18"/>
          <w:szCs w:val="18"/>
          <w:color w:val="auto"/>
        </w:rPr>
        <w:t>“</w:t>
      </w:r>
      <w:r>
        <w:rPr>
          <w:rFonts w:ascii="Arial" w:cs="Arial" w:eastAsia="Arial" w:hAnsi="Arial"/>
          <w:sz w:val="18"/>
          <w:szCs w:val="18"/>
          <w:b w:val="1"/>
          <w:bCs w:val="1"/>
          <w:i w:val="1"/>
          <w:iCs w:val="1"/>
          <w:color w:val="auto"/>
        </w:rPr>
        <w:t>Knowledge</w:t>
      </w:r>
      <w:r>
        <w:rPr>
          <w:rFonts w:ascii="Arial" w:cs="Arial" w:eastAsia="Arial" w:hAnsi="Arial"/>
          <w:sz w:val="18"/>
          <w:szCs w:val="18"/>
          <w:b w:val="1"/>
          <w:bCs w:val="1"/>
          <w:color w:val="auto"/>
        </w:rPr>
        <w:t>,</w:t>
      </w:r>
      <w:r>
        <w:rPr>
          <w:rFonts w:ascii="Arial" w:cs="Arial" w:eastAsia="Arial" w:hAnsi="Arial"/>
          <w:sz w:val="18"/>
          <w:szCs w:val="18"/>
          <w:color w:val="auto"/>
        </w:rPr>
        <w:t>” including the phrase “to the Company’s knowledge,” means the actual knowledge of the Company’s</w:t>
      </w:r>
    </w:p>
    <w:p>
      <w:pPr>
        <w:jc w:val="both"/>
        <w:spacing w:after="0" w:line="221" w:lineRule="auto"/>
        <w:rPr>
          <w:sz w:val="20"/>
          <w:szCs w:val="20"/>
          <w:color w:val="auto"/>
        </w:rPr>
      </w:pPr>
      <w:r>
        <w:rPr>
          <w:rFonts w:ascii="Arial" w:cs="Arial" w:eastAsia="Arial" w:hAnsi="Arial"/>
          <w:sz w:val="18"/>
          <w:szCs w:val="18"/>
          <w:color w:val="auto"/>
        </w:rPr>
        <w:t>Chief Executive Officer, the Company’s President, and the Company’s Chief Financial Officer, in each case after reasonable inquiry of all officers, directors and employees of the Company and its Subsidiaries who would reasonably be expected to have knowledge or information with respect to the matter in question.</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(xxxi)</w:t>
      </w:r>
      <w:r>
        <w:rPr>
          <w:rFonts w:ascii="Arial" w:cs="Arial" w:eastAsia="Arial" w:hAnsi="Arial"/>
          <w:sz w:val="18"/>
          <w:szCs w:val="18"/>
          <w:color w:val="auto"/>
        </w:rPr>
        <w:t>“</w:t>
      </w:r>
      <w:r>
        <w:rPr>
          <w:rFonts w:ascii="Arial" w:cs="Arial" w:eastAsia="Arial" w:hAnsi="Arial"/>
          <w:sz w:val="18"/>
          <w:szCs w:val="18"/>
          <w:b w:val="1"/>
          <w:bCs w:val="1"/>
          <w:i w:val="1"/>
          <w:iCs w:val="1"/>
          <w:color w:val="auto"/>
        </w:rPr>
        <w:t>Material Adverse Effect</w:t>
      </w:r>
      <w:r>
        <w:rPr>
          <w:rFonts w:ascii="Arial" w:cs="Arial" w:eastAsia="Arial" w:hAnsi="Arial"/>
          <w:sz w:val="18"/>
          <w:szCs w:val="18"/>
          <w:color w:val="auto"/>
        </w:rPr>
        <w:t>” has the meaning set forth in Section 3.1.</w:t>
      </w:r>
    </w:p>
    <w:p>
      <w:pPr>
        <w:spacing w:after="0" w:line="185" w:lineRule="exact"/>
        <w:rPr>
          <w:sz w:val="20"/>
          <w:szCs w:val="20"/>
          <w:color w:val="auto"/>
        </w:rPr>
      </w:pPr>
    </w:p>
    <w:p>
      <w:pPr>
        <w:jc w:val="both"/>
        <w:ind w:firstLine="1424"/>
        <w:spacing w:after="0" w:line="227" w:lineRule="auto"/>
        <w:rPr>
          <w:sz w:val="20"/>
          <w:szCs w:val="20"/>
          <w:color w:val="auto"/>
        </w:rPr>
      </w:pPr>
      <w:r>
        <w:rPr>
          <w:rFonts w:ascii="Arial" w:cs="Arial" w:eastAsia="Arial" w:hAnsi="Arial"/>
          <w:sz w:val="18"/>
          <w:szCs w:val="18"/>
          <w:b w:val="1"/>
          <w:bCs w:val="1"/>
          <w:color w:val="auto"/>
        </w:rPr>
        <w:t>(xxxii)</w:t>
      </w:r>
      <w:r>
        <w:rPr>
          <w:rFonts w:ascii="Arial" w:cs="Arial" w:eastAsia="Arial" w:hAnsi="Arial"/>
          <w:sz w:val="18"/>
          <w:szCs w:val="18"/>
          <w:color w:val="auto"/>
        </w:rPr>
        <w:t>“</w:t>
      </w:r>
      <w:r>
        <w:rPr>
          <w:rFonts w:ascii="Arial" w:cs="Arial" w:eastAsia="Arial" w:hAnsi="Arial"/>
          <w:sz w:val="18"/>
          <w:szCs w:val="18"/>
          <w:b w:val="1"/>
          <w:bCs w:val="1"/>
          <w:i w:val="1"/>
          <w:iCs w:val="1"/>
          <w:color w:val="auto"/>
        </w:rPr>
        <w:t>Material Contracts</w:t>
      </w:r>
      <w:r>
        <w:rPr>
          <w:rFonts w:ascii="Arial" w:cs="Arial" w:eastAsia="Arial" w:hAnsi="Arial"/>
          <w:sz w:val="18"/>
          <w:szCs w:val="18"/>
          <w:color w:val="auto"/>
        </w:rPr>
        <w:t>” means any contract that is expressly referred to in or filed or incorporated by reference as an</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to a Company SEC Report or that, if terminated or subject to default by a party thereto would, individually or in the aggregate, have a Material Adverse Effect.</w:t>
      </w:r>
    </w:p>
    <w:p>
      <w:pPr>
        <w:spacing w:after="0" w:line="169"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(xxxiii)</w:t>
      </w:r>
      <w:r>
        <w:rPr>
          <w:rFonts w:ascii="Arial" w:cs="Arial" w:eastAsia="Arial" w:hAnsi="Arial"/>
          <w:sz w:val="18"/>
          <w:szCs w:val="18"/>
          <w:color w:val="auto"/>
        </w:rPr>
        <w:t>“</w:t>
      </w:r>
      <w:r>
        <w:rPr>
          <w:rFonts w:ascii="Arial" w:cs="Arial" w:eastAsia="Arial" w:hAnsi="Arial"/>
          <w:sz w:val="18"/>
          <w:szCs w:val="18"/>
          <w:b w:val="1"/>
          <w:bCs w:val="1"/>
          <w:i w:val="1"/>
          <w:iCs w:val="1"/>
          <w:color w:val="auto"/>
        </w:rPr>
        <w:t>Money Laundering Laws</w:t>
      </w:r>
      <w:r>
        <w:rPr>
          <w:rFonts w:ascii="Arial" w:cs="Arial" w:eastAsia="Arial" w:hAnsi="Arial"/>
          <w:sz w:val="18"/>
          <w:szCs w:val="18"/>
          <w:color w:val="auto"/>
        </w:rPr>
        <w:t>” has the meaning set forth in Section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03" w:right="339" w:bottom="1440" w:gutter="0" w:footer="0" w:header="0"/>
        </w:sectPr>
      </w:pPr>
    </w:p>
    <w:bookmarkStart w:id="27" w:name="page28"/>
    <w:bookmarkEnd w:id="27"/>
    <w:p>
      <w:pPr>
        <w:ind w:left="1380"/>
        <w:spacing w:after="0"/>
        <w:rPr>
          <w:sz w:val="20"/>
          <w:szCs w:val="20"/>
          <w:color w:val="auto"/>
        </w:rPr>
      </w:pPr>
      <w:r>
        <w:rPr>
          <w:rFonts w:ascii="Arial" w:cs="Arial" w:eastAsia="Arial" w:hAnsi="Arial"/>
          <w:sz w:val="18"/>
          <w:szCs w:val="18"/>
          <w:b w:val="1"/>
          <w:bCs w:val="1"/>
          <w:color w:val="auto"/>
        </w:rPr>
        <w:t>(xxxiv)</w:t>
      </w:r>
      <w:r>
        <w:rPr>
          <w:rFonts w:ascii="Arial" w:cs="Arial" w:eastAsia="Arial" w:hAnsi="Arial"/>
          <w:sz w:val="18"/>
          <w:szCs w:val="18"/>
          <w:color w:val="auto"/>
        </w:rPr>
        <w:t>“</w:t>
      </w:r>
      <w:r>
        <w:rPr>
          <w:rFonts w:ascii="Arial" w:cs="Arial" w:eastAsia="Arial" w:hAnsi="Arial"/>
          <w:sz w:val="18"/>
          <w:szCs w:val="18"/>
          <w:b w:val="1"/>
          <w:bCs w:val="1"/>
          <w:i w:val="1"/>
          <w:iCs w:val="1"/>
          <w:color w:val="auto"/>
        </w:rPr>
        <w:t>OFAC List</w:t>
      </w:r>
      <w:r>
        <w:rPr>
          <w:rFonts w:ascii="Arial" w:cs="Arial" w:eastAsia="Arial" w:hAnsi="Arial"/>
          <w:sz w:val="18"/>
          <w:szCs w:val="18"/>
          <w:color w:val="auto"/>
        </w:rPr>
        <w:t>” has the meaning set forth in Section 4.9.</w:t>
      </w:r>
    </w:p>
    <w:p>
      <w:pPr>
        <w:spacing w:after="0" w:line="185"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(xxxv)</w:t>
      </w:r>
      <w:r>
        <w:rPr>
          <w:rFonts w:ascii="Arial" w:cs="Arial" w:eastAsia="Arial" w:hAnsi="Arial"/>
          <w:sz w:val="18"/>
          <w:szCs w:val="18"/>
          <w:color w:val="auto"/>
        </w:rPr>
        <w:t>“</w:t>
      </w:r>
      <w:r>
        <w:rPr>
          <w:rFonts w:ascii="Arial" w:cs="Arial" w:eastAsia="Arial" w:hAnsi="Arial"/>
          <w:sz w:val="18"/>
          <w:szCs w:val="18"/>
          <w:b w:val="1"/>
          <w:bCs w:val="1"/>
          <w:i w:val="1"/>
          <w:iCs w:val="1"/>
          <w:color w:val="auto"/>
        </w:rPr>
        <w:t>PATRIOT Act</w:t>
      </w:r>
      <w:r>
        <w:rPr>
          <w:rFonts w:ascii="Arial" w:cs="Arial" w:eastAsia="Arial" w:hAnsi="Arial"/>
          <w:sz w:val="18"/>
          <w:szCs w:val="18"/>
          <w:color w:val="auto"/>
        </w:rPr>
        <w:t>” has the meaning set forth in Section 4.9.</w:t>
      </w:r>
    </w:p>
    <w:p>
      <w:pPr>
        <w:spacing w:after="0" w:line="198"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(xxxvi)</w:t>
      </w: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partnership, trust, limited liability company, association or other entity.</w:t>
      </w:r>
    </w:p>
    <w:p>
      <w:pPr>
        <w:spacing w:after="0" w:line="185"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(xxxvii)</w:t>
      </w:r>
      <w:r>
        <w:rPr>
          <w:rFonts w:ascii="Arial" w:cs="Arial" w:eastAsia="Arial" w:hAnsi="Arial"/>
          <w:sz w:val="18"/>
          <w:szCs w:val="18"/>
          <w:color w:val="auto"/>
        </w:rPr>
        <w:t>“</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has the meaning set forth in the Recital of this Agreement.</w:t>
      </w:r>
    </w:p>
    <w:p>
      <w:pPr>
        <w:spacing w:after="0" w:line="18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(xxxviii)</w:t>
      </w:r>
      <w:r>
        <w:rPr>
          <w:rFonts w:ascii="Arial" w:cs="Arial" w:eastAsia="Arial" w:hAnsi="Arial"/>
          <w:sz w:val="18"/>
          <w:szCs w:val="18"/>
          <w:color w:val="auto"/>
        </w:rPr>
        <w:t>“</w:t>
      </w:r>
      <w:r>
        <w:rPr>
          <w:rFonts w:ascii="Arial" w:cs="Arial" w:eastAsia="Arial" w:hAnsi="Arial"/>
          <w:sz w:val="18"/>
          <w:szCs w:val="18"/>
          <w:b w:val="1"/>
          <w:bCs w:val="1"/>
          <w:i w:val="1"/>
          <w:iCs w:val="1"/>
          <w:color w:val="auto"/>
        </w:rPr>
        <w:t>Prohibited Investor</w:t>
      </w:r>
      <w:r>
        <w:rPr>
          <w:rFonts w:ascii="Arial" w:cs="Arial" w:eastAsia="Arial" w:hAnsi="Arial"/>
          <w:sz w:val="18"/>
          <w:szCs w:val="18"/>
          <w:color w:val="auto"/>
        </w:rPr>
        <w:t>” has the meaning set forth in Section 4.9.</w:t>
      </w:r>
    </w:p>
    <w:p>
      <w:pPr>
        <w:spacing w:after="0" w:line="198" w:lineRule="exact"/>
        <w:rPr>
          <w:sz w:val="20"/>
          <w:szCs w:val="20"/>
          <w:color w:val="auto"/>
        </w:rPr>
      </w:pPr>
    </w:p>
    <w:p>
      <w:pPr>
        <w:jc w:val="both"/>
        <w:ind w:firstLine="1374"/>
        <w:spacing w:after="0" w:line="227" w:lineRule="auto"/>
        <w:rPr>
          <w:sz w:val="20"/>
          <w:szCs w:val="20"/>
          <w:color w:val="auto"/>
        </w:rPr>
      </w:pPr>
      <w:r>
        <w:rPr>
          <w:rFonts w:ascii="Arial" w:cs="Arial" w:eastAsia="Arial" w:hAnsi="Arial"/>
          <w:sz w:val="18"/>
          <w:szCs w:val="18"/>
          <w:b w:val="1"/>
          <w:bCs w:val="1"/>
          <w:color w:val="auto"/>
        </w:rPr>
        <w:t>(xxxix)</w:t>
      </w:r>
      <w:r>
        <w:rPr>
          <w:rFonts w:ascii="Arial" w:cs="Arial" w:eastAsia="Arial" w:hAnsi="Arial"/>
          <w:sz w:val="18"/>
          <w:szCs w:val="18"/>
          <w:color w:val="auto"/>
        </w:rPr>
        <w:t>“</w:t>
      </w:r>
      <w:r>
        <w:rPr>
          <w:rFonts w:ascii="Arial" w:cs="Arial" w:eastAsia="Arial" w:hAnsi="Arial"/>
          <w:sz w:val="18"/>
          <w:szCs w:val="18"/>
          <w:b w:val="1"/>
          <w:bCs w:val="1"/>
          <w:i w:val="1"/>
          <w:iCs w:val="1"/>
          <w:color w:val="auto"/>
        </w:rPr>
        <w:t>Principal Market</w:t>
      </w:r>
      <w:r>
        <w:rPr>
          <w:rFonts w:ascii="Arial" w:cs="Arial" w:eastAsia="Arial" w:hAnsi="Arial"/>
          <w:sz w:val="18"/>
          <w:szCs w:val="18"/>
          <w:color w:val="auto"/>
        </w:rPr>
        <w:t>” means the Nasdaq Capital Market</w:t>
      </w:r>
      <w:r>
        <w:rPr>
          <w:rFonts w:ascii="Arial" w:cs="Arial" w:eastAsia="Arial" w:hAnsi="Arial"/>
          <w:sz w:val="18"/>
          <w:szCs w:val="18"/>
          <w:i w:val="1"/>
          <w:iCs w:val="1"/>
          <w:color w:val="auto"/>
        </w:rPr>
        <w:t>; provided, however,</w:t>
      </w:r>
      <w:r>
        <w:rPr>
          <w:rFonts w:ascii="Arial" w:cs="Arial" w:eastAsia="Arial" w:hAnsi="Arial"/>
          <w:sz w:val="18"/>
          <w:szCs w:val="18"/>
          <w:b w:val="1"/>
          <w:bCs w:val="1"/>
          <w:color w:val="auto"/>
        </w:rPr>
        <w:t xml:space="preserve"> </w:t>
      </w:r>
      <w:r>
        <w:rPr>
          <w:rFonts w:ascii="Arial" w:cs="Arial" w:eastAsia="Arial" w:hAnsi="Arial"/>
          <w:sz w:val="18"/>
          <w:szCs w:val="18"/>
          <w:color w:val="auto"/>
        </w:rPr>
        <w:t>that in the event the Company’s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is ever listed or traded on an Alternative Market, then the “Principal Market” shall mean such Alternative Market on which the Company’s Common Stock is then listed or traded.</w:t>
      </w:r>
    </w:p>
    <w:p>
      <w:pPr>
        <w:spacing w:after="0" w:line="169"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(xl)</w:t>
      </w:r>
      <w:r>
        <w:rPr>
          <w:rFonts w:ascii="Arial" w:cs="Arial" w:eastAsia="Arial" w:hAnsi="Arial"/>
          <w:sz w:val="18"/>
          <w:szCs w:val="18"/>
          <w:color w:val="auto"/>
        </w:rPr>
        <w:t>“</w:t>
      </w:r>
      <w:r>
        <w:rPr>
          <w:rFonts w:ascii="Arial" w:cs="Arial" w:eastAsia="Arial" w:hAnsi="Arial"/>
          <w:sz w:val="18"/>
          <w:szCs w:val="18"/>
          <w:b w:val="1"/>
          <w:bCs w:val="1"/>
          <w:i w:val="1"/>
          <w:iCs w:val="1"/>
          <w:color w:val="auto"/>
        </w:rPr>
        <w:t>Privacy Laws</w:t>
      </w:r>
      <w:r>
        <w:rPr>
          <w:rFonts w:ascii="Arial" w:cs="Arial" w:eastAsia="Arial" w:hAnsi="Arial"/>
          <w:sz w:val="18"/>
          <w:szCs w:val="18"/>
          <w:color w:val="auto"/>
        </w:rPr>
        <w:t>” has the meaning set forth in Section 3.22.</w:t>
      </w:r>
    </w:p>
    <w:p>
      <w:pPr>
        <w:spacing w:after="0" w:line="185"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(xli)</w:t>
      </w: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has the meaning set forth in Section 2.1.</w:t>
      </w:r>
    </w:p>
    <w:p>
      <w:pPr>
        <w:spacing w:after="0" w:line="185" w:lineRule="exact"/>
        <w:rPr>
          <w:sz w:val="20"/>
          <w:szCs w:val="20"/>
          <w:color w:val="auto"/>
        </w:rPr>
      </w:pPr>
    </w:p>
    <w:p>
      <w:pPr>
        <w:jc w:val="both"/>
        <w:ind w:right="20" w:firstLine="1574"/>
        <w:spacing w:after="0" w:line="256" w:lineRule="auto"/>
        <w:rPr>
          <w:sz w:val="20"/>
          <w:szCs w:val="20"/>
          <w:color w:val="auto"/>
        </w:rPr>
      </w:pPr>
      <w:r>
        <w:rPr>
          <w:rFonts w:ascii="Arial" w:cs="Arial" w:eastAsia="Arial" w:hAnsi="Arial"/>
          <w:sz w:val="18"/>
          <w:szCs w:val="18"/>
          <w:b w:val="1"/>
          <w:bCs w:val="1"/>
          <w:color w:val="auto"/>
        </w:rPr>
        <w:t>(xlii)</w:t>
      </w:r>
      <w:r>
        <w:rPr>
          <w:rFonts w:ascii="Arial" w:cs="Arial" w:eastAsia="Arial" w:hAnsi="Arial"/>
          <w:sz w:val="18"/>
          <w:szCs w:val="18"/>
          <w:color w:val="auto"/>
        </w:rPr>
        <w:t>“</w:t>
      </w:r>
      <w:r>
        <w:rPr>
          <w:rFonts w:ascii="Arial" w:cs="Arial" w:eastAsia="Arial" w:hAnsi="Arial"/>
          <w:sz w:val="18"/>
          <w:szCs w:val="18"/>
          <w:b w:val="1"/>
          <w:bCs w:val="1"/>
          <w:i w:val="1"/>
          <w:iCs w:val="1"/>
          <w:color w:val="auto"/>
        </w:rPr>
        <w:t>Restated Certificate</w:t>
      </w:r>
      <w:r>
        <w:rPr>
          <w:rFonts w:ascii="Arial" w:cs="Arial" w:eastAsia="Arial" w:hAnsi="Arial"/>
          <w:sz w:val="18"/>
          <w:szCs w:val="18"/>
          <w:color w:val="auto"/>
        </w:rPr>
        <w:t>” means the current Amended and Restated Certificate of Incorporation of the Company,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by the Certificate of Amendment.</w:t>
      </w:r>
    </w:p>
    <w:p>
      <w:pPr>
        <w:spacing w:after="0" w:line="139"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(xliii)</w:t>
      </w: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Period</w:t>
      </w:r>
      <w:r>
        <w:rPr>
          <w:rFonts w:ascii="Arial" w:cs="Arial" w:eastAsia="Arial" w:hAnsi="Arial"/>
          <w:sz w:val="18"/>
          <w:szCs w:val="18"/>
          <w:color w:val="auto"/>
        </w:rPr>
        <w:t>” has the meaning set forth in Section 5.</w:t>
      </w:r>
    </w:p>
    <w:p>
      <w:pPr>
        <w:spacing w:after="0" w:line="18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(xliv)</w:t>
      </w:r>
      <w:r>
        <w:rPr>
          <w:rFonts w:ascii="Arial" w:cs="Arial" w:eastAsia="Arial" w:hAnsi="Arial"/>
          <w:sz w:val="18"/>
          <w:szCs w:val="18"/>
          <w:color w:val="auto"/>
        </w:rPr>
        <w:t>“</w:t>
      </w:r>
      <w:r>
        <w:rPr>
          <w:rFonts w:ascii="Arial" w:cs="Arial" w:eastAsia="Arial" w:hAnsi="Arial"/>
          <w:sz w:val="18"/>
          <w:szCs w:val="18"/>
          <w:b w:val="1"/>
          <w:bCs w:val="1"/>
          <w:i w:val="1"/>
          <w:iCs w:val="1"/>
          <w:color w:val="auto"/>
        </w:rPr>
        <w:t>Rule 506(d) Related Party</w:t>
      </w:r>
      <w:r>
        <w:rPr>
          <w:rFonts w:ascii="Arial" w:cs="Arial" w:eastAsia="Arial" w:hAnsi="Arial"/>
          <w:sz w:val="18"/>
          <w:szCs w:val="18"/>
          <w:color w:val="auto"/>
        </w:rPr>
        <w:t>” has the meaning set forth in Section 4.11.</w:t>
      </w:r>
    </w:p>
    <w:p>
      <w:pPr>
        <w:spacing w:after="0" w:line="198"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(xlv)</w:t>
      </w:r>
      <w:r>
        <w:rPr>
          <w:rFonts w:ascii="Arial" w:cs="Arial" w:eastAsia="Arial" w:hAnsi="Arial"/>
          <w:sz w:val="18"/>
          <w:szCs w:val="18"/>
          <w:color w:val="auto"/>
        </w:rPr>
        <w:t>“</w:t>
      </w:r>
      <w:r>
        <w:rPr>
          <w:rFonts w:ascii="Arial" w:cs="Arial" w:eastAsia="Arial" w:hAnsi="Arial"/>
          <w:sz w:val="18"/>
          <w:szCs w:val="18"/>
          <w:b w:val="1"/>
          <w:bCs w:val="1"/>
          <w:i w:val="1"/>
          <w:iCs w:val="1"/>
          <w:color w:val="auto"/>
        </w:rPr>
        <w:t>Sarbanes-Oxley Act</w:t>
      </w:r>
      <w:r>
        <w:rPr>
          <w:rFonts w:ascii="Arial" w:cs="Arial" w:eastAsia="Arial" w:hAnsi="Arial"/>
          <w:sz w:val="18"/>
          <w:szCs w:val="18"/>
          <w:color w:val="auto"/>
        </w:rPr>
        <w:t>” has the meaning set forth in Section 3.9.</w:t>
      </w:r>
    </w:p>
    <w:p>
      <w:pPr>
        <w:spacing w:after="0" w:line="18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(xlvi)</w:t>
      </w: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U.S. Securities and Exchange Commission.</w:t>
      </w:r>
    </w:p>
    <w:p>
      <w:pPr>
        <w:spacing w:after="0" w:line="185"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(xlvii)</w:t>
      </w: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has the meaning set forth in Section 4.4.</w:t>
      </w:r>
    </w:p>
    <w:p>
      <w:pPr>
        <w:spacing w:after="0" w:line="185"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(xlviii)</w:t>
      </w: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 and the rules and regulations promulgated</w:t>
      </w:r>
    </w:p>
    <w:p>
      <w:pPr>
        <w:spacing w:after="0"/>
        <w:rPr>
          <w:sz w:val="20"/>
          <w:szCs w:val="20"/>
          <w:color w:val="auto"/>
        </w:rPr>
      </w:pPr>
      <w:r>
        <w:rPr>
          <w:rFonts w:ascii="Arial" w:cs="Arial" w:eastAsia="Arial" w:hAnsi="Arial"/>
          <w:sz w:val="18"/>
          <w:szCs w:val="18"/>
          <w:color w:val="auto"/>
        </w:rPr>
        <w:t>thereunder.</w:t>
      </w:r>
    </w:p>
    <w:p>
      <w:pPr>
        <w:spacing w:after="0" w:line="16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(xlix)</w:t>
      </w: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has the meaning set forth in Section 2.1.</w:t>
      </w:r>
    </w:p>
    <w:p>
      <w:pPr>
        <w:spacing w:after="0" w:line="18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8"/>
          <w:szCs w:val="18"/>
          <w:color w:val="auto"/>
        </w:rPr>
        <w:t>“</w:t>
      </w:r>
      <w:r>
        <w:rPr>
          <w:rFonts w:ascii="Arial" w:cs="Arial" w:eastAsia="Arial" w:hAnsi="Arial"/>
          <w:sz w:val="18"/>
          <w:szCs w:val="18"/>
          <w:b w:val="1"/>
          <w:bCs w:val="1"/>
          <w:i w:val="1"/>
          <w:iCs w:val="1"/>
          <w:color w:val="auto"/>
        </w:rPr>
        <w:t>Short Sales</w:t>
      </w:r>
      <w:r>
        <w:rPr>
          <w:rFonts w:ascii="Arial" w:cs="Arial" w:eastAsia="Arial" w:hAnsi="Arial"/>
          <w:sz w:val="18"/>
          <w:szCs w:val="18"/>
          <w:color w:val="auto"/>
        </w:rPr>
        <w:t>” means “short sales” as defined in Rule 200 promulgated under Regulation SHO under the Exchange</w:t>
      </w:r>
    </w:p>
    <w:p>
      <w:pPr>
        <w:spacing w:after="0"/>
        <w:rPr>
          <w:sz w:val="20"/>
          <w:szCs w:val="20"/>
          <w:color w:val="auto"/>
        </w:rPr>
      </w:pPr>
      <w:r>
        <w:rPr>
          <w:rFonts w:ascii="Arial" w:cs="Arial" w:eastAsia="Arial" w:hAnsi="Arial"/>
          <w:sz w:val="18"/>
          <w:szCs w:val="18"/>
          <w:color w:val="auto"/>
        </w:rPr>
        <w:t>Act.</w:t>
      </w:r>
    </w:p>
    <w:p>
      <w:pPr>
        <w:spacing w:after="0" w:line="167"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(li)</w:t>
      </w:r>
      <w:r>
        <w:rPr>
          <w:rFonts w:ascii="Arial" w:cs="Arial" w:eastAsia="Arial" w:hAnsi="Arial"/>
          <w:sz w:val="18"/>
          <w:szCs w:val="18"/>
          <w:color w:val="auto"/>
        </w:rPr>
        <w:t>“</w:t>
      </w:r>
      <w:r>
        <w:rPr>
          <w:rFonts w:ascii="Arial" w:cs="Arial" w:eastAsia="Arial" w:hAnsi="Arial"/>
          <w:sz w:val="18"/>
          <w:szCs w:val="18"/>
          <w:b w:val="1"/>
          <w:bCs w:val="1"/>
          <w:i w:val="1"/>
          <w:iCs w:val="1"/>
          <w:color w:val="auto"/>
        </w:rPr>
        <w:t>Subsidiaries</w:t>
      </w:r>
      <w:r>
        <w:rPr>
          <w:rFonts w:ascii="Arial" w:cs="Arial" w:eastAsia="Arial" w:hAnsi="Arial"/>
          <w:sz w:val="18"/>
          <w:szCs w:val="18"/>
          <w:color w:val="auto"/>
        </w:rPr>
        <w:t>” has the meaning set forth in Section 3.2.</w:t>
      </w:r>
    </w:p>
    <w:p>
      <w:pPr>
        <w:spacing w:after="0" w:line="198" w:lineRule="exact"/>
        <w:rPr>
          <w:sz w:val="20"/>
          <w:szCs w:val="20"/>
          <w:color w:val="auto"/>
        </w:rPr>
      </w:pPr>
    </w:p>
    <w:p>
      <w:pPr>
        <w:jc w:val="both"/>
        <w:ind w:firstLine="1674"/>
        <w:spacing w:after="0" w:line="215" w:lineRule="auto"/>
        <w:rPr>
          <w:sz w:val="20"/>
          <w:szCs w:val="20"/>
          <w:color w:val="auto"/>
        </w:rPr>
      </w:pPr>
      <w:r>
        <w:rPr>
          <w:rFonts w:ascii="Arial" w:cs="Arial" w:eastAsia="Arial" w:hAnsi="Arial"/>
          <w:sz w:val="18"/>
          <w:szCs w:val="18"/>
          <w:b w:val="1"/>
          <w:bCs w:val="1"/>
          <w:color w:val="auto"/>
        </w:rPr>
        <w:t>(lii)</w:t>
      </w:r>
      <w:r>
        <w:rPr>
          <w:rFonts w:ascii="Arial" w:cs="Arial" w:eastAsia="Arial" w:hAnsi="Arial"/>
          <w:sz w:val="18"/>
          <w:szCs w:val="18"/>
          <w:color w:val="auto"/>
        </w:rPr>
        <w:t>“</w:t>
      </w:r>
      <w:r>
        <w:rPr>
          <w:rFonts w:ascii="Arial" w:cs="Arial" w:eastAsia="Arial" w:hAnsi="Arial"/>
          <w:sz w:val="18"/>
          <w:szCs w:val="18"/>
          <w:b w:val="1"/>
          <w:bCs w:val="1"/>
          <w:i w:val="1"/>
          <w:iCs w:val="1"/>
          <w:color w:val="auto"/>
        </w:rPr>
        <w:t>Tax</w:t>
      </w:r>
      <w:r>
        <w:rPr>
          <w:rFonts w:ascii="Arial" w:cs="Arial" w:eastAsia="Arial" w:hAnsi="Arial"/>
          <w:sz w:val="18"/>
          <w:szCs w:val="18"/>
          <w:color w:val="auto"/>
        </w:rPr>
        <w:t>” or “</w:t>
      </w:r>
      <w:r>
        <w:rPr>
          <w:rFonts w:ascii="Arial" w:cs="Arial" w:eastAsia="Arial" w:hAnsi="Arial"/>
          <w:sz w:val="18"/>
          <w:szCs w:val="18"/>
          <w:b w:val="1"/>
          <w:bCs w:val="1"/>
          <w:i w:val="1"/>
          <w:iCs w:val="1"/>
          <w:color w:val="auto"/>
        </w:rPr>
        <w:t>Taxes</w:t>
      </w:r>
      <w:r>
        <w:rPr>
          <w:rFonts w:ascii="Arial" w:cs="Arial" w:eastAsia="Arial" w:hAnsi="Arial"/>
          <w:sz w:val="18"/>
          <w:szCs w:val="18"/>
          <w:color w:val="auto"/>
        </w:rPr>
        <w:t>” means (a) any federal, state, local, or non-U.S. income, gross receipts, license, payroll,</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excise, severance, stamp, occupation, premium, windfall profits, environmental (including taxes under Section 59A of the Code), customs duties, capital stock, franchise, profits, withholding, social security (or similar), unemployment, disability, real property,</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personal property, sales, use, transfer, unclaimed property or escheat (or similar), registration, value added, alternative or add-on minimum, estimated, or other tax of any kind whatsoever, including any interest, penalty, or addition thereto, whether disputed or not, (b) any liability for or in respect of the payment of any amount of a type described in clause (a) of this definition as a result of being a member of an affiliated,</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combined, consolidated, unitary or other group for tax purposes, or (c) any liability for or in respect of the payment of any amount described in clauses (a) or (b) of this definition as a transferee or successor, by Contract or otherwise.</w:t>
      </w:r>
    </w:p>
    <w:p>
      <w:pPr>
        <w:spacing w:after="0" w:line="154"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(liii)</w:t>
      </w: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 Documents</w:t>
      </w:r>
      <w:r>
        <w:rPr>
          <w:rFonts w:ascii="Arial" w:cs="Arial" w:eastAsia="Arial" w:hAnsi="Arial"/>
          <w:sz w:val="18"/>
          <w:szCs w:val="18"/>
          <w:color w:val="auto"/>
        </w:rPr>
        <w:t>” means this Agreement and the Certificate of Designations.</w:t>
      </w:r>
    </w:p>
    <w:p>
      <w:pPr>
        <w:spacing w:after="0" w:line="185"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(liv)</w:t>
      </w:r>
      <w:r>
        <w:rPr>
          <w:rFonts w:ascii="Arial" w:cs="Arial" w:eastAsia="Arial" w:hAnsi="Arial"/>
          <w:sz w:val="18"/>
          <w:szCs w:val="18"/>
          <w:color w:val="auto"/>
        </w:rPr>
        <w:t>“</w:t>
      </w:r>
      <w:r>
        <w:rPr>
          <w:rFonts w:ascii="Arial" w:cs="Arial" w:eastAsia="Arial" w:hAnsi="Arial"/>
          <w:sz w:val="18"/>
          <w:szCs w:val="18"/>
          <w:b w:val="1"/>
          <w:bCs w:val="1"/>
          <w:i w:val="1"/>
          <w:iCs w:val="1"/>
          <w:color w:val="auto"/>
        </w:rPr>
        <w:t>Underlying Shares</w:t>
      </w:r>
      <w:r>
        <w:rPr>
          <w:rFonts w:ascii="Arial" w:cs="Arial" w:eastAsia="Arial" w:hAnsi="Arial"/>
          <w:sz w:val="18"/>
          <w:szCs w:val="18"/>
          <w:color w:val="auto"/>
        </w:rPr>
        <w:t>” means the shares of Common Stock issued and issuable upon conversion of the Preferred</w:t>
      </w:r>
    </w:p>
    <w:p>
      <w:pPr>
        <w:spacing w:after="0"/>
        <w:rPr>
          <w:sz w:val="20"/>
          <w:szCs w:val="20"/>
          <w:color w:val="auto"/>
        </w:rPr>
      </w:pPr>
      <w:r>
        <w:rPr>
          <w:rFonts w:ascii="Arial" w:cs="Arial" w:eastAsia="Arial" w:hAnsi="Arial"/>
          <w:sz w:val="18"/>
          <w:szCs w:val="18"/>
          <w:color w:val="auto"/>
        </w:rPr>
        <w:t>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03" w:right="339" w:bottom="1440" w:gutter="0" w:footer="0" w:header="0"/>
        </w:sectPr>
      </w:pPr>
    </w:p>
    <w:bookmarkStart w:id="28" w:name="page29"/>
    <w:bookmarkEnd w:id="28"/>
    <w:p>
      <w:pPr>
        <w:ind w:left="1300" w:hanging="644"/>
        <w:spacing w:after="0"/>
        <w:tabs>
          <w:tab w:leader="none" w:pos="13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Purchase and Sale of Preferred Stock</w:t>
      </w:r>
      <w:r>
        <w:rPr>
          <w:rFonts w:ascii="Arial" w:cs="Arial" w:eastAsia="Arial" w:hAnsi="Arial"/>
          <w:sz w:val="18"/>
          <w:szCs w:val="18"/>
          <w:color w:val="auto"/>
        </w:rPr>
        <w:t>.</w:t>
      </w:r>
    </w:p>
    <w:p>
      <w:pPr>
        <w:spacing w:after="0" w:line="185"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18"/>
          <w:szCs w:val="18"/>
          <w:b w:val="1"/>
          <w:bCs w:val="1"/>
          <w:color w:val="auto"/>
        </w:rPr>
        <w:t>2.1</w:t>
        <w:tab/>
        <w:t>Sale and Issuance of Preferred Stock</w:t>
      </w:r>
      <w:r>
        <w:rPr>
          <w:rFonts w:ascii="Arial" w:cs="Arial" w:eastAsia="Arial" w:hAnsi="Arial"/>
          <w:sz w:val="18"/>
          <w:szCs w:val="18"/>
          <w:color w:val="auto"/>
        </w:rPr>
        <w:t>. Subject to the terms and conditions of this Agreement, the Investor agrees to</w:t>
      </w:r>
    </w:p>
    <w:p>
      <w:pPr>
        <w:jc w:val="both"/>
        <w:spacing w:after="0" w:line="208" w:lineRule="auto"/>
        <w:rPr>
          <w:sz w:val="20"/>
          <w:szCs w:val="20"/>
          <w:color w:val="auto"/>
        </w:rPr>
      </w:pPr>
      <w:r>
        <w:rPr>
          <w:rFonts w:ascii="Arial" w:cs="Arial" w:eastAsia="Arial" w:hAnsi="Arial"/>
          <w:sz w:val="18"/>
          <w:szCs w:val="18"/>
          <w:color w:val="auto"/>
        </w:rPr>
        <w:t>receive at the Closing and the Company agrees to sell and issue to the Investor at the Closing that certain number of shares of Preferred Stock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as set forth on Schedule 1 hereto, free and clear of all liens or encumbrances, for an aggregate issue price for the Shares (the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as set forth on Schedule 1 hereto. The Company represents and warrants that the Company is selling Shares</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on the date hereof, that when aggregated with the Shares purchased by the Investor pursuant this Agreement, shall have an aggregate purchase price of not less than $15,000,000.</w:t>
      </w:r>
    </w:p>
    <w:p>
      <w:pPr>
        <w:spacing w:after="0" w:line="154"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Closing; Delivery; Adjustments</w:t>
      </w:r>
      <w:r>
        <w:rPr>
          <w:rFonts w:ascii="Arial" w:cs="Arial" w:eastAsia="Arial" w:hAnsi="Arial"/>
          <w:sz w:val="17"/>
          <w:szCs w:val="17"/>
          <w:color w:val="auto"/>
        </w:rPr>
        <w:t>.</w:t>
      </w:r>
    </w:p>
    <w:p>
      <w:pPr>
        <w:spacing w:after="0" w:line="198" w:lineRule="exact"/>
        <w:rPr>
          <w:sz w:val="20"/>
          <w:szCs w:val="20"/>
          <w:color w:val="auto"/>
        </w:rPr>
      </w:pPr>
    </w:p>
    <w:p>
      <w:pPr>
        <w:jc w:val="both"/>
        <w:ind w:firstLine="1952"/>
        <w:spacing w:after="0" w:line="225" w:lineRule="auto"/>
        <w:tabs>
          <w:tab w:leader="none" w:pos="2580" w:val="left"/>
        </w:tabs>
        <w:numPr>
          <w:ilvl w:val="1"/>
          <w:numId w:val="21"/>
        </w:numPr>
        <w:rPr>
          <w:rFonts w:ascii="Arial" w:cs="Arial" w:eastAsia="Arial" w:hAnsi="Arial"/>
          <w:sz w:val="18"/>
          <w:szCs w:val="18"/>
          <w:b w:val="1"/>
          <w:bCs w:val="1"/>
          <w:color w:val="auto"/>
        </w:rPr>
      </w:pPr>
      <w:r>
        <w:rPr>
          <w:rFonts w:ascii="Arial" w:cs="Arial" w:eastAsia="Arial" w:hAnsi="Arial"/>
          <w:sz w:val="18"/>
          <w:szCs w:val="18"/>
          <w:color w:val="auto"/>
        </w:rPr>
        <w:t>The purchase and sale of the Shares shall take place remotely via the exchange of documents and signatures simultaneously at such other time and place as the Company and the Investor mutually agree upon, orally or in writing (which time and place are designated as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and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At the Closing, the Company shall issue, and the Investor shall receive the issuance of the Shares.</w:t>
      </w:r>
    </w:p>
    <w:p>
      <w:pPr>
        <w:spacing w:after="0" w:line="155" w:lineRule="exact"/>
        <w:rPr>
          <w:rFonts w:ascii="Arial" w:cs="Arial" w:eastAsia="Arial" w:hAnsi="Arial"/>
          <w:sz w:val="18"/>
          <w:szCs w:val="18"/>
          <w:b w:val="1"/>
          <w:bCs w:val="1"/>
          <w:color w:val="auto"/>
        </w:rPr>
      </w:pPr>
    </w:p>
    <w:p>
      <w:pPr>
        <w:jc w:val="both"/>
        <w:ind w:firstLine="1952"/>
        <w:spacing w:after="0" w:line="233" w:lineRule="auto"/>
        <w:tabs>
          <w:tab w:leader="none" w:pos="2590" w:val="left"/>
        </w:tabs>
        <w:numPr>
          <w:ilvl w:val="1"/>
          <w:numId w:val="21"/>
        </w:numPr>
        <w:rPr>
          <w:rFonts w:ascii="Arial" w:cs="Arial" w:eastAsia="Arial" w:hAnsi="Arial"/>
          <w:sz w:val="18"/>
          <w:szCs w:val="18"/>
          <w:b w:val="1"/>
          <w:bCs w:val="1"/>
          <w:color w:val="auto"/>
        </w:rPr>
      </w:pPr>
      <w:r>
        <w:rPr>
          <w:rFonts w:ascii="Arial" w:cs="Arial" w:eastAsia="Arial" w:hAnsi="Arial"/>
          <w:sz w:val="18"/>
          <w:szCs w:val="18"/>
          <w:color w:val="auto"/>
        </w:rPr>
        <w:t>At the Closing, the Investor shall deliver to the Company, via wire transfer of immediately available funds, the Purchase Price, and the Company shall deliver, or instruct its transfer agent to deliver, confirmation of book-entry issuance of the Shares being purchased by the Investor at such Closing as set forth on Schedule 1 hereto.</w:t>
      </w:r>
    </w:p>
    <w:p>
      <w:pPr>
        <w:spacing w:after="0" w:line="153" w:lineRule="exact"/>
        <w:rPr>
          <w:rFonts w:ascii="Arial" w:cs="Arial" w:eastAsia="Arial" w:hAnsi="Arial"/>
          <w:sz w:val="18"/>
          <w:szCs w:val="18"/>
          <w:b w:val="1"/>
          <w:bCs w:val="1"/>
          <w:color w:val="auto"/>
        </w:rPr>
      </w:pPr>
    </w:p>
    <w:p>
      <w:pPr>
        <w:jc w:val="both"/>
        <w:ind w:firstLine="1952"/>
        <w:spacing w:after="0" w:line="233" w:lineRule="auto"/>
        <w:tabs>
          <w:tab w:leader="none" w:pos="2580" w:val="left"/>
        </w:tabs>
        <w:numPr>
          <w:ilvl w:val="1"/>
          <w:numId w:val="21"/>
        </w:numPr>
        <w:rPr>
          <w:rFonts w:ascii="Arial" w:cs="Arial" w:eastAsia="Arial" w:hAnsi="Arial"/>
          <w:sz w:val="18"/>
          <w:szCs w:val="18"/>
          <w:b w:val="1"/>
          <w:bCs w:val="1"/>
          <w:color w:val="auto"/>
        </w:rPr>
      </w:pPr>
      <w:r>
        <w:rPr>
          <w:rFonts w:ascii="Arial" w:cs="Arial" w:eastAsia="Arial" w:hAnsi="Arial"/>
          <w:sz w:val="18"/>
          <w:szCs w:val="18"/>
          <w:color w:val="auto"/>
        </w:rPr>
        <w:t>All numbers of shares and dollar amounts set forth in this Agreement are subject to appropriate adjustment in the event of any stock dividend, stock split, combination or similar recapitalization affecting such shares; provided that the Investor shall be notified of such adjustment at least 3 Business Days before the adjustment takes effect.</w:t>
      </w:r>
    </w:p>
    <w:p>
      <w:pPr>
        <w:spacing w:after="0" w:line="153" w:lineRule="exact"/>
        <w:rPr>
          <w:rFonts w:ascii="Arial" w:cs="Arial" w:eastAsia="Arial" w:hAnsi="Arial"/>
          <w:sz w:val="18"/>
          <w:szCs w:val="18"/>
          <w:b w:val="1"/>
          <w:bCs w:val="1"/>
          <w:color w:val="auto"/>
        </w:rPr>
      </w:pPr>
    </w:p>
    <w:p>
      <w:pPr>
        <w:jc w:val="both"/>
        <w:ind w:firstLine="656"/>
        <w:spacing w:after="0" w:line="233" w:lineRule="auto"/>
        <w:tabs>
          <w:tab w:leader="none" w:pos="1284"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 Warranties and Covenants of the Company</w:t>
      </w:r>
      <w:r>
        <w:rPr>
          <w:rFonts w:ascii="Arial" w:cs="Arial" w:eastAsia="Arial" w:hAnsi="Arial"/>
          <w:sz w:val="18"/>
          <w:szCs w:val="18"/>
          <w:color w:val="auto"/>
        </w:rPr>
        <w:t>. To induce the Investor to purchase the Shares,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hereby represents and warrants to the Investor that the following representations are true and correct as of the date hereof except as otherwise indicated.</w:t>
      </w:r>
    </w:p>
    <w:p>
      <w:pPr>
        <w:spacing w:after="0" w:line="153" w:lineRule="exact"/>
        <w:rPr>
          <w:sz w:val="20"/>
          <w:szCs w:val="20"/>
          <w:color w:val="auto"/>
        </w:rPr>
      </w:pPr>
    </w:p>
    <w:p>
      <w:pPr>
        <w:jc w:val="both"/>
        <w:ind w:firstLine="1620"/>
        <w:spacing w:after="0" w:line="221" w:lineRule="auto"/>
        <w:rPr>
          <w:sz w:val="20"/>
          <w:szCs w:val="20"/>
          <w:color w:val="auto"/>
        </w:rPr>
      </w:pPr>
      <w:r>
        <w:rPr>
          <w:rFonts w:ascii="Arial" w:cs="Arial" w:eastAsia="Arial" w:hAnsi="Arial"/>
          <w:sz w:val="18"/>
          <w:szCs w:val="18"/>
          <w:b w:val="1"/>
          <w:bCs w:val="1"/>
          <w:color w:val="auto"/>
        </w:rPr>
        <w:t>3.1 Organization, Good Standing, Corporate Power and Qualification</w:t>
      </w:r>
      <w:r>
        <w:rPr>
          <w:rFonts w:ascii="Arial" w:cs="Arial" w:eastAsia="Arial" w:hAnsi="Arial"/>
          <w:sz w:val="18"/>
          <w:szCs w:val="18"/>
          <w:color w:val="auto"/>
        </w:rPr>
        <w:t>. The Company and each of its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are duly organized, validly existing and in good standing under the laws of their respective jurisdictions of organization. The Company and</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each of its Subsidiaries are duly licensed or qualified as a foreign corporation (or other entity, if applicable) for transaction of business and in good standing under the laws of each other jurisdiction in which their respective ownership or lease of property or the conduct of their respective businesses requires such license or qualification, and have all entity power and authority necessary to own or hold their respective</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properties and to conduct their respective businesses as described in the Company SEC Reports, except where the failure to be so qualified or in good standing or have such power or authority would not, individually or in the aggregate, have a material adverse effect or would reasonably be expected to have a material adverse effect on or affecting the assets, business, operations, earnings, properties, condition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(financial or otherwise), stockholders’ equity or results of operations of the Company and the Subsidiaries taken as a whole, or prevent or materially interfere with consummation of the transactions contemplated hereby (a “</w:t>
      </w:r>
      <w:r>
        <w:rPr>
          <w:rFonts w:ascii="Arial" w:cs="Arial" w:eastAsia="Arial" w:hAnsi="Arial"/>
          <w:sz w:val="18"/>
          <w:szCs w:val="18"/>
          <w:b w:val="1"/>
          <w:bCs w:val="1"/>
          <w:i w:val="1"/>
          <w:iCs w:val="1"/>
          <w:color w:val="auto"/>
        </w:rPr>
        <w:t>Material Adverse Effect</w:t>
      </w:r>
      <w:r>
        <w:rPr>
          <w:rFonts w:ascii="Arial" w:cs="Arial" w:eastAsia="Arial" w:hAnsi="Arial"/>
          <w:sz w:val="18"/>
          <w:szCs w:val="18"/>
          <w:color w:val="auto"/>
        </w:rPr>
        <w:t>”).</w:t>
      </w:r>
    </w:p>
    <w:p>
      <w:pPr>
        <w:spacing w:after="0" w:line="145" w:lineRule="exact"/>
        <w:rPr>
          <w:sz w:val="20"/>
          <w:szCs w:val="20"/>
          <w:color w:val="auto"/>
        </w:rPr>
      </w:pPr>
    </w:p>
    <w:p>
      <w:pPr>
        <w:ind w:left="1620"/>
        <w:spacing w:after="0"/>
        <w:tabs>
          <w:tab w:leader="none" w:pos="2080" w:val="left"/>
        </w:tabs>
        <w:rPr>
          <w:sz w:val="20"/>
          <w:szCs w:val="20"/>
          <w:color w:val="auto"/>
        </w:rPr>
      </w:pPr>
      <w:r>
        <w:rPr>
          <w:rFonts w:ascii="Arial" w:cs="Arial" w:eastAsia="Arial" w:hAnsi="Arial"/>
          <w:sz w:val="18"/>
          <w:szCs w:val="18"/>
          <w:b w:val="1"/>
          <w:bCs w:val="1"/>
          <w:color w:val="auto"/>
        </w:rPr>
        <w:t>3.2</w:t>
        <w:tab/>
        <w:t>Subsidiaries</w:t>
      </w:r>
      <w:r>
        <w:rPr>
          <w:rFonts w:ascii="Arial" w:cs="Arial" w:eastAsia="Arial" w:hAnsi="Arial"/>
          <w:sz w:val="18"/>
          <w:szCs w:val="18"/>
          <w:color w:val="auto"/>
        </w:rPr>
        <w:t>. The subsidiaries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3</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the “</w:t>
      </w:r>
      <w:r>
        <w:rPr>
          <w:rFonts w:ascii="Arial" w:cs="Arial" w:eastAsia="Arial" w:hAnsi="Arial"/>
          <w:sz w:val="18"/>
          <w:szCs w:val="18"/>
          <w:b w:val="1"/>
          <w:bCs w:val="1"/>
          <w:i w:val="1"/>
          <w:iCs w:val="1"/>
          <w:color w:val="auto"/>
        </w:rPr>
        <w:t>Subsidiaries</w:t>
      </w:r>
      <w:r>
        <w:rPr>
          <w:rFonts w:ascii="Arial" w:cs="Arial" w:eastAsia="Arial" w:hAnsi="Arial"/>
          <w:sz w:val="18"/>
          <w:szCs w:val="18"/>
          <w:color w:val="auto"/>
        </w:rPr>
        <w:t>”), are the Company’s only</w:t>
      </w:r>
    </w:p>
    <w:p>
      <w:pPr>
        <w:jc w:val="both"/>
        <w:spacing w:after="0" w:line="207" w:lineRule="auto"/>
        <w:rPr>
          <w:sz w:val="20"/>
          <w:szCs w:val="20"/>
          <w:color w:val="auto"/>
        </w:rPr>
      </w:pPr>
      <w:r>
        <w:rPr>
          <w:rFonts w:ascii="Arial" w:cs="Arial" w:eastAsia="Arial" w:hAnsi="Arial"/>
          <w:sz w:val="18"/>
          <w:szCs w:val="18"/>
          <w:color w:val="auto"/>
        </w:rPr>
        <w:t>significant subsidiaries (as such term is defined in Rule 1-02 of Regulation S-X promulgated by the SEC). Except as set forth in the Company SEC Reports,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 No Subsidiary is currently prohibited, directly or indirectly, from</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p>
      <w:pPr>
        <w:spacing w:after="0" w:line="166" w:lineRule="exact"/>
        <w:rPr>
          <w:sz w:val="20"/>
          <w:szCs w:val="20"/>
          <w:color w:val="auto"/>
        </w:rPr>
      </w:pPr>
    </w:p>
    <w:p>
      <w:pPr>
        <w:jc w:val="both"/>
        <w:ind w:firstLine="1620"/>
        <w:spacing w:after="0" w:line="227" w:lineRule="auto"/>
        <w:rPr>
          <w:sz w:val="20"/>
          <w:szCs w:val="20"/>
          <w:color w:val="auto"/>
        </w:rPr>
      </w:pPr>
      <w:r>
        <w:rPr>
          <w:rFonts w:ascii="Arial" w:cs="Arial" w:eastAsia="Arial" w:hAnsi="Arial"/>
          <w:sz w:val="18"/>
          <w:szCs w:val="18"/>
          <w:b w:val="1"/>
          <w:bCs w:val="1"/>
          <w:color w:val="auto"/>
        </w:rPr>
        <w:t>3.3 Company Capitalization</w:t>
      </w:r>
      <w:r>
        <w:rPr>
          <w:rFonts w:ascii="Arial" w:cs="Arial" w:eastAsia="Arial" w:hAnsi="Arial"/>
          <w:sz w:val="18"/>
          <w:szCs w:val="18"/>
          <w:color w:val="auto"/>
        </w:rPr>
        <w:t>. The authorized capital stock of the Company and the shares thereof issued and</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were as set forth in the Company SEC Reports as of the dates reflected therein. All of the outstanding shares of Common Stock have been duly authorized and validly issued and are fully paid and non-assessable. Except as set forth in the Company SEC Reports,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03" w:right="339" w:bottom="1440" w:gutter="0" w:footer="0" w:header="0"/>
        </w:sectPr>
      </w:pPr>
    </w:p>
    <w:bookmarkStart w:id="29" w:name="page30"/>
    <w:bookmarkEnd w:id="29"/>
    <w:p>
      <w:pPr>
        <w:jc w:val="both"/>
        <w:spacing w:after="0" w:line="221" w:lineRule="auto"/>
        <w:rPr>
          <w:sz w:val="20"/>
          <w:szCs w:val="20"/>
          <w:color w:val="auto"/>
        </w:rPr>
      </w:pPr>
      <w:r>
        <w:rPr>
          <w:rFonts w:ascii="Arial" w:cs="Arial" w:eastAsia="Arial" w:hAnsi="Arial"/>
          <w:sz w:val="18"/>
          <w:szCs w:val="18"/>
          <w:color w:val="auto"/>
        </w:rPr>
        <w:t>certain Common Stock Purchase Agreement, dated as of August 16, 2022, by and between CF Principal Investments LLC and the Company, and the Registration Rights Agreement, there are no agreements or arrangements under which the Company is obligated to register the sale</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of any securities under the Securities Act. Except as set forth in the Company SEC Reports, no shares of Common Stock are entitled to preemptive rights and there are no outstanding debt securities and no Contracts, commitments, understandings, or arrangements by which the Company is or may become bound to issue additional shares of the capital stock of the Company or options, warrants, scrip, rights to</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subscribe to, calls or commitments of any character whatsoever relating to, or securities or rights convertible into or exchangeable for, any shares of capital stock of the Company other than those issued or granted in the ordinary course of business pursuant to the Company’s equity incentive and/or compensatory plans or arrangements. Except for customary transfer restrictions contained in agreements entered into</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by the Company to sell restricted securities or as set forth in the Company SEC Reports, the Company is not a party to, and it has no Knowledge of, any agreement restricting the voting or transfer of any shares of the capital stock of the Company. Except as set forth in the Company SEC Reports, there are no securities or instruments containing anti-dilution or similar provisions that will be triggered by this</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Agreement or any of the other Transaction Documents or the consummation of the transactions described herein or therein. The Company has filed with the SEC true and correct copies of the Restated Certificate, and the Company’s Amended and Restated Bylaws as in effect on the Closing Date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For the avoidance of doubt, all of the issued and outstanding capital stock of the Company as of</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immediately prior to the issuance of the Shares pursuant to this Agreement constitute Junior Stock (as defined in the Certificate of Designations).</w:t>
      </w:r>
    </w:p>
    <w:p>
      <w:pPr>
        <w:spacing w:after="0" w:line="154" w:lineRule="exact"/>
        <w:rPr>
          <w:sz w:val="20"/>
          <w:szCs w:val="20"/>
          <w:color w:val="auto"/>
        </w:rPr>
      </w:pPr>
    </w:p>
    <w:p>
      <w:pPr>
        <w:ind w:left="1620"/>
        <w:spacing w:after="0"/>
        <w:tabs>
          <w:tab w:leader="none" w:pos="220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8"/>
          <w:szCs w:val="18"/>
          <w:b w:val="1"/>
          <w:bCs w:val="1"/>
          <w:color w:val="auto"/>
        </w:rPr>
        <w:t>Authorization</w:t>
      </w:r>
      <w:r>
        <w:rPr>
          <w:rFonts w:ascii="Arial" w:cs="Arial" w:eastAsia="Arial" w:hAnsi="Arial"/>
          <w:sz w:val="18"/>
          <w:szCs w:val="18"/>
          <w:color w:val="auto"/>
        </w:rPr>
        <w:t>. The Company has the requisite corporate power and authority to enter into and perform its</w:t>
      </w:r>
    </w:p>
    <w:p>
      <w:pPr>
        <w:jc w:val="both"/>
        <w:spacing w:after="0" w:line="208" w:lineRule="auto"/>
        <w:rPr>
          <w:sz w:val="20"/>
          <w:szCs w:val="20"/>
          <w:color w:val="auto"/>
        </w:rPr>
      </w:pPr>
      <w:r>
        <w:rPr>
          <w:rFonts w:ascii="Arial" w:cs="Arial" w:eastAsia="Arial" w:hAnsi="Arial"/>
          <w:sz w:val="18"/>
          <w:szCs w:val="18"/>
          <w:color w:val="auto"/>
        </w:rPr>
        <w:t>obligations under the Transaction Documents and to issue the Shares in accordance with the terms thereof. Except for approvals of the Board or a committee thereof as may be required in connection with any issuance and sale of Shares to the Investor hereunder, the execution, delivery and performance by the Company of the Transaction Documents and the consummation by it of the transactions</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contemplated thereby have been duly and validly authorized by all necessary corporate action, and no further consent or authorization of the Company, the Board or its stockholders is required. This Agreement has been duly executed and delivered by the Company and constitutes a valid and binding obligation of the Company enforceable against the Company in accordance with its terms, except as such enforceability</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may be limited by applicable bankruptcy, insolvency, reorganization, moratorium, liquidation, conservatorship, receivership or similar laws relating to, or affecting generally the enforcement of, creditor’s rights and remedies or by other equitable principles of general application (including any limitation of equitable remedies) .</w:t>
      </w:r>
    </w:p>
    <w:p>
      <w:pPr>
        <w:spacing w:after="0" w:line="166" w:lineRule="exact"/>
        <w:rPr>
          <w:sz w:val="20"/>
          <w:szCs w:val="20"/>
          <w:color w:val="auto"/>
        </w:rPr>
      </w:pPr>
    </w:p>
    <w:p>
      <w:pPr>
        <w:jc w:val="both"/>
        <w:ind w:firstLine="1620"/>
        <w:spacing w:after="0" w:line="215" w:lineRule="auto"/>
        <w:rPr>
          <w:sz w:val="20"/>
          <w:szCs w:val="20"/>
          <w:color w:val="auto"/>
        </w:rPr>
      </w:pPr>
      <w:r>
        <w:rPr>
          <w:rFonts w:ascii="Arial" w:cs="Arial" w:eastAsia="Arial" w:hAnsi="Arial"/>
          <w:sz w:val="18"/>
          <w:szCs w:val="18"/>
          <w:b w:val="1"/>
          <w:bCs w:val="1"/>
          <w:color w:val="auto"/>
        </w:rPr>
        <w:t>3.5 Valid Issuance of Shares</w:t>
      </w:r>
      <w:r>
        <w:rPr>
          <w:rFonts w:ascii="Arial" w:cs="Arial" w:eastAsia="Arial" w:hAnsi="Arial"/>
          <w:sz w:val="18"/>
          <w:szCs w:val="18"/>
          <w:color w:val="auto"/>
        </w:rPr>
        <w:t>. The Shares, when issued, sold and delivered in accordance with the terms and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set forth in this Agreement, will be validly issued, fully paid and nonassessable and free of restrictions on transfer other than restrictions on transfer under this Agreement, applicable state and federal securities laws and liens or encumbrances created by or imposed</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by the Investor. Assuming the accuracy of the representations of the Investor in Section 4 of this Agreement and subject to Section 3.6 below, the Shares will be issued in compliance with all applicable federal and state securities laws. The Common Stock issuable upon conversion of the Shares has been duly reserved for issuance, and upon issuance in accordance with the terms of the Restated Certificate,</w:t>
      </w:r>
    </w:p>
    <w:p>
      <w:pPr>
        <w:spacing w:after="0" w:line="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will be validly issued, fully paid and nonassessable and free of restrictions on transfer other than restrictions on transfer under this Agreement, applicable federal and state securities laws and liens or encumbrances created by or imposed by the Investor. Assuming the accuracy of the representations of the Investors in Section 4 of this Agreement and subject to Section 3.6 below, the Common Stock issuable upon conversion of the Shares will be issued in compliance with all applicable federal and state securities laws.</w:t>
      </w:r>
    </w:p>
    <w:p>
      <w:pPr>
        <w:spacing w:after="0" w:line="168" w:lineRule="exact"/>
        <w:rPr>
          <w:sz w:val="20"/>
          <w:szCs w:val="20"/>
          <w:color w:val="auto"/>
        </w:rPr>
      </w:pPr>
    </w:p>
    <w:p>
      <w:pPr>
        <w:jc w:val="both"/>
        <w:ind w:firstLine="1620"/>
        <w:spacing w:after="0" w:line="215" w:lineRule="auto"/>
        <w:rPr>
          <w:sz w:val="20"/>
          <w:szCs w:val="20"/>
          <w:color w:val="auto"/>
        </w:rPr>
      </w:pPr>
      <w:r>
        <w:rPr>
          <w:rFonts w:ascii="Arial" w:cs="Arial" w:eastAsia="Arial" w:hAnsi="Arial"/>
          <w:sz w:val="18"/>
          <w:szCs w:val="18"/>
          <w:b w:val="1"/>
          <w:bCs w:val="1"/>
          <w:color w:val="auto"/>
        </w:rPr>
        <w:t>3.6 Governmental Consents and Filings</w:t>
      </w:r>
      <w:r>
        <w:rPr>
          <w:rFonts w:ascii="Arial" w:cs="Arial" w:eastAsia="Arial" w:hAnsi="Arial"/>
          <w:sz w:val="18"/>
          <w:szCs w:val="18"/>
          <w:color w:val="auto"/>
        </w:rPr>
        <w:t>. Assuming the accuracy of the representations made by the Investor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 of this Agreement, no consent, approval, order or authorization of, or registration, qualification, designation, declaration or filing with, any Governmental Authority is required on the part of the Company in connection with the consummation of the transactions</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contemplated by this Agreement, except for filings pursuant to applicable federal or state securities laws, which have been made or will be made in a timely manner.</w:t>
      </w:r>
    </w:p>
    <w:p>
      <w:pPr>
        <w:spacing w:after="0" w:line="154" w:lineRule="exact"/>
        <w:rPr>
          <w:sz w:val="20"/>
          <w:szCs w:val="20"/>
          <w:color w:val="auto"/>
        </w:rPr>
      </w:pPr>
    </w:p>
    <w:p>
      <w:pPr>
        <w:ind w:left="1620"/>
        <w:spacing w:after="0"/>
        <w:tabs>
          <w:tab w:leader="none" w:pos="224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8"/>
          <w:szCs w:val="18"/>
          <w:b w:val="1"/>
          <w:bCs w:val="1"/>
          <w:color w:val="auto"/>
        </w:rPr>
        <w:t>Litigation</w:t>
      </w:r>
      <w:r>
        <w:rPr>
          <w:rFonts w:ascii="Arial" w:cs="Arial" w:eastAsia="Arial" w:hAnsi="Arial"/>
          <w:sz w:val="18"/>
          <w:szCs w:val="18"/>
          <w:color w:val="auto"/>
        </w:rPr>
        <w:t>. There is no claim, action, suit, proceeding, arbitration, complaint, charge or, to the Company’s</w:t>
      </w:r>
    </w:p>
    <w:p>
      <w:pPr>
        <w:jc w:val="both"/>
        <w:spacing w:after="0" w:line="208" w:lineRule="auto"/>
        <w:rPr>
          <w:sz w:val="20"/>
          <w:szCs w:val="20"/>
          <w:color w:val="auto"/>
        </w:rPr>
      </w:pPr>
      <w:r>
        <w:rPr>
          <w:rFonts w:ascii="Arial" w:cs="Arial" w:eastAsia="Arial" w:hAnsi="Arial"/>
          <w:sz w:val="18"/>
          <w:szCs w:val="18"/>
          <w:color w:val="auto"/>
        </w:rPr>
        <w:t>Knowledge, investigation pending or, to the Company’s Knowledge, currently threatened in writing against the Company or any officer or director of the Company that questions the validity of this Agreement or the right of the Company to enter into it, or to consummate the transactions contemplated by this Agreement or would reasonably be expected to have, individually or in the aggregate, a Material Adverse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03" w:right="339" w:bottom="1440" w:gutter="0" w:footer="0" w:header="0"/>
        </w:sectPr>
      </w:pPr>
    </w:p>
    <w:bookmarkStart w:id="30" w:name="page31"/>
    <w:bookmarkEnd w:id="30"/>
    <w:p>
      <w:pPr>
        <w:jc w:val="both"/>
        <w:ind w:right="20" w:firstLine="1620"/>
        <w:spacing w:after="0" w:line="221" w:lineRule="auto"/>
        <w:rPr>
          <w:sz w:val="20"/>
          <w:szCs w:val="20"/>
          <w:color w:val="auto"/>
        </w:rPr>
      </w:pPr>
      <w:r>
        <w:rPr>
          <w:rFonts w:ascii="Arial" w:cs="Arial" w:eastAsia="Arial" w:hAnsi="Arial"/>
          <w:sz w:val="18"/>
          <w:szCs w:val="18"/>
          <w:b w:val="1"/>
          <w:bCs w:val="1"/>
          <w:color w:val="auto"/>
        </w:rPr>
        <w:t>3.8 Compliance with Other Instruments</w:t>
      </w:r>
      <w:r>
        <w:rPr>
          <w:rFonts w:ascii="Arial" w:cs="Arial" w:eastAsia="Arial" w:hAnsi="Arial"/>
          <w:sz w:val="18"/>
          <w:szCs w:val="18"/>
          <w:color w:val="auto"/>
        </w:rPr>
        <w:t>. The execution, delivery and performance by the Company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Documents and the consummation by the Company of the transactions contemplated hereby and thereby do not and shall not (i)</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result in a violation of any provision of the Company’s Restated Certificate or Bylaws, (ii) conflict with or constitute a material default (or an event which, with notice or lapse of time or both, would become a material default) under, or give rise to any rights of termination, amendment, acceleration or cancellation of, any Material Contract to which the Company or any of its Subsidiaries is a party or is bound, (iii)</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result in a violation of any federal, state, local or foreign statute, rule, regulation, order, judgment or decree applicable to the Company or any of its Subsidiaries (including federal and state securities laws and regulations and the rules and regulations of the Principal Market), except, in the case of clauses (ii) and (iii), for such conflicts, defaults, terminations, amendments, acceleration, cancellations, liens, charges,</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encumbrances and violations as would not, individually or in the aggregate, reasonably be expected to result in a Material Adverse Effect or that have been waived. Except as specifically contemplated by this Agreement or the Registration Rights Agreement and as required under the Securities Act, any applicable state securities laws and applicable rules of the Principal Market, the Company is not required under any</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federal, state or local rule or regulation to obtain any consent, authorization or order of, or make any filing or registration with, any court or governmental agency in order for it to execute, deliver or perform any of its obligations under the Transaction Documents to which it is a party, or to issue the Shares to the Investor in accordance with the terms hereof and thereof (other than such consents, authorizations,</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 xml:space="preserve">orders, filings or registrations as have been obtained or made prior to the Closing Date); except where the failure to obtain or make such consents or to make such filings or notifications, would not, individually or in the aggregate, reasonably be expected to result in a Material Adverse Effect or that have been waived,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the representation made in this sentence, the Company is</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assuming and relying upon the accuracy of the representations and warranties of the Investor in this Agreement and the compliance by it with its covenants and agreements contained in this Agreement.</w:t>
      </w:r>
    </w:p>
    <w:p>
      <w:pPr>
        <w:spacing w:after="0" w:line="154" w:lineRule="exact"/>
        <w:rPr>
          <w:sz w:val="20"/>
          <w:szCs w:val="20"/>
          <w:color w:val="auto"/>
        </w:rPr>
      </w:pPr>
    </w:p>
    <w:p>
      <w:pPr>
        <w:ind w:left="1620"/>
        <w:spacing w:after="0"/>
        <w:tabs>
          <w:tab w:leader="none" w:pos="206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7"/>
          <w:szCs w:val="17"/>
          <w:b w:val="1"/>
          <w:bCs w:val="1"/>
          <w:color w:val="auto"/>
        </w:rPr>
        <w:t>SEC Filings; Financial Statements</w:t>
      </w:r>
      <w:r>
        <w:rPr>
          <w:rFonts w:ascii="Arial" w:cs="Arial" w:eastAsia="Arial" w:hAnsi="Arial"/>
          <w:sz w:val="17"/>
          <w:szCs w:val="17"/>
          <w:color w:val="auto"/>
        </w:rPr>
        <w:t>.</w:t>
      </w:r>
    </w:p>
    <w:p>
      <w:pPr>
        <w:spacing w:after="0" w:line="198" w:lineRule="exact"/>
        <w:rPr>
          <w:sz w:val="20"/>
          <w:szCs w:val="20"/>
          <w:color w:val="auto"/>
        </w:rPr>
      </w:pPr>
    </w:p>
    <w:p>
      <w:pPr>
        <w:jc w:val="both"/>
        <w:ind w:firstLine="2276"/>
        <w:spacing w:after="0" w:line="213" w:lineRule="auto"/>
        <w:tabs>
          <w:tab w:leader="none" w:pos="25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Since March 15, 2021, the Company has timely filed (giving effect to permissible extensions in accordance with Rule 12b-25 under the Exchange Act) all filings required to be filed with or furnished to the SEC by the Company under the Securities Act or the Exchange Act, including those required to be filed with or furnished to the SEC under Section 13(a) or Section 15(d) of the Exchange Act. As of the date of this Agreement, no Subsidiary of the Company is required to file or furnish any report, schedule, registration, form, statement, information or other document with the SEC. As of its filing date (or, if amended or superseded by a filing prior to the Closing Date, on the date of such amended or superseded filing), each Company SEC Report filed with or furnished to the SEC prior to the Closing Date complied in all material respects with the requirements of the Securities Act or the Exchange Act, as applicable, and other federal, state and local laws, rules and regulations applicable to it, and, as of its filing date. The Company has delivered or made available to the Investor via EDGAR or otherwise true and complete copies of all comment letters and substantive correspondence received by the Company from the SEC relating to the Company SEC Reports filed with or furnished to the SEC as of the Closing Date, together with all written responses of the Company thereto in the form such responses were filed via EDGAR. There are no outstanding or unresolved comments or undertakings in such comment letters received by the Company from the SEC. The SEC has not issued any stop order or other order suspending the effectiveness of any registration statement filed by the Company under the Securities Act or the Exchange Act.</w:t>
      </w:r>
    </w:p>
    <w:p>
      <w:pPr>
        <w:spacing w:after="0" w:line="163" w:lineRule="exact"/>
        <w:rPr>
          <w:rFonts w:ascii="Arial" w:cs="Arial" w:eastAsia="Arial" w:hAnsi="Arial"/>
          <w:sz w:val="18"/>
          <w:szCs w:val="18"/>
          <w:b w:val="1"/>
          <w:bCs w:val="1"/>
          <w:color w:val="auto"/>
        </w:rPr>
      </w:pPr>
    </w:p>
    <w:p>
      <w:pPr>
        <w:jc w:val="both"/>
        <w:ind w:firstLine="2276"/>
        <w:spacing w:after="0" w:line="213" w:lineRule="auto"/>
        <w:tabs>
          <w:tab w:leader="none" w:pos="259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of the Company included or incorporated by reference in the Company SEC Reports, together with the related notes and schedules, present fairly, in all material respects, the consolidated financial position of the Company and its then consolidated subsidiaries as of the dates indicated, and the consolidated results of operations, cash flows and changes in stockholders’ equity of the Company and its then consolidated subsidiaries for the periods specified (subject, in the case of unaudited statements, to normal year end audit adjustments which will not be material, either individually or in the aggregate) and have been prepared in compliance with the published requirements of the Securities Act and the Exchange Act, as applicable, and in conformity with generally accepted accounting principles in the United States (“</w:t>
      </w:r>
      <w:r>
        <w:rPr>
          <w:rFonts w:ascii="Arial" w:cs="Arial" w:eastAsia="Arial" w:hAnsi="Arial"/>
          <w:sz w:val="18"/>
          <w:szCs w:val="18"/>
          <w:b w:val="1"/>
          <w:bCs w:val="1"/>
          <w:i w:val="1"/>
          <w:iCs w:val="1"/>
          <w:color w:val="auto"/>
        </w:rPr>
        <w:t>GAAP</w:t>
      </w:r>
      <w:r>
        <w:rPr>
          <w:rFonts w:ascii="Arial" w:cs="Arial" w:eastAsia="Arial" w:hAnsi="Arial"/>
          <w:sz w:val="18"/>
          <w:szCs w:val="18"/>
          <w:color w:val="auto"/>
        </w:rPr>
        <w:t>”) applied on a consistent basis. The summary consolidated financial data included or incorporated by reference in the Company SEC Reports present fairly the information shown therein and have been compiled on a basis consistent with that of the financial statements included or incorporated by reference in the Company SEC Reports, as of and at the dates indicated. The pro forma condensed combined financial statements and the pro forma combined financial statements and any other pro forma financial statements or data included or incorporated by reference in the Company SEC Reports comply with the requirements of Regulation S-X of the Securities Act, including, without limitation, Article 11 thereof, and the assumptions used in the preparation of such pro forma financial statements and data are reasonable, the pro forma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03" w:right="339" w:bottom="1440" w:gutter="0" w:footer="0" w:header="0"/>
        </w:sectPr>
      </w:pPr>
    </w:p>
    <w:bookmarkStart w:id="31" w:name="page32"/>
    <w:bookmarkEnd w:id="31"/>
    <w:p>
      <w:pPr>
        <w:jc w:val="both"/>
        <w:ind w:right="20"/>
        <w:spacing w:after="0" w:line="234" w:lineRule="auto"/>
        <w:rPr>
          <w:sz w:val="20"/>
          <w:szCs w:val="20"/>
          <w:color w:val="auto"/>
        </w:rPr>
      </w:pPr>
      <w:r>
        <w:rPr>
          <w:rFonts w:ascii="Arial" w:cs="Arial" w:eastAsia="Arial" w:hAnsi="Arial"/>
          <w:sz w:val="17"/>
          <w:szCs w:val="17"/>
          <w:color w:val="auto"/>
        </w:rPr>
        <w:t>used therein are appropriate to give effect to the circumstances referred to therein and the pro forma adjustments have been properly applied to the historical amounts in the compilation of those statements and data. There are no financial statements (historical or pro forma) that are</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required to be included or incorporated by reference in the Company SEC Reports that are not included or incorporated by reference as required. The Company and the Subsidiaries do not have any material liabilities or obligations, direct or contingent (including any off-balance sheet obligations or any “variable interest entities” as that term is used in Accounting Standards Codification Paragraph 810-10-25-20), not</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described in Company SEC Reports which are required to be described in the Company SEC Reports. All disclosures contained or incorporated by reference in the Company SEC Reports, if any, regarding “non-GAAP financial measures” (as such term is defined by the rules and regulations of the SEC) comply in all material respects with Regulation G of the Exchange Act and Item 10 of Regulation S-K under</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Securities Act, to the extent applicable. The interactive data in eXtensible Business Reporting Language included in the Company SEC Reports fairly presents the information called for in all material respects and has been prepared in accordance with the SEC’s rules and guidelines applicable thereto.</w:t>
      </w:r>
    </w:p>
    <w:p>
      <w:pPr>
        <w:spacing w:after="0" w:line="166" w:lineRule="exact"/>
        <w:rPr>
          <w:sz w:val="20"/>
          <w:szCs w:val="20"/>
          <w:color w:val="auto"/>
        </w:rPr>
      </w:pPr>
    </w:p>
    <w:p>
      <w:pPr>
        <w:jc w:val="both"/>
        <w:ind w:firstLine="2276"/>
        <w:spacing w:after="0" w:line="228" w:lineRule="auto"/>
        <w:tabs>
          <w:tab w:leader="none" w:pos="25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Armanino LLP (such firm, or a successor independent registered public accounting firm for the Company, the “</w:t>
      </w:r>
      <w:r>
        <w:rPr>
          <w:rFonts w:ascii="Arial" w:cs="Arial" w:eastAsia="Arial" w:hAnsi="Arial"/>
          <w:sz w:val="18"/>
          <w:szCs w:val="18"/>
          <w:b w:val="1"/>
          <w:bCs w:val="1"/>
          <w:i w:val="1"/>
          <w:iCs w:val="1"/>
          <w:color w:val="auto"/>
        </w:rPr>
        <w:t>Accountant</w:t>
      </w:r>
      <w:r>
        <w:rPr>
          <w:rFonts w:ascii="Arial" w:cs="Arial" w:eastAsia="Arial" w:hAnsi="Arial"/>
          <w:sz w:val="18"/>
          <w:szCs w:val="18"/>
          <w:color w:val="auto"/>
        </w:rPr>
        <w:t>”) is an independent public accounting firm within the meaning of the Securities Act and the rules and regulations of the Public Company Accounting Oversight Board (United States). To the Company’s Knowledge, the Accountant is not in violation of the auditor independence requirements of the Sarbanes-Oxley Act of 2002 (the “</w:t>
      </w:r>
      <w:r>
        <w:rPr>
          <w:rFonts w:ascii="Arial" w:cs="Arial" w:eastAsia="Arial" w:hAnsi="Arial"/>
          <w:sz w:val="18"/>
          <w:szCs w:val="18"/>
          <w:b w:val="1"/>
          <w:bCs w:val="1"/>
          <w:i w:val="1"/>
          <w:iCs w:val="1"/>
          <w:color w:val="auto"/>
        </w:rPr>
        <w:t>Sarbanes-Oxley Act</w:t>
      </w:r>
      <w:r>
        <w:rPr>
          <w:rFonts w:ascii="Arial" w:cs="Arial" w:eastAsia="Arial" w:hAnsi="Arial"/>
          <w:sz w:val="18"/>
          <w:szCs w:val="18"/>
          <w:color w:val="auto"/>
        </w:rPr>
        <w:t>”) with respect to the Company.</w:t>
      </w:r>
    </w:p>
    <w:p>
      <w:pPr>
        <w:spacing w:after="0" w:line="144" w:lineRule="exact"/>
        <w:rPr>
          <w:rFonts w:ascii="Arial" w:cs="Arial" w:eastAsia="Arial" w:hAnsi="Arial"/>
          <w:sz w:val="18"/>
          <w:szCs w:val="18"/>
          <w:b w:val="1"/>
          <w:bCs w:val="1"/>
          <w:color w:val="auto"/>
        </w:rPr>
      </w:pPr>
    </w:p>
    <w:p>
      <w:pPr>
        <w:jc w:val="both"/>
        <w:ind w:firstLine="2276"/>
        <w:spacing w:after="0" w:line="218" w:lineRule="auto"/>
        <w:tabs>
          <w:tab w:leader="none" w:pos="259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There is and has been no failure on the part of the Company or any of the Company’s directors or officers, in their capacities as such, to comply in all material respects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SEC. For purposes of the preceding sentence, “principal executive officer” and “principal financial officer” shall have the meanings given to such terms in the Sarbanes-Oxley Act.</w:t>
      </w:r>
    </w:p>
    <w:p>
      <w:pPr>
        <w:spacing w:after="0" w:line="155" w:lineRule="exact"/>
        <w:rPr>
          <w:sz w:val="20"/>
          <w:szCs w:val="20"/>
          <w:color w:val="auto"/>
        </w:rPr>
      </w:pPr>
    </w:p>
    <w:p>
      <w:pPr>
        <w:ind w:left="1620"/>
        <w:spacing w:after="0"/>
        <w:tabs>
          <w:tab w:leader="none" w:pos="2240" w:val="left"/>
        </w:tabs>
        <w:rPr>
          <w:sz w:val="20"/>
          <w:szCs w:val="20"/>
          <w:color w:val="auto"/>
        </w:rPr>
      </w:pPr>
      <w:r>
        <w:rPr>
          <w:rFonts w:ascii="Arial" w:cs="Arial" w:eastAsia="Arial" w:hAnsi="Arial"/>
          <w:sz w:val="18"/>
          <w:szCs w:val="18"/>
          <w:b w:val="1"/>
          <w:bCs w:val="1"/>
          <w:color w:val="auto"/>
        </w:rPr>
        <w:t>3.10</w:t>
        <w:tab/>
        <w:t>No Material Adverse Effect; Absence of Certain Changes</w:t>
      </w:r>
      <w:r>
        <w:rPr>
          <w:rFonts w:ascii="Arial" w:cs="Arial" w:eastAsia="Arial" w:hAnsi="Arial"/>
          <w:sz w:val="18"/>
          <w:szCs w:val="18"/>
          <w:color w:val="auto"/>
        </w:rPr>
        <w:t>. Subsequent to the respective dates as of which</w:t>
      </w:r>
    </w:p>
    <w:p>
      <w:pPr>
        <w:jc w:val="both"/>
        <w:spacing w:after="0" w:line="208" w:lineRule="auto"/>
        <w:rPr>
          <w:sz w:val="20"/>
          <w:szCs w:val="20"/>
          <w:color w:val="auto"/>
        </w:rPr>
      </w:pPr>
      <w:r>
        <w:rPr>
          <w:rFonts w:ascii="Arial" w:cs="Arial" w:eastAsia="Arial" w:hAnsi="Arial"/>
          <w:sz w:val="18"/>
          <w:szCs w:val="18"/>
          <w:color w:val="auto"/>
        </w:rPr>
        <w:t>information is given in the Company SEC Reports (including any document deemed incorporated by reference therein), there has not been (i) any Material Adverse Effect or the occurrence of any development that the Company reasonably expects will result in a Material Adverse Effect, (ii) any transaction which is material to the Company and the Subsidiaries taken as a whole, (iii) any obligation or liability, direct or</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contingent (including any off-balance sheet obligations), incurred by the Company or any Subsidiary, which is material to the Company and the Subsidiaries taken as a whole, (iv) any material change in the capital stock or outstanding long-term indebtedness of the Company or any of its Subsidiaries or (v) any dividend or distribution of any kind declared, paid or made on the capital stock of the Company or any</w:t>
      </w:r>
    </w:p>
    <w:p>
      <w:pPr>
        <w:spacing w:after="0" w:line="2" w:lineRule="exact"/>
        <w:rPr>
          <w:sz w:val="20"/>
          <w:szCs w:val="20"/>
          <w:color w:val="auto"/>
        </w:rPr>
      </w:pPr>
    </w:p>
    <w:p>
      <w:pPr>
        <w:jc w:val="both"/>
        <w:ind w:right="20"/>
        <w:spacing w:after="0" w:line="221" w:lineRule="auto"/>
        <w:rPr>
          <w:sz w:val="20"/>
          <w:szCs w:val="20"/>
          <w:color w:val="auto"/>
        </w:rPr>
      </w:pPr>
      <w:r>
        <w:rPr>
          <w:rFonts w:ascii="Arial" w:cs="Arial" w:eastAsia="Arial" w:hAnsi="Arial"/>
          <w:sz w:val="18"/>
          <w:szCs w:val="18"/>
          <w:color w:val="auto"/>
        </w:rPr>
        <w:t>Subsidiary, other than in each case above in the ordinary course of business or as otherwise disclosed in the Company SEC Reports (including any document deemed incorporated by reference therein). The Company and its Subsidiaries have conducted their respective businesses in the ordinary course of business consistent with past practice in all material respects.</w:t>
      </w:r>
    </w:p>
    <w:p>
      <w:pPr>
        <w:spacing w:after="0" w:line="166" w:lineRule="exact"/>
        <w:rPr>
          <w:sz w:val="20"/>
          <w:szCs w:val="20"/>
          <w:color w:val="auto"/>
        </w:rPr>
      </w:pPr>
    </w:p>
    <w:p>
      <w:pPr>
        <w:jc w:val="both"/>
        <w:ind w:firstLine="1620"/>
        <w:spacing w:after="0" w:line="212" w:lineRule="auto"/>
        <w:rPr>
          <w:sz w:val="20"/>
          <w:szCs w:val="20"/>
          <w:color w:val="auto"/>
        </w:rPr>
      </w:pPr>
      <w:r>
        <w:rPr>
          <w:rFonts w:ascii="Arial" w:cs="Arial" w:eastAsia="Arial" w:hAnsi="Arial"/>
          <w:sz w:val="18"/>
          <w:szCs w:val="18"/>
          <w:b w:val="1"/>
          <w:bCs w:val="1"/>
          <w:color w:val="auto"/>
        </w:rPr>
        <w:t>3.11 No Material Defaults</w:t>
      </w:r>
      <w:r>
        <w:rPr>
          <w:rFonts w:ascii="Arial" w:cs="Arial" w:eastAsia="Arial" w:hAnsi="Arial"/>
          <w:sz w:val="18"/>
          <w:szCs w:val="18"/>
          <w:color w:val="auto"/>
        </w:rPr>
        <w:t>. Neither the Company nor any of its Subsidiaries has defaulted on any installment on</w:t>
      </w:r>
      <w:r>
        <w:rPr>
          <w:rFonts w:ascii="Arial" w:cs="Arial" w:eastAsia="Arial" w:hAnsi="Arial"/>
          <w:sz w:val="18"/>
          <w:szCs w:val="18"/>
          <w:b w:val="1"/>
          <w:bCs w:val="1"/>
          <w:color w:val="auto"/>
        </w:rPr>
        <w:t xml:space="preserve"> </w:t>
      </w:r>
      <w:r>
        <w:rPr>
          <w:rFonts w:ascii="Arial" w:cs="Arial" w:eastAsia="Arial" w:hAnsi="Arial"/>
          <w:sz w:val="18"/>
          <w:szCs w:val="18"/>
          <w:color w:val="auto"/>
        </w:rPr>
        <w:t>indebtedness for borrowed money, which defaults would, individually or in the aggregate, have a Material Adverse Effect. The Company has not filed a report pursuant to Section 13(a) or 15(d) of the Exchange Act indicating that it (i) has failed to pay any dividend or sinking fund installment on preferred stock or (ii) has defaulted on any installment on indebtedness for borrowed money, which defaults would, individually</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or in the aggregate, have a Material Adverse Effect. 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Contract to which the Company or any</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of its Subsidiaries is a party or by which the Company or any of its Subsidiaries is bound or to which any of the property or assets of the Company or any of its Subsidiaries are subject; or (iii) in violation of any law or statute or any judgment, order, rule or regulation of any Governmental Authority, except, in the case of each of clauses (ii) and (iii) above, for any such violation or default that would not, individually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or in the aggregate,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03" w:right="339" w:bottom="1440" w:gutter="0" w:footer="0" w:header="0"/>
        </w:sectPr>
      </w:pPr>
    </w:p>
    <w:bookmarkStart w:id="32" w:name="page33"/>
    <w:bookmarkEnd w:id="32"/>
    <w:p>
      <w:pPr>
        <w:jc w:val="both"/>
        <w:ind w:firstLine="1620"/>
        <w:spacing w:after="0" w:line="221" w:lineRule="auto"/>
        <w:rPr>
          <w:sz w:val="20"/>
          <w:szCs w:val="20"/>
          <w:color w:val="auto"/>
        </w:rPr>
      </w:pPr>
      <w:r>
        <w:rPr>
          <w:rFonts w:ascii="Arial" w:cs="Arial" w:eastAsia="Arial" w:hAnsi="Arial"/>
          <w:sz w:val="18"/>
          <w:szCs w:val="18"/>
          <w:b w:val="1"/>
          <w:bCs w:val="1"/>
          <w:color w:val="auto"/>
        </w:rPr>
        <w:t>3.12 No Preferential Rights</w:t>
      </w:r>
      <w:r>
        <w:rPr>
          <w:rFonts w:ascii="Arial" w:cs="Arial" w:eastAsia="Arial" w:hAnsi="Arial"/>
          <w:sz w:val="18"/>
          <w:szCs w:val="18"/>
          <w:color w:val="auto"/>
        </w:rPr>
        <w:t>. Except as set forth in the Company SEC Reports, (i) no Person, has the right,</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contractual or otherwise, to cause the Company to issue or sell to such Person any Common Stock or shares of any other capital stock or</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other securities of the Company, (ii) no Person has any preemptive rights, resale rights, rights of first refusal, rights of co-sale, or any other rights (whether pursuant to a “poison pill” provision or otherwise) to purchase any Common Stock or shares of any other capital stock or other securities of the Company, (iii) no Person has the right to act as an underwriter or as a financial advisor to the Company in connection</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with the offer and sale of the Common Stock, and (iv) no Person has the right, contractual or otherwise, to require the Company to register under the Securities Act any Common Stock or shares of any other capital stock or other securities of the Company.</w:t>
      </w:r>
    </w:p>
    <w:p>
      <w:pPr>
        <w:spacing w:after="0" w:line="154" w:lineRule="exact"/>
        <w:rPr>
          <w:sz w:val="20"/>
          <w:szCs w:val="20"/>
          <w:color w:val="auto"/>
        </w:rPr>
      </w:pPr>
    </w:p>
    <w:p>
      <w:pPr>
        <w:ind w:left="1620"/>
        <w:spacing w:after="0"/>
        <w:tabs>
          <w:tab w:leader="none" w:pos="216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7"/>
          <w:szCs w:val="17"/>
          <w:b w:val="1"/>
          <w:bCs w:val="1"/>
          <w:color w:val="auto"/>
        </w:rPr>
        <w:t>Real Property; Intellectual Property</w:t>
      </w:r>
      <w:r>
        <w:rPr>
          <w:rFonts w:ascii="Arial" w:cs="Arial" w:eastAsia="Arial" w:hAnsi="Arial"/>
          <w:sz w:val="17"/>
          <w:szCs w:val="17"/>
          <w:color w:val="auto"/>
        </w:rPr>
        <w:t>.</w:t>
      </w:r>
    </w:p>
    <w:p>
      <w:pPr>
        <w:spacing w:after="0" w:line="198" w:lineRule="exact"/>
        <w:rPr>
          <w:sz w:val="20"/>
          <w:szCs w:val="20"/>
          <w:color w:val="auto"/>
        </w:rPr>
      </w:pPr>
    </w:p>
    <w:p>
      <w:pPr>
        <w:jc w:val="both"/>
        <w:ind w:firstLine="1952"/>
        <w:spacing w:after="0" w:line="216" w:lineRule="auto"/>
        <w:tabs>
          <w:tab w:leader="none" w:pos="25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Except as set forth in the Company SEC Reports, the Company and its Subsidiaries have good and marketable title in fee simple to all items of real property owned by them and good and valid title to all personal property described in the Company SEC Reports as being owned by them, in each case free and clear of all liens, encumbrances and claims, except those matters that (a) do not materially interfere with the use made and proposed to be made of such property by the Company and any of its Subsidiaries or (b) would not, individually or in the aggregate, have a Material Adverse Effect. Any real or personal property described in the Company SEC Reports as being leased by the Company and any of its Subsidiaries is held by them under valid, existing and enforceable leases, except those that (1) do not materially interfere with the use made or proposed to be made of such property by the Company or any of its Subsidiaries or (2) would not be reasonably expected, individually or in the aggregate, to have a Material Adverse Effect.</w:t>
      </w:r>
    </w:p>
    <w:p>
      <w:pPr>
        <w:spacing w:after="0" w:line="156" w:lineRule="exact"/>
        <w:rPr>
          <w:rFonts w:ascii="Arial" w:cs="Arial" w:eastAsia="Arial" w:hAnsi="Arial"/>
          <w:sz w:val="18"/>
          <w:szCs w:val="18"/>
          <w:b w:val="1"/>
          <w:bCs w:val="1"/>
          <w:color w:val="auto"/>
        </w:rPr>
      </w:pPr>
    </w:p>
    <w:p>
      <w:pPr>
        <w:jc w:val="both"/>
        <w:ind w:firstLine="1952"/>
        <w:spacing w:after="0" w:line="212" w:lineRule="auto"/>
        <w:tabs>
          <w:tab w:leader="none" w:pos="264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Except as disclosed in the Company SEC Reports, the Company and its Subsidiaries own, possess, license or have other rights to use all foreign and domestic patents, patent applications, trade and service marks, trade and service mark registrations, trade names, copyrights, inventions, trade secrets, technology, Internet domain names, know-how and other intellectual property (collectively, the “</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necessary for the conduct of their respective businesses as now conducted except to the extent that the failure to own, possess, license or otherwise hold adequate rights to use such Intellectual Property would not, individually or in the aggregate, have a Material Adverse Effect. Except as disclosed in the Company SEC Reports, (a) to the Company’s Knowledge, there are no rights of third parties to any such Intellectual Property owned by the Company and its Subsidiaries(except under agreements entered into in the ordinary course of business); (b) to the Company’s Knowledge, there is no infringement by third parties of any such Intellectual Property; (c) there is no pending action, suitor proceeding by others against the Company and its Subsidiaries before any Governmental Authority challenging the Company’s and its Subsidiaries’ rights in or to any such Intellectual Property (other than relating to prosecution of Intellectual Property), action, suitor proceeding; (d) there is no pending action, suitor proceeding by others against the Company and its Subsidiaries before any Governmental Authority challenging the validity of any such Intellectual Property(other than relating to prosecution of Intellectual Property); (e) there is no pending action, suitor proceeding by others against the Company and its Subsidiaries before any Governmental Authority that the Company and its Subsidiaries infringe or otherwise violate any patent, trademark, copyright, trade secret or other proprietary rights of others; and (f) to the Company’s Knowledge, there is no third-party U.S. patent or published U.S. patent application which contains claims for which an Interference Proceeding (as defined in 35 U.S.C. § 135) is pending against any patent or patent application described in the Company SEC Reports as being owned by to the Company, except, in the case of any of clauses (a)-(f) above, as would not, individually or in the aggregate, result in a Material Adverse Effect. The Company and its Subsidiaries takes commercially reasonable efforts to maintain the confidentiality of all material trade secrets and other material confidential information owned by Company and its Subsidiaries and any confidential information owned by any Person to whom the Company or any of its Subsidiaries has a written confidentiality obligation, except for as would not, individually or in the aggregate, result in a Material Adverse Effect.</w:t>
      </w:r>
    </w:p>
    <w:p>
      <w:pPr>
        <w:spacing w:after="0" w:line="156" w:lineRule="exact"/>
        <w:rPr>
          <w:sz w:val="20"/>
          <w:szCs w:val="20"/>
          <w:color w:val="auto"/>
        </w:rPr>
      </w:pPr>
    </w:p>
    <w:p>
      <w:pPr>
        <w:jc w:val="both"/>
        <w:ind w:firstLine="1620"/>
        <w:spacing w:after="0" w:line="221" w:lineRule="auto"/>
        <w:rPr>
          <w:sz w:val="20"/>
          <w:szCs w:val="20"/>
          <w:color w:val="auto"/>
        </w:rPr>
      </w:pPr>
      <w:r>
        <w:rPr>
          <w:rFonts w:ascii="Arial" w:cs="Arial" w:eastAsia="Arial" w:hAnsi="Arial"/>
          <w:sz w:val="18"/>
          <w:szCs w:val="18"/>
          <w:b w:val="1"/>
          <w:bCs w:val="1"/>
          <w:color w:val="auto"/>
        </w:rPr>
        <w:t>3.14 Material Contracts</w:t>
      </w:r>
      <w:r>
        <w:rPr>
          <w:rFonts w:ascii="Arial" w:cs="Arial" w:eastAsia="Arial" w:hAnsi="Arial"/>
          <w:sz w:val="18"/>
          <w:szCs w:val="18"/>
          <w:color w:val="auto"/>
        </w:rPr>
        <w:t>. Neither the Company nor any of its Subsidiaries is in material breach of or default in any</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under the terms of any Material Contract and, to the Knowledge of the Company, no other party to any Material Contract is in</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material breach of or default under the terms of any Company Material Contract. Each Material Contract is a valid and binding obligation of the Company or the Subsidiary of the Company that is party thereto and, to the Knowledge of the Company, is a valid and binding obligation of each other party thereto. The Company has not received any written notice of the intention of any other party to a Material Contract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terminate for default, convenience or otherwise, or not renew, any Material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03" w:right="339" w:bottom="1440" w:gutter="0" w:footer="0" w:header="0"/>
        </w:sectPr>
      </w:pPr>
    </w:p>
    <w:bookmarkStart w:id="33" w:name="page34"/>
    <w:bookmarkEnd w:id="33"/>
    <w:p>
      <w:pPr>
        <w:jc w:val="both"/>
        <w:ind w:firstLine="1620"/>
        <w:spacing w:after="0" w:line="221" w:lineRule="auto"/>
        <w:rPr>
          <w:sz w:val="20"/>
          <w:szCs w:val="20"/>
          <w:color w:val="auto"/>
        </w:rPr>
      </w:pPr>
      <w:r>
        <w:rPr>
          <w:rFonts w:ascii="Arial" w:cs="Arial" w:eastAsia="Arial" w:hAnsi="Arial"/>
          <w:sz w:val="18"/>
          <w:szCs w:val="18"/>
          <w:b w:val="1"/>
          <w:bCs w:val="1"/>
          <w:color w:val="auto"/>
        </w:rPr>
        <w:t>3.15 Solvency</w:t>
      </w:r>
      <w:r>
        <w:rPr>
          <w:rFonts w:ascii="Arial" w:cs="Arial" w:eastAsia="Arial" w:hAnsi="Arial"/>
          <w:sz w:val="18"/>
          <w:szCs w:val="18"/>
          <w:color w:val="auto"/>
        </w:rPr>
        <w:t>. The Company has not taken any steps, and does not currently expect to take any steps, to seek</w:t>
      </w:r>
      <w:r>
        <w:rPr>
          <w:rFonts w:ascii="Arial" w:cs="Arial" w:eastAsia="Arial" w:hAnsi="Arial"/>
          <w:sz w:val="18"/>
          <w:szCs w:val="18"/>
          <w:b w:val="1"/>
          <w:bCs w:val="1"/>
          <w:color w:val="auto"/>
        </w:rPr>
        <w:t xml:space="preserve"> </w:t>
      </w:r>
      <w:r>
        <w:rPr>
          <w:rFonts w:ascii="Arial" w:cs="Arial" w:eastAsia="Arial" w:hAnsi="Arial"/>
          <w:sz w:val="18"/>
          <w:szCs w:val="18"/>
          <w:color w:val="auto"/>
        </w:rPr>
        <w:t>protection pursuant to Title 11 of the United States Code or any similar federal or state bankruptcy law or law for the relief of debtors, nor</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does the Company have any Knowledge that its creditors intend to initiate involuntary bankruptcy, insolvency, reorganization or liquidation proceedings or other proceedings for relief under Title 11 of the United States Code or any other federal or state bankruptcy law or any law for the relief of debtors.</w:t>
      </w:r>
    </w:p>
    <w:p>
      <w:pPr>
        <w:spacing w:after="0" w:line="166" w:lineRule="exact"/>
        <w:rPr>
          <w:sz w:val="20"/>
          <w:szCs w:val="20"/>
          <w:color w:val="auto"/>
        </w:rPr>
      </w:pPr>
    </w:p>
    <w:p>
      <w:pPr>
        <w:jc w:val="both"/>
        <w:ind w:firstLine="1620"/>
        <w:spacing w:after="0" w:line="215" w:lineRule="auto"/>
        <w:rPr>
          <w:sz w:val="20"/>
          <w:szCs w:val="20"/>
          <w:color w:val="auto"/>
        </w:rPr>
      </w:pPr>
      <w:r>
        <w:rPr>
          <w:rFonts w:ascii="Arial" w:cs="Arial" w:eastAsia="Arial" w:hAnsi="Arial"/>
          <w:sz w:val="18"/>
          <w:szCs w:val="18"/>
          <w:b w:val="1"/>
          <w:bCs w:val="1"/>
          <w:color w:val="auto"/>
        </w:rPr>
        <w:t>3.16 Pending Actions</w:t>
      </w:r>
      <w:r>
        <w:rPr>
          <w:rFonts w:ascii="Arial" w:cs="Arial" w:eastAsia="Arial" w:hAnsi="Arial"/>
          <w:sz w:val="18"/>
          <w:szCs w:val="18"/>
          <w:color w:val="auto"/>
        </w:rPr>
        <w:t>. Except as set forth in the Company SEC Reports, there are no actions, suits or proceedings by</w:t>
      </w:r>
      <w:r>
        <w:rPr>
          <w:rFonts w:ascii="Arial" w:cs="Arial" w:eastAsia="Arial" w:hAnsi="Arial"/>
          <w:sz w:val="18"/>
          <w:szCs w:val="18"/>
          <w:b w:val="1"/>
          <w:bCs w:val="1"/>
          <w:color w:val="auto"/>
        </w:rPr>
        <w:t xml:space="preserve"> </w:t>
      </w:r>
      <w:r>
        <w:rPr>
          <w:rFonts w:ascii="Arial" w:cs="Arial" w:eastAsia="Arial" w:hAnsi="Arial"/>
          <w:sz w:val="18"/>
          <w:szCs w:val="18"/>
          <w:color w:val="auto"/>
        </w:rPr>
        <w:t>or before any Governmental Authority pending, nor, to the Company’s Knowledge, any audits or investigations by or before any Governmental Authority to which the Company or a Subsidiary is a party or to which any property of the Company or any of its Subsidiaries is</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the subject that would, individually or in the aggregate, have a Material Adverse Effect; and (i) there are no current or pending audits or investigations, actions, suits or proceedings by or before any Governmental Authority that are required under the Securities Act to be described in the Company SEC Reports that are not so described; and (ii) there are no Contracts or other documents that are required under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Act to be filed as exhibits to the Company SEC Reports that are not so filed.</w:t>
      </w:r>
    </w:p>
    <w:p>
      <w:pPr>
        <w:spacing w:after="0" w:line="167" w:lineRule="exact"/>
        <w:rPr>
          <w:sz w:val="20"/>
          <w:szCs w:val="20"/>
          <w:color w:val="auto"/>
        </w:rPr>
      </w:pPr>
    </w:p>
    <w:p>
      <w:pPr>
        <w:jc w:val="both"/>
        <w:ind w:firstLine="1620"/>
        <w:spacing w:after="0" w:line="221" w:lineRule="auto"/>
        <w:rPr>
          <w:sz w:val="20"/>
          <w:szCs w:val="20"/>
          <w:color w:val="auto"/>
        </w:rPr>
      </w:pPr>
      <w:r>
        <w:rPr>
          <w:rFonts w:ascii="Arial" w:cs="Arial" w:eastAsia="Arial" w:hAnsi="Arial"/>
          <w:sz w:val="18"/>
          <w:szCs w:val="18"/>
          <w:b w:val="1"/>
          <w:bCs w:val="1"/>
          <w:color w:val="auto"/>
        </w:rPr>
        <w:t>3.17 Compliance with Laws</w:t>
      </w:r>
      <w:r>
        <w:rPr>
          <w:rFonts w:ascii="Arial" w:cs="Arial" w:eastAsia="Arial" w:hAnsi="Arial"/>
          <w:sz w:val="18"/>
          <w:szCs w:val="18"/>
          <w:color w:val="auto"/>
        </w:rPr>
        <w:t>. The Company and each of its Subsidiaries are in compliance with all applicable laws,</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and statutes; the Company has not received a notice of non-compliance with any such laws, regulations and statutes by which it</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or any of its properties, assets, employees, business or operations are or were bound or to which they were subject, except for any non-compliance, default or violation would not, individually or in the aggregate, reasonably be expected to result in a Material Adverse Effect or that have been waived.</w:t>
      </w:r>
    </w:p>
    <w:p>
      <w:pPr>
        <w:spacing w:after="0" w:line="166" w:lineRule="exact"/>
        <w:rPr>
          <w:sz w:val="20"/>
          <w:szCs w:val="20"/>
          <w:color w:val="auto"/>
        </w:rPr>
      </w:pPr>
    </w:p>
    <w:p>
      <w:pPr>
        <w:jc w:val="both"/>
        <w:ind w:right="20" w:firstLine="1620"/>
        <w:spacing w:after="0" w:line="227" w:lineRule="auto"/>
        <w:rPr>
          <w:sz w:val="20"/>
          <w:szCs w:val="20"/>
          <w:color w:val="auto"/>
        </w:rPr>
      </w:pPr>
      <w:r>
        <w:rPr>
          <w:rFonts w:ascii="Arial" w:cs="Arial" w:eastAsia="Arial" w:hAnsi="Arial"/>
          <w:sz w:val="18"/>
          <w:szCs w:val="18"/>
          <w:b w:val="1"/>
          <w:bCs w:val="1"/>
          <w:color w:val="auto"/>
        </w:rPr>
        <w:t>3.18 No Broker Registration</w:t>
      </w:r>
      <w:r>
        <w:rPr>
          <w:rFonts w:ascii="Arial" w:cs="Arial" w:eastAsia="Arial" w:hAnsi="Arial"/>
          <w:sz w:val="18"/>
          <w:szCs w:val="18"/>
          <w:color w:val="auto"/>
        </w:rPr>
        <w:t>. Neither the Company nor any of the Subsidiaries (i) is required to register as a “broker”</w:t>
      </w:r>
      <w:r>
        <w:rPr>
          <w:rFonts w:ascii="Arial" w:cs="Arial" w:eastAsia="Arial" w:hAnsi="Arial"/>
          <w:sz w:val="18"/>
          <w:szCs w:val="18"/>
          <w:b w:val="1"/>
          <w:bCs w:val="1"/>
          <w:color w:val="auto"/>
        </w:rPr>
        <w:t xml:space="preserve"> </w:t>
      </w:r>
      <w:r>
        <w:rPr>
          <w:rFonts w:ascii="Arial" w:cs="Arial" w:eastAsia="Arial" w:hAnsi="Arial"/>
          <w:sz w:val="18"/>
          <w:szCs w:val="18"/>
          <w:color w:val="auto"/>
        </w:rPr>
        <w:t>or “dealer” in accordance with the provisions of the Exchange Act or (ii) directly or indirectly through one or more intermediaries, controls or is a “person associated with a member” or “associated person of a member” (within the meaning set forth in the FINRA Manual).</w:t>
      </w:r>
    </w:p>
    <w:p>
      <w:pPr>
        <w:spacing w:after="0" w:line="169" w:lineRule="exact"/>
        <w:rPr>
          <w:sz w:val="20"/>
          <w:szCs w:val="20"/>
          <w:color w:val="auto"/>
        </w:rPr>
      </w:pPr>
    </w:p>
    <w:p>
      <w:pPr>
        <w:jc w:val="both"/>
        <w:ind w:firstLine="1620"/>
        <w:spacing w:after="0" w:line="215" w:lineRule="auto"/>
        <w:rPr>
          <w:sz w:val="20"/>
          <w:szCs w:val="20"/>
          <w:color w:val="auto"/>
        </w:rPr>
      </w:pPr>
      <w:r>
        <w:rPr>
          <w:rFonts w:ascii="Arial" w:cs="Arial" w:eastAsia="Arial" w:hAnsi="Arial"/>
          <w:sz w:val="18"/>
          <w:szCs w:val="18"/>
          <w:b w:val="1"/>
          <w:bCs w:val="1"/>
          <w:color w:val="auto"/>
        </w:rPr>
        <w:t>3.19 CFIUS</w:t>
      </w:r>
      <w:r>
        <w:rPr>
          <w:rFonts w:ascii="Arial" w:cs="Arial" w:eastAsia="Arial" w:hAnsi="Arial"/>
          <w:sz w:val="18"/>
          <w:szCs w:val="18"/>
          <w:color w:val="auto"/>
        </w:rPr>
        <w:t>. The Company and each of its Subsidiaries maintain systems of internal accounting controls sufficient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reasonable assurance that (i) transactions, including receipts and expenditures, are executed in accordance with management’s general or specific authorizations; (ii) transactions are recorded as necessary to permit preparation of financial statements in conformity with</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GAAP and to maintain asset accountability; (iii) access to assets is permitted only in accordance with management’s general or specific authorization; (iv) its policies and procedures provide reasonable assurance regarding prevention or timely detection of unauthorized acquisition, use or disposition of the Company’s assets, including the comparison of the recorded accountability for assets with the existing</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assets at reasonable intervals, and appropriate action is taken with respect to any differences and (v) its books and records accurately reflect its assets. The Company’s internal control over financial reporting is effective and the Company is not aware of any material weaknesses in its internal control over financial reporting (other than as set forth in the Company SEC Reports). Since the date of the latest audited financial</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statements of the Company included in the Company SEC Reports, there has been no change in the Company’s internal control over financial reporting that has materially affected, or is reasonably likely to materially affect, the Company’s internal control over financial reporting (other than as set forth in the Company SEC Reports). The Company has established disclosure controls and procedures (as</w:t>
      </w:r>
    </w:p>
    <w:p>
      <w:pPr>
        <w:spacing w:after="0" w:line="2"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defined in Exchange Act Rules 13a-15 and 15d-15) for the Company designed to ensure that information required to be disclosed by the Company in the reports that it files or submits under the Exchange Act is recorded, processed, summarized and reported, within the time periods specified in the SEC’s rules and forms, and designed such disclosure controls and procedures to ensure that material information relating to the Company and each of its Subsidiaries is made known to the certifying officers by others within those entities, particularly</w:t>
      </w:r>
    </w:p>
    <w:p>
      <w:pPr>
        <w:spacing w:after="0" w:line="1"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during the period in which the Company’s Annual Report on Form 10-K or Quarterly Report on Form 10-Q, as the case may be, is being prepared.</w:t>
      </w:r>
    </w:p>
    <w:p>
      <w:pPr>
        <w:spacing w:after="0" w:line="154" w:lineRule="exact"/>
        <w:rPr>
          <w:sz w:val="20"/>
          <w:szCs w:val="20"/>
          <w:color w:val="auto"/>
        </w:rPr>
      </w:pPr>
    </w:p>
    <w:p>
      <w:pPr>
        <w:ind w:left="1620"/>
        <w:spacing w:after="0"/>
        <w:tabs>
          <w:tab w:leader="none" w:pos="2220" w:val="left"/>
        </w:tabs>
        <w:rPr>
          <w:sz w:val="20"/>
          <w:szCs w:val="20"/>
          <w:color w:val="auto"/>
        </w:rPr>
      </w:pPr>
      <w:r>
        <w:rPr>
          <w:rFonts w:ascii="Arial" w:cs="Arial" w:eastAsia="Arial" w:hAnsi="Arial"/>
          <w:sz w:val="18"/>
          <w:szCs w:val="18"/>
          <w:b w:val="1"/>
          <w:bCs w:val="1"/>
          <w:color w:val="auto"/>
        </w:rPr>
        <w:t>3.20</w:t>
        <w:tab/>
        <w:t>Permits</w:t>
      </w:r>
      <w:r>
        <w:rPr>
          <w:rFonts w:ascii="Arial" w:cs="Arial" w:eastAsia="Arial" w:hAnsi="Arial"/>
          <w:sz w:val="18"/>
          <w:szCs w:val="18"/>
          <w:color w:val="auto"/>
        </w:rPr>
        <w:t>. Except as disclosed in the Company SEC Reports, the Company and each Subsidiary possess such</w:t>
      </w:r>
    </w:p>
    <w:p>
      <w:pPr>
        <w:jc w:val="both"/>
        <w:spacing w:after="0" w:line="208" w:lineRule="auto"/>
        <w:rPr>
          <w:sz w:val="20"/>
          <w:szCs w:val="20"/>
          <w:color w:val="auto"/>
        </w:rPr>
      </w:pPr>
      <w:r>
        <w:rPr>
          <w:rFonts w:ascii="Arial" w:cs="Arial" w:eastAsia="Arial" w:hAnsi="Arial"/>
          <w:sz w:val="18"/>
          <w:szCs w:val="18"/>
          <w:color w:val="auto"/>
        </w:rPr>
        <w:t>valid and current certificates, authorizations or permits issued by the appropriate state, federal or foreign regulatory agencies or bodies necessary to conduct their respective businesses except for any failure to obtain such certificates, authorizations or permits would not, individually or in the aggregate, reasonably be expected to result in a Material Adverse Effect or that have been waived, and, neither the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Company nor any Subsidiary has received, or has any reason to believe that it will receive, any notice of proceedings relating to the revocation or modification of, or non-compliance with, any such certificate, authorization or permit which, if the subject of an unfavorable decision, ruling or finding, would, individually or in the aggregate,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03" w:right="339" w:bottom="1440" w:gutter="0" w:footer="0" w:header="0"/>
        </w:sectPr>
      </w:pPr>
    </w:p>
    <w:bookmarkStart w:id="34" w:name="page35"/>
    <w:bookmarkEnd w:id="34"/>
    <w:p>
      <w:pPr>
        <w:ind w:left="1620"/>
        <w:spacing w:after="0"/>
        <w:tabs>
          <w:tab w:leader="none" w:pos="216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7"/>
          <w:szCs w:val="17"/>
          <w:b w:val="1"/>
          <w:bCs w:val="1"/>
          <w:color w:val="auto"/>
        </w:rPr>
        <w:t>International Compliance; No Improper Practices</w:t>
      </w:r>
      <w:r>
        <w:rPr>
          <w:rFonts w:ascii="Arial" w:cs="Arial" w:eastAsia="Arial" w:hAnsi="Arial"/>
          <w:sz w:val="17"/>
          <w:szCs w:val="17"/>
          <w:color w:val="auto"/>
        </w:rPr>
        <w:t>.</w:t>
      </w:r>
    </w:p>
    <w:p>
      <w:pPr>
        <w:spacing w:after="0" w:line="185" w:lineRule="exact"/>
        <w:rPr>
          <w:sz w:val="20"/>
          <w:szCs w:val="20"/>
          <w:color w:val="auto"/>
        </w:rPr>
      </w:pPr>
    </w:p>
    <w:p>
      <w:pPr>
        <w:jc w:val="both"/>
        <w:ind w:firstLine="2276"/>
        <w:spacing w:after="0" w:line="211" w:lineRule="auto"/>
        <w:tabs>
          <w:tab w:leader="none" w:pos="25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(i) Neither the Company nor the Subsidiaries, nor any director, officer, or employee of the Company or any Subsidiary nor, to the Company’s Knowledge, any agent, Affiliate or employee of the Company or any Subsidiary has, in the past five years, made any unlawful contributions to any candidate for any political office (or failed fully to disclose any contribution in violation of applicable law) or made any contribution or other payment to any official of, or candidate for, any federal, state, municipal, or foreign office or other person charged with similar public or quasi-public duty in violation of any applicable law or of the character required to be disclosed in the Company SEC Reports; (ii) no relationship, direct or indirect, exists between or among the Company or any Subsidiary or any Affiliate of any of them, on the one hand, and the directors, officers and stockholders of the Company or any Subsidiary, on the other hand, that is required by the Securities Act to be described in the Company SEC Reports that is not so described; (iii) no relationship, direct or indirect, exists between or among the Company or any Subsidiary or any Affiliate of them, on the one hand, and the directors, officers, or stockholders of the Company or any Subsidiary, on the other hand, that is required by the rules of FINRA to be described in the Company SEC Reports that is not so described; (iv) except as described in the Company SEC Reports, there are no material outstanding loans or advances or material guarantees of indebtedness by the Company or any Subsidiary to or for the benefit of any of their respective officers or directors or any of the members of the families of any of them; (v) the Company has not offered, or caused any placement agent to offer, Common Stock to any person with the intent to influence unlawfully (a) a customer or supplier of the Company or any Subsidiary to alter the customer’s or supplier’s level or type of business with the Company or any Subsidiary or (b) a trade journalist or publication to write or publish favorable information about the Company or any Subsidiary or any of their respective products or services; and (vi) neither the Company nor any Subsidiary nor any director, officer or employee of the Company or any Subsidiary nor, to the Company’s Knowledge, any agent, Affiliate or other person acting on behalf of the Company or any Subsidiary has (a) violated or is in violation of any applicable provision of the U.S. Foreign Corrupt Practices Act of 1977, as amended, or any other applicable anti-bribery or anti-corruption law (collectively, “</w:t>
      </w:r>
      <w:r>
        <w:rPr>
          <w:rFonts w:ascii="Arial" w:cs="Arial" w:eastAsia="Arial" w:hAnsi="Arial"/>
          <w:sz w:val="18"/>
          <w:szCs w:val="18"/>
          <w:b w:val="1"/>
          <w:bCs w:val="1"/>
          <w:i w:val="1"/>
          <w:iCs w:val="1"/>
          <w:color w:val="auto"/>
        </w:rPr>
        <w:t>Anti-Corruption Laws</w:t>
      </w:r>
      <w:r>
        <w:rPr>
          <w:rFonts w:ascii="Arial" w:cs="Arial" w:eastAsia="Arial" w:hAnsi="Arial"/>
          <w:sz w:val="18"/>
          <w:szCs w:val="18"/>
          <w:color w:val="auto"/>
        </w:rPr>
        <w:t>”), (b) promised, offered, provided, attempted to provide or authorized the provision of anything of value, directly or indirectly, to any person for the purpose of obtaining or retaining business, influencing any act or decision of the recipient, or securing any improper advantage; or (c) made any payment of funds of the Company or any Subsidiary or received or retained any funds in violation of any Anti-Corruption Laws</w:t>
      </w:r>
    </w:p>
    <w:p>
      <w:pPr>
        <w:spacing w:after="0" w:line="181" w:lineRule="exact"/>
        <w:rPr>
          <w:rFonts w:ascii="Arial" w:cs="Arial" w:eastAsia="Arial" w:hAnsi="Arial"/>
          <w:sz w:val="18"/>
          <w:szCs w:val="18"/>
          <w:b w:val="1"/>
          <w:bCs w:val="1"/>
          <w:color w:val="auto"/>
        </w:rPr>
      </w:pPr>
    </w:p>
    <w:p>
      <w:pPr>
        <w:jc w:val="both"/>
        <w:ind w:firstLine="2276"/>
        <w:spacing w:after="0" w:line="218" w:lineRule="auto"/>
        <w:tabs>
          <w:tab w:leader="none" w:pos="259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The operations of the Company and its Subsidiaries are and have been conducted at all times in compliance with applicable financial record keeping and reporting requirements of the Currency and Foreign Transactions Reporting Act of 1970, as amended, the money laundering statutes of all jurisdictions to which the Company or its Subsidiaries are subject, the rules and regulations thereunder and any related or similar rules, regulations or guidelines, issued, administered or enforced by any Governmental Authority (collectively, the “</w:t>
      </w:r>
      <w:r>
        <w:rPr>
          <w:rFonts w:ascii="Arial" w:cs="Arial" w:eastAsia="Arial" w:hAnsi="Arial"/>
          <w:sz w:val="18"/>
          <w:szCs w:val="18"/>
          <w:b w:val="1"/>
          <w:bCs w:val="1"/>
          <w:i w:val="1"/>
          <w:iCs w:val="1"/>
          <w:color w:val="auto"/>
        </w:rPr>
        <w:t>Money Laundering Laws</w:t>
      </w:r>
      <w:r>
        <w:rPr>
          <w:rFonts w:ascii="Arial" w:cs="Arial" w:eastAsia="Arial" w:hAnsi="Arial"/>
          <w:sz w:val="18"/>
          <w:szCs w:val="18"/>
          <w:color w:val="auto"/>
        </w:rPr>
        <w:t>”); and no action, suit or proceeding by or before any Governmental Authority involving the Company or any of its Subsidiaries with respect to the Money Laundering Laws is pending or, to the Knowledge of the Company, threatened.</w:t>
      </w:r>
    </w:p>
    <w:p>
      <w:pPr>
        <w:spacing w:after="0" w:line="167" w:lineRule="exact"/>
        <w:rPr>
          <w:rFonts w:ascii="Arial" w:cs="Arial" w:eastAsia="Arial" w:hAnsi="Arial"/>
          <w:sz w:val="18"/>
          <w:szCs w:val="18"/>
          <w:b w:val="1"/>
          <w:bCs w:val="1"/>
          <w:color w:val="auto"/>
        </w:rPr>
      </w:pPr>
    </w:p>
    <w:p>
      <w:pPr>
        <w:jc w:val="both"/>
        <w:ind w:firstLine="2276"/>
        <w:spacing w:after="0" w:line="212" w:lineRule="auto"/>
        <w:tabs>
          <w:tab w:leader="none" w:pos="25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Neither the Company nor any of its Subsidiaries, nor, to the Company’s Knowledge, any director, officer, employee, agent, Affiliate or representative of the Company, is a Person that is, or is owned or controlled by a Person that is (i) the subject of any sanctions administered or enforced by the Office of Foreign Asset Control (“</w:t>
      </w:r>
      <w:r>
        <w:rPr>
          <w:rFonts w:ascii="Arial" w:cs="Arial" w:eastAsia="Arial" w:hAnsi="Arial"/>
          <w:sz w:val="18"/>
          <w:szCs w:val="18"/>
          <w:b w:val="1"/>
          <w:bCs w:val="1"/>
          <w:i w:val="1"/>
          <w:iCs w:val="1"/>
          <w:color w:val="auto"/>
        </w:rPr>
        <w:t>OFAC</w:t>
      </w:r>
      <w:r>
        <w:rPr>
          <w:rFonts w:ascii="Arial" w:cs="Arial" w:eastAsia="Arial" w:hAnsi="Arial"/>
          <w:sz w:val="18"/>
          <w:szCs w:val="18"/>
          <w:color w:val="auto"/>
        </w:rPr>
        <w:t>”), the United Nations Security Council, the European Union, Her Majesty’s Treasury, or other relevant sanctions authorities, including, without limitation, designation on OFAC’s Specially Designated Nationals and Blocked Persons List or OFAC’s Foreign Sanctions Evaders List or other relevant sanctions authority (collectively, “</w:t>
      </w:r>
      <w:r>
        <w:rPr>
          <w:rFonts w:ascii="Arial" w:cs="Arial" w:eastAsia="Arial" w:hAnsi="Arial"/>
          <w:sz w:val="18"/>
          <w:szCs w:val="18"/>
          <w:b w:val="1"/>
          <w:bCs w:val="1"/>
          <w:i w:val="1"/>
          <w:iCs w:val="1"/>
          <w:color w:val="auto"/>
        </w:rPr>
        <w:t>Sanctions</w:t>
      </w:r>
      <w:r>
        <w:rPr>
          <w:rFonts w:ascii="Arial" w:cs="Arial" w:eastAsia="Arial" w:hAnsi="Arial"/>
          <w:sz w:val="18"/>
          <w:szCs w:val="18"/>
          <w:color w:val="auto"/>
        </w:rPr>
        <w:t>”), nor (ii) located, organized or resident in a country or territory that is the subject of Sanctions that broadly prohibit dealings with that country or territory (including, without limitation, the Crimea region of Ukraine, Russia, the so-called Donetsk People’s Republic, the so-called Luhansk People’s Republic, Cuba, Iran, North Korea, Sudan and Syria (the “</w:t>
      </w:r>
      <w:r>
        <w:rPr>
          <w:rFonts w:ascii="Arial" w:cs="Arial" w:eastAsia="Arial" w:hAnsi="Arial"/>
          <w:sz w:val="18"/>
          <w:szCs w:val="18"/>
          <w:b w:val="1"/>
          <w:bCs w:val="1"/>
          <w:i w:val="1"/>
          <w:iCs w:val="1"/>
          <w:color w:val="auto"/>
        </w:rPr>
        <w:t>Sanctioned Countries</w:t>
      </w:r>
      <w:r>
        <w:rPr>
          <w:rFonts w:ascii="Arial" w:cs="Arial" w:eastAsia="Arial" w:hAnsi="Arial"/>
          <w:sz w:val="18"/>
          <w:szCs w:val="18"/>
          <w:color w:val="auto"/>
        </w:rPr>
        <w:t>”)). The Company will not, directly or indirectly, use the proceeds from the sale of Shares, or lend, contribute or otherwise make available such proceeds to any subsidiary, joint venture partner or other Person (a) to fund or facilitate any activities or business of or with any Person or in any country or territory that, at the time of such funding or facilitation, is the subject of Sanctions or is a Sanctioned Country, or (b) in any other manner that will result in a violation of Sanctions by any Person (including any Person participating in the transactions contemplated by this Agreement, whether as underwriter, advisor, investor or otherwise). For the past five years, the Company has not engaged in, and is now not engaged in, any dealings or transactions with any Person, or in any country or territory, that at the time of the dealing or transaction is or was the subject of Sanctions or was a Sanctioned Country.</w:t>
      </w:r>
    </w:p>
    <w:p>
      <w:pPr>
        <w:spacing w:after="0" w:line="160" w:lineRule="exact"/>
        <w:rPr>
          <w:sz w:val="20"/>
          <w:szCs w:val="20"/>
          <w:color w:val="auto"/>
        </w:rPr>
      </w:pPr>
    </w:p>
    <w:p>
      <w:pPr>
        <w:ind w:left="1620"/>
        <w:spacing w:after="0"/>
        <w:tabs>
          <w:tab w:leader="none" w:pos="2160"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7"/>
          <w:szCs w:val="17"/>
          <w:b w:val="1"/>
          <w:bCs w:val="1"/>
          <w:color w:val="auto"/>
        </w:rPr>
        <w:t>Information Technology; Compliance with Data Privacy Laws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03" w:right="339" w:bottom="1440" w:gutter="0" w:footer="0" w:header="0"/>
        </w:sectPr>
      </w:pPr>
    </w:p>
    <w:bookmarkStart w:id="35" w:name="page36"/>
    <w:bookmarkEnd w:id="35"/>
    <w:p>
      <w:pPr>
        <w:jc w:val="both"/>
        <w:ind w:firstLine="2276"/>
        <w:spacing w:after="0" w:line="212" w:lineRule="auto"/>
        <w:tabs>
          <w:tab w:leader="none" w:pos="258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The information technology assets and equipment, computers, systems, networks, hardware, software, websites, applications, and databases owned or used by the Company and its Subsidiaries (collectively, “</w:t>
      </w:r>
      <w:r>
        <w:rPr>
          <w:rFonts w:ascii="Arial" w:cs="Arial" w:eastAsia="Arial" w:hAnsi="Arial"/>
          <w:sz w:val="18"/>
          <w:szCs w:val="18"/>
          <w:b w:val="1"/>
          <w:bCs w:val="1"/>
          <w:i w:val="1"/>
          <w:iCs w:val="1"/>
          <w:color w:val="auto"/>
        </w:rPr>
        <w:t>IT Systems</w:t>
      </w:r>
      <w:r>
        <w:rPr>
          <w:rFonts w:ascii="Arial" w:cs="Arial" w:eastAsia="Arial" w:hAnsi="Arial"/>
          <w:sz w:val="18"/>
          <w:szCs w:val="18"/>
          <w:color w:val="auto"/>
        </w:rPr>
        <w:t>”) are adequate for the operation of the business of the Company as currently conducted, except as would not, individually or in the aggregate, result in a Material Adverse Effect. The Company and its Subsidiaries use commercially reasonable efforts to implement and maintain commercially reasonable controls, policies, procedures, or safeguards designed to maintain and protect their material confidential information and the security of IT Systems, including “Personal Data” (defined below) within their possession and control (“</w:t>
      </w:r>
      <w:r>
        <w:rPr>
          <w:rFonts w:ascii="Arial" w:cs="Arial" w:eastAsia="Arial" w:hAnsi="Arial"/>
          <w:sz w:val="18"/>
          <w:szCs w:val="18"/>
          <w:b w:val="1"/>
          <w:bCs w:val="1"/>
          <w:i w:val="1"/>
          <w:iCs w:val="1"/>
          <w:color w:val="auto"/>
        </w:rPr>
        <w:t>Confidential Data</w:t>
      </w:r>
      <w:r>
        <w:rPr>
          <w:rFonts w:ascii="Arial" w:cs="Arial" w:eastAsia="Arial" w:hAnsi="Arial"/>
          <w:sz w:val="18"/>
          <w:szCs w:val="18"/>
          <w:color w:val="auto"/>
        </w:rPr>
        <w:t>”) used in connection with their businesses, except as would not, individually or in the aggregate, result in a Material Adverse Effect. “Personal Data” means (a) a natural person’s name, street address, telephone number, e-mail address, photograph, social security number or tax identification number, driver’s license number, passport number, credit card number, bank information, or customer or account number; (b) any information which would qualify as “personally identifying information” under the Federal Trade SEC Act, as amended; (c) “personal data” as defined by the European Union General Data Protection Regulation (“</w:t>
      </w:r>
      <w:r>
        <w:rPr>
          <w:rFonts w:ascii="Arial" w:cs="Arial" w:eastAsia="Arial" w:hAnsi="Arial"/>
          <w:sz w:val="18"/>
          <w:szCs w:val="18"/>
          <w:b w:val="1"/>
          <w:bCs w:val="1"/>
          <w:i w:val="1"/>
          <w:iCs w:val="1"/>
          <w:color w:val="auto"/>
        </w:rPr>
        <w:t>GDPR</w:t>
      </w:r>
      <w:r>
        <w:rPr>
          <w:rFonts w:ascii="Arial" w:cs="Arial" w:eastAsia="Arial" w:hAnsi="Arial"/>
          <w:sz w:val="18"/>
          <w:szCs w:val="18"/>
          <w:color w:val="auto"/>
        </w:rPr>
        <w:t>”) (EU 2016/679) to the extent GDPR is applicable to the Company’s business; (d) any information which would qualify as “protected health information” under the Health Insurance Portability and Accountability Act of 1996, as amended by the Health Information Technology for Economic and Clinical Health Act (collectively, “</w:t>
      </w:r>
      <w:r>
        <w:rPr>
          <w:rFonts w:ascii="Arial" w:cs="Arial" w:eastAsia="Arial" w:hAnsi="Arial"/>
          <w:sz w:val="18"/>
          <w:szCs w:val="18"/>
          <w:b w:val="1"/>
          <w:bCs w:val="1"/>
          <w:i w:val="1"/>
          <w:iCs w:val="1"/>
          <w:color w:val="auto"/>
        </w:rPr>
        <w:t>HIPAA</w:t>
      </w:r>
      <w:r>
        <w:rPr>
          <w:rFonts w:ascii="Arial" w:cs="Arial" w:eastAsia="Arial" w:hAnsi="Arial"/>
          <w:sz w:val="18"/>
          <w:szCs w:val="18"/>
          <w:color w:val="auto"/>
        </w:rPr>
        <w:t>”); (e) any “personal information” as defined by the California Consumer Privacy Act (“</w:t>
      </w:r>
      <w:r>
        <w:rPr>
          <w:rFonts w:ascii="Arial" w:cs="Arial" w:eastAsia="Arial" w:hAnsi="Arial"/>
          <w:sz w:val="18"/>
          <w:szCs w:val="18"/>
          <w:b w:val="1"/>
          <w:bCs w:val="1"/>
          <w:i w:val="1"/>
          <w:iCs w:val="1"/>
          <w:color w:val="auto"/>
        </w:rPr>
        <w:t>CCPA</w:t>
      </w:r>
      <w:r>
        <w:rPr>
          <w:rFonts w:ascii="Arial" w:cs="Arial" w:eastAsia="Arial" w:hAnsi="Arial"/>
          <w:sz w:val="18"/>
          <w:szCs w:val="18"/>
          <w:color w:val="auto"/>
        </w:rPr>
        <w:t>”) to the extent CCPA is applicable to the Company’s business; and (f) any other piece of information that identifies of such natural person or his or her family. In the past two (2) years, there have been no breaches, violations, outages or unauthorized uses of or accesses to Confidential Data, except for those that have been remedied in all material respects or would not, individually or in the aggregate, result in a Material Adverse Effect. The Company and its Subsidiaries are presently in compliance with all applicable laws or statutes and all judgments, orders, rules and regulations of any court or arbitrator or governmental or regulatory authority relating to the privacy and security of IT Systems, Confidential Data, and Personal Data and to the protection of such IT Systems, Confidential Data, and Personal Data from unauthorized use, access, misappropriation or modification, except for such noncompliance that would not, individually or in the aggregate, result in a Material Adverse Effect.</w:t>
      </w:r>
    </w:p>
    <w:p>
      <w:pPr>
        <w:spacing w:after="0" w:line="156" w:lineRule="exact"/>
        <w:rPr>
          <w:rFonts w:ascii="Arial" w:cs="Arial" w:eastAsia="Arial" w:hAnsi="Arial"/>
          <w:sz w:val="18"/>
          <w:szCs w:val="18"/>
          <w:b w:val="1"/>
          <w:bCs w:val="1"/>
          <w:color w:val="auto"/>
        </w:rPr>
      </w:pPr>
    </w:p>
    <w:p>
      <w:pPr>
        <w:jc w:val="both"/>
        <w:ind w:firstLine="2276"/>
        <w:spacing w:after="0" w:line="218" w:lineRule="auto"/>
        <w:tabs>
          <w:tab w:leader="none" w:pos="259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The Company and its Subsidiaries are in compliance with all applicable state and federal data privacy and security laws and regulations, including without limitation HIPAA, CCPA and the GDPR (collectively, the “</w:t>
      </w:r>
      <w:r>
        <w:rPr>
          <w:rFonts w:ascii="Arial" w:cs="Arial" w:eastAsia="Arial" w:hAnsi="Arial"/>
          <w:sz w:val="18"/>
          <w:szCs w:val="18"/>
          <w:b w:val="1"/>
          <w:bCs w:val="1"/>
          <w:i w:val="1"/>
          <w:iCs w:val="1"/>
          <w:color w:val="auto"/>
        </w:rPr>
        <w:t>Privacy Laws</w:t>
      </w:r>
      <w:r>
        <w:rPr>
          <w:rFonts w:ascii="Arial" w:cs="Arial" w:eastAsia="Arial" w:hAnsi="Arial"/>
          <w:sz w:val="18"/>
          <w:szCs w:val="18"/>
          <w:color w:val="auto"/>
        </w:rPr>
        <w:t>”), except for such noncompliance that would not, individually or in the aggregate, result in a Material Adverse Effect. Neither the Company nor any of its Subsidiaries: (a) has received written notice of a pending claim alleging any actual or potential violation of, any of the Privacy Laws by the Company or its Subsidiaries; or (b) is a party to any order or decree issued by a Governmental Authority that imposes any outstanding obligation of the Company or its Subsidiaries under any Privacy Law; except, in the case of any of clauses (a)-(b) above, as would not, individually or in the aggregate, result in a Material Adverse Effect.</w:t>
      </w:r>
    </w:p>
    <w:p>
      <w:pPr>
        <w:spacing w:after="0" w:line="155" w:lineRule="exact"/>
        <w:rPr>
          <w:sz w:val="20"/>
          <w:szCs w:val="20"/>
          <w:color w:val="auto"/>
        </w:rPr>
      </w:pPr>
    </w:p>
    <w:p>
      <w:pPr>
        <w:ind w:left="1620"/>
        <w:spacing w:after="0"/>
        <w:tabs>
          <w:tab w:leader="none" w:pos="2200" w:val="left"/>
        </w:tabs>
        <w:rPr>
          <w:sz w:val="20"/>
          <w:szCs w:val="20"/>
          <w:color w:val="auto"/>
        </w:rPr>
      </w:pPr>
      <w:r>
        <w:rPr>
          <w:rFonts w:ascii="Arial" w:cs="Arial" w:eastAsia="Arial" w:hAnsi="Arial"/>
          <w:sz w:val="18"/>
          <w:szCs w:val="18"/>
          <w:b w:val="1"/>
          <w:bCs w:val="1"/>
          <w:color w:val="auto"/>
        </w:rPr>
        <w:t>3.23</w:t>
        <w:tab/>
        <w:t>Off-Balance Sheet Arrangements</w:t>
      </w:r>
      <w:r>
        <w:rPr>
          <w:rFonts w:ascii="Arial" w:cs="Arial" w:eastAsia="Arial" w:hAnsi="Arial"/>
          <w:sz w:val="18"/>
          <w:szCs w:val="18"/>
          <w:color w:val="auto"/>
        </w:rPr>
        <w:t>. There are no transactions, arrangements or other relationships between or</w:t>
      </w:r>
    </w:p>
    <w:p>
      <w:pPr>
        <w:jc w:val="both"/>
        <w:spacing w:after="0" w:line="221" w:lineRule="auto"/>
        <w:rPr>
          <w:sz w:val="20"/>
          <w:szCs w:val="20"/>
          <w:color w:val="auto"/>
        </w:rPr>
      </w:pPr>
      <w:r>
        <w:rPr>
          <w:rFonts w:ascii="Arial" w:cs="Arial" w:eastAsia="Arial" w:hAnsi="Arial"/>
          <w:sz w:val="17"/>
          <w:szCs w:val="17"/>
          <w:color w:val="auto"/>
        </w:rPr>
        <w:t>among the Company, or any of its Affiliates and any unconsolidated entity, including, but not limited to, any structural finance, special purpose or limited purpose entity (each, an “Off-Balance Sheet Transaction”) that could reasonably be expected to affect materially the Company’s liquidity or the availability of or requirements for its capital resources required to be described in the Company SEC Reports which have not</w:t>
      </w:r>
    </w:p>
    <w:p>
      <w:pPr>
        <w:spacing w:after="0"/>
        <w:rPr>
          <w:sz w:val="20"/>
          <w:szCs w:val="20"/>
          <w:color w:val="auto"/>
        </w:rPr>
      </w:pPr>
      <w:r>
        <w:rPr>
          <w:rFonts w:ascii="Arial" w:cs="Arial" w:eastAsia="Arial" w:hAnsi="Arial"/>
          <w:sz w:val="18"/>
          <w:szCs w:val="18"/>
          <w:color w:val="auto"/>
        </w:rPr>
        <w:t>been described as required.</w:t>
      </w:r>
    </w:p>
    <w:p>
      <w:pPr>
        <w:spacing w:after="0" w:line="167" w:lineRule="exact"/>
        <w:rPr>
          <w:sz w:val="20"/>
          <w:szCs w:val="20"/>
          <w:color w:val="auto"/>
        </w:rPr>
      </w:pPr>
    </w:p>
    <w:p>
      <w:pPr>
        <w:jc w:val="both"/>
        <w:ind w:firstLine="1620"/>
        <w:spacing w:after="0" w:line="215" w:lineRule="auto"/>
        <w:rPr>
          <w:sz w:val="20"/>
          <w:szCs w:val="20"/>
          <w:color w:val="auto"/>
        </w:rPr>
      </w:pPr>
      <w:r>
        <w:rPr>
          <w:rFonts w:ascii="Arial" w:cs="Arial" w:eastAsia="Arial" w:hAnsi="Arial"/>
          <w:sz w:val="18"/>
          <w:szCs w:val="18"/>
          <w:b w:val="1"/>
          <w:bCs w:val="1"/>
          <w:color w:val="auto"/>
        </w:rPr>
        <w:t>3.24 Transactions with Affiliates</w:t>
      </w:r>
      <w:r>
        <w:rPr>
          <w:rFonts w:ascii="Arial" w:cs="Arial" w:eastAsia="Arial" w:hAnsi="Arial"/>
          <w:sz w:val="18"/>
          <w:szCs w:val="18"/>
          <w:color w:val="auto"/>
        </w:rPr>
        <w:t>. No relationship, direct or indirect, exists between or among the Company or any of</w:t>
      </w:r>
      <w:r>
        <w:rPr>
          <w:rFonts w:ascii="Arial" w:cs="Arial" w:eastAsia="Arial" w:hAnsi="Arial"/>
          <w:sz w:val="18"/>
          <w:szCs w:val="18"/>
          <w:b w:val="1"/>
          <w:bCs w:val="1"/>
          <w:color w:val="auto"/>
        </w:rPr>
        <w:t xml:space="preserve"> </w:t>
      </w:r>
      <w:r>
        <w:rPr>
          <w:rFonts w:ascii="Arial" w:cs="Arial" w:eastAsia="Arial" w:hAnsi="Arial"/>
          <w:sz w:val="18"/>
          <w:szCs w:val="18"/>
          <w:color w:val="auto"/>
        </w:rPr>
        <w:t>its Subsidiaries on the one hand, and the directors, officers, trustees, managers, stockholders, partners, customers or suppliers of the Company or any of the Subsidiaries on the other hand, which would be required by the Securities Act or the Exchange Act to be disclosed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Company SEC Reports, which is not so disclosed.</w:t>
      </w:r>
    </w:p>
    <w:p>
      <w:pPr>
        <w:spacing w:after="0" w:line="167" w:lineRule="exact"/>
        <w:rPr>
          <w:sz w:val="20"/>
          <w:szCs w:val="20"/>
          <w:color w:val="auto"/>
        </w:rPr>
      </w:pPr>
    </w:p>
    <w:p>
      <w:pPr>
        <w:jc w:val="both"/>
        <w:ind w:firstLine="1620"/>
        <w:spacing w:after="0" w:line="221" w:lineRule="auto"/>
        <w:rPr>
          <w:sz w:val="20"/>
          <w:szCs w:val="20"/>
          <w:color w:val="auto"/>
        </w:rPr>
      </w:pPr>
      <w:r>
        <w:rPr>
          <w:rFonts w:ascii="Arial" w:cs="Arial" w:eastAsia="Arial" w:hAnsi="Arial"/>
          <w:sz w:val="18"/>
          <w:szCs w:val="18"/>
          <w:b w:val="1"/>
          <w:bCs w:val="1"/>
          <w:color w:val="auto"/>
        </w:rPr>
        <w:t>3.25 Labor Disputes</w:t>
      </w:r>
      <w:r>
        <w:rPr>
          <w:rFonts w:ascii="Arial" w:cs="Arial" w:eastAsia="Arial" w:hAnsi="Arial"/>
          <w:sz w:val="18"/>
          <w:szCs w:val="18"/>
          <w:color w:val="auto"/>
        </w:rPr>
        <w:t>. None of the Company nor any of its Subsidiaries is bound by or subject to any collective</w:t>
      </w:r>
      <w:r>
        <w:rPr>
          <w:rFonts w:ascii="Arial" w:cs="Arial" w:eastAsia="Arial" w:hAnsi="Arial"/>
          <w:sz w:val="18"/>
          <w:szCs w:val="18"/>
          <w:b w:val="1"/>
          <w:bCs w:val="1"/>
          <w:color w:val="auto"/>
        </w:rPr>
        <w:t xml:space="preserve"> </w:t>
      </w:r>
      <w:r>
        <w:rPr>
          <w:rFonts w:ascii="Arial" w:cs="Arial" w:eastAsia="Arial" w:hAnsi="Arial"/>
          <w:sz w:val="18"/>
          <w:szCs w:val="18"/>
          <w:color w:val="auto"/>
        </w:rPr>
        <w:t>bargaining or similar agreement with any labor union. The Company and its Subsidiaries have complied with all employment laws applicable</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to employees of the Company and its Subsidiaries, except where non-compliance with any such employment laws would not have a Material Adverse Effect. No labor disturbance by or dispute with employees of the Company or any of its Subsidiaries exists or, to the Knowledge of the Company, is threatened which would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03" w:right="339" w:bottom="1440" w:gutter="0" w:footer="0" w:header="0"/>
        </w:sectPr>
      </w:pPr>
    </w:p>
    <w:bookmarkStart w:id="36" w:name="page37"/>
    <w:bookmarkEnd w:id="36"/>
    <w:p>
      <w:pPr>
        <w:ind w:firstLine="1620"/>
        <w:spacing w:after="0" w:line="221" w:lineRule="auto"/>
        <w:rPr>
          <w:sz w:val="20"/>
          <w:szCs w:val="20"/>
          <w:color w:val="auto"/>
        </w:rPr>
      </w:pPr>
      <w:r>
        <w:rPr>
          <w:rFonts w:ascii="Arial" w:cs="Arial" w:eastAsia="Arial" w:hAnsi="Arial"/>
          <w:sz w:val="18"/>
          <w:szCs w:val="18"/>
          <w:b w:val="1"/>
          <w:bCs w:val="1"/>
          <w:color w:val="auto"/>
        </w:rPr>
        <w:t>3.26 Investment Company Act Status</w:t>
      </w:r>
      <w:r>
        <w:rPr>
          <w:rFonts w:ascii="Arial" w:cs="Arial" w:eastAsia="Arial" w:hAnsi="Arial"/>
          <w:sz w:val="18"/>
          <w:szCs w:val="18"/>
          <w:color w:val="auto"/>
        </w:rPr>
        <w:t>. The Company is not, and as a result of the consummation of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the Transaction Documents will not be an “investment company” within the meaning of the Investment Company Act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1940, as amended.</w:t>
      </w:r>
    </w:p>
    <w:p>
      <w:pPr>
        <w:spacing w:after="0" w:line="167" w:lineRule="exact"/>
        <w:rPr>
          <w:sz w:val="20"/>
          <w:szCs w:val="20"/>
          <w:color w:val="auto"/>
        </w:rPr>
      </w:pPr>
    </w:p>
    <w:p>
      <w:pPr>
        <w:ind w:left="1620"/>
        <w:spacing w:after="0"/>
        <w:tabs>
          <w:tab w:leader="none" w:pos="2160" w:val="left"/>
        </w:tabs>
        <w:rPr>
          <w:sz w:val="20"/>
          <w:szCs w:val="20"/>
          <w:color w:val="auto"/>
        </w:rPr>
      </w:pPr>
      <w:r>
        <w:rPr>
          <w:rFonts w:ascii="Arial" w:cs="Arial" w:eastAsia="Arial" w:hAnsi="Arial"/>
          <w:sz w:val="18"/>
          <w:szCs w:val="18"/>
          <w:b w:val="1"/>
          <w:bCs w:val="1"/>
          <w:color w:val="auto"/>
        </w:rPr>
        <w:t>3.27</w:t>
      </w:r>
      <w:r>
        <w:rPr>
          <w:sz w:val="20"/>
          <w:szCs w:val="20"/>
          <w:color w:val="auto"/>
        </w:rPr>
        <w:tab/>
      </w:r>
      <w:r>
        <w:rPr>
          <w:rFonts w:ascii="Arial" w:cs="Arial" w:eastAsia="Arial" w:hAnsi="Arial"/>
          <w:sz w:val="17"/>
          <w:szCs w:val="17"/>
          <w:b w:val="1"/>
          <w:bCs w:val="1"/>
          <w:color w:val="auto"/>
        </w:rPr>
        <w:t>Taxes</w:t>
      </w:r>
      <w:r>
        <w:rPr>
          <w:rFonts w:ascii="Arial" w:cs="Arial" w:eastAsia="Arial" w:hAnsi="Arial"/>
          <w:sz w:val="17"/>
          <w:szCs w:val="17"/>
          <w:color w:val="auto"/>
        </w:rPr>
        <w:t>.</w:t>
      </w:r>
    </w:p>
    <w:p>
      <w:pPr>
        <w:spacing w:after="0" w:line="185" w:lineRule="exact"/>
        <w:rPr>
          <w:sz w:val="20"/>
          <w:szCs w:val="20"/>
          <w:color w:val="auto"/>
        </w:rPr>
      </w:pPr>
    </w:p>
    <w:p>
      <w:pPr>
        <w:jc w:val="both"/>
        <w:ind w:firstLine="2276"/>
        <w:spacing w:after="0" w:line="218" w:lineRule="auto"/>
        <w:tabs>
          <w:tab w:leader="none" w:pos="258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Company and each of its Subsidiaries have filed all federal, state, local and foreign tax returns which have been required to be filed and paid all taxes shown thereon, to the extent that such taxes have become due and are not being contested in good faith, except where the failure to so file or pay would not have a Material Adverse Effect. Except as otherwise disclosed in or contemplated by the Company SEC Reports, no tax deficiency has been determined adversely to the Company or any of its Subsidiaries which has had, or would have, individually or in the aggregate, a Material Adverse Effect. The Company has no Knowledge of any federal, state or other governmental tax deficiency, penalty or assessment which has been or might be asserted or threatened against it which would have a Material Adverse Effect.</w:t>
      </w:r>
    </w:p>
    <w:p>
      <w:pPr>
        <w:spacing w:after="0" w:line="168" w:lineRule="exact"/>
        <w:rPr>
          <w:rFonts w:ascii="Arial" w:cs="Arial" w:eastAsia="Arial" w:hAnsi="Arial"/>
          <w:sz w:val="18"/>
          <w:szCs w:val="18"/>
          <w:b w:val="1"/>
          <w:bCs w:val="1"/>
          <w:color w:val="auto"/>
        </w:rPr>
      </w:pPr>
    </w:p>
    <w:p>
      <w:pPr>
        <w:ind w:firstLine="2276"/>
        <w:spacing w:after="0"/>
        <w:tabs>
          <w:tab w:leader="none" w:pos="259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The Company is not now and has never been a “United States real property holding corporation” as defined in the Code and any applicable Treasury Regulations promulgated thereunder.</w:t>
      </w:r>
    </w:p>
    <w:p>
      <w:pPr>
        <w:spacing w:after="0" w:line="153" w:lineRule="exact"/>
        <w:rPr>
          <w:sz w:val="20"/>
          <w:szCs w:val="20"/>
          <w:color w:val="auto"/>
        </w:rPr>
      </w:pPr>
    </w:p>
    <w:p>
      <w:pPr>
        <w:ind w:left="1620"/>
        <w:spacing w:after="0"/>
        <w:tabs>
          <w:tab w:leader="none" w:pos="2220" w:val="left"/>
        </w:tabs>
        <w:rPr>
          <w:sz w:val="20"/>
          <w:szCs w:val="20"/>
          <w:color w:val="auto"/>
        </w:rPr>
      </w:pPr>
      <w:r>
        <w:rPr>
          <w:rFonts w:ascii="Arial" w:cs="Arial" w:eastAsia="Arial" w:hAnsi="Arial"/>
          <w:sz w:val="18"/>
          <w:szCs w:val="18"/>
          <w:b w:val="1"/>
          <w:bCs w:val="1"/>
          <w:color w:val="auto"/>
        </w:rPr>
        <w:t>3.28</w:t>
        <w:tab/>
        <w:t>ERISA</w:t>
      </w:r>
      <w:r>
        <w:rPr>
          <w:rFonts w:ascii="Arial" w:cs="Arial" w:eastAsia="Arial" w:hAnsi="Arial"/>
          <w:sz w:val="18"/>
          <w:szCs w:val="18"/>
          <w:color w:val="auto"/>
        </w:rPr>
        <w:t>. Except for noncompliance which would not have a Material Adverse Effect, (i) to the Knowledge of the</w:t>
      </w:r>
    </w:p>
    <w:p>
      <w:pPr>
        <w:jc w:val="both"/>
        <w:spacing w:after="0" w:line="208" w:lineRule="auto"/>
        <w:rPr>
          <w:sz w:val="20"/>
          <w:szCs w:val="20"/>
          <w:color w:val="auto"/>
        </w:rPr>
      </w:pPr>
      <w:r>
        <w:rPr>
          <w:rFonts w:ascii="Arial" w:cs="Arial" w:eastAsia="Arial" w:hAnsi="Arial"/>
          <w:sz w:val="18"/>
          <w:szCs w:val="18"/>
          <w:color w:val="auto"/>
        </w:rPr>
        <w:t>Company, each material employee benefit plan, within the meaning of Section 3(3) of the Employee Retirement Income Security Act of 1974, as amended (“</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that is maintained, administered or contributed to by the Company or any of its Subsidiaries for current employees of the Company and any of its Subsidiaries has been maintained in material compliance with its terms and the requirements of any applicable</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statutes, orders, rules and regulations, including but not limited to ERISA and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and (ii) no prohibited transaction, within the meaning of Section 406 of ERISA or Section 4975 of the Code, has occurred which would result in a material liability to the Company with respect to any such plan excluding transactions effected pursuant to a statutory or administrative</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exemption;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such plan determined using reasonable actuarial assumptions.</w:t>
      </w:r>
    </w:p>
    <w:p>
      <w:pPr>
        <w:spacing w:after="0" w:line="167" w:lineRule="exact"/>
        <w:rPr>
          <w:sz w:val="20"/>
          <w:szCs w:val="20"/>
          <w:color w:val="auto"/>
        </w:rPr>
      </w:pPr>
    </w:p>
    <w:p>
      <w:pPr>
        <w:jc w:val="both"/>
        <w:ind w:firstLine="1620"/>
        <w:spacing w:after="0" w:line="221" w:lineRule="auto"/>
        <w:rPr>
          <w:sz w:val="20"/>
          <w:szCs w:val="20"/>
          <w:color w:val="auto"/>
        </w:rPr>
      </w:pPr>
      <w:r>
        <w:rPr>
          <w:rFonts w:ascii="Arial" w:cs="Arial" w:eastAsia="Arial" w:hAnsi="Arial"/>
          <w:sz w:val="18"/>
          <w:szCs w:val="18"/>
          <w:b w:val="1"/>
          <w:bCs w:val="1"/>
          <w:color w:val="auto"/>
        </w:rPr>
        <w:t>3.29 Insurance</w:t>
      </w:r>
      <w:r>
        <w:rPr>
          <w:rFonts w:ascii="Arial" w:cs="Arial" w:eastAsia="Arial" w:hAnsi="Arial"/>
          <w:sz w:val="18"/>
          <w:szCs w:val="18"/>
          <w:color w:val="auto"/>
        </w:rPr>
        <w:t>. The Company and each of its Subsidiaries carry, or are covered by, insurance in such amounts and</w:t>
      </w:r>
      <w:r>
        <w:rPr>
          <w:rFonts w:ascii="Arial" w:cs="Arial" w:eastAsia="Arial" w:hAnsi="Arial"/>
          <w:sz w:val="18"/>
          <w:szCs w:val="18"/>
          <w:b w:val="1"/>
          <w:bCs w:val="1"/>
          <w:color w:val="auto"/>
        </w:rPr>
        <w:t xml:space="preserve"> </w:t>
      </w:r>
      <w:r>
        <w:rPr>
          <w:rFonts w:ascii="Arial" w:cs="Arial" w:eastAsia="Arial" w:hAnsi="Arial"/>
          <w:sz w:val="18"/>
          <w:szCs w:val="18"/>
          <w:color w:val="auto"/>
        </w:rPr>
        <w:t>covering such risks as the Company and each of its Subsidiaries reasonably believe are adequate for the conduct of their business and as 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customary for companies engaged in similar businesses in similar industries.</w:t>
      </w:r>
    </w:p>
    <w:p>
      <w:pPr>
        <w:spacing w:after="0" w:line="153" w:lineRule="exact"/>
        <w:rPr>
          <w:sz w:val="20"/>
          <w:szCs w:val="20"/>
          <w:color w:val="auto"/>
        </w:rPr>
      </w:pPr>
    </w:p>
    <w:p>
      <w:pPr>
        <w:ind w:left="1620"/>
        <w:spacing w:after="0"/>
        <w:tabs>
          <w:tab w:leader="none" w:pos="2200" w:val="left"/>
        </w:tabs>
        <w:rPr>
          <w:sz w:val="20"/>
          <w:szCs w:val="20"/>
          <w:color w:val="auto"/>
        </w:rPr>
      </w:pPr>
      <w:r>
        <w:rPr>
          <w:rFonts w:ascii="Arial" w:cs="Arial" w:eastAsia="Arial" w:hAnsi="Arial"/>
          <w:sz w:val="18"/>
          <w:szCs w:val="18"/>
          <w:b w:val="1"/>
          <w:bCs w:val="1"/>
          <w:color w:val="auto"/>
        </w:rPr>
        <w:t>3.30</w:t>
        <w:tab/>
        <w:t>Private Placement</w:t>
      </w:r>
      <w:r>
        <w:rPr>
          <w:rFonts w:ascii="Arial" w:cs="Arial" w:eastAsia="Arial" w:hAnsi="Arial"/>
          <w:sz w:val="18"/>
          <w:szCs w:val="18"/>
          <w:color w:val="auto"/>
        </w:rPr>
        <w:t>. Assuming the accuracy of the Investor’s representations and warranties set forth in Section</w:t>
      </w:r>
    </w:p>
    <w:p>
      <w:pPr>
        <w:spacing w:after="0" w:line="219" w:lineRule="auto"/>
        <w:rPr>
          <w:sz w:val="20"/>
          <w:szCs w:val="20"/>
          <w:color w:val="auto"/>
        </w:rPr>
      </w:pPr>
      <w:r>
        <w:rPr>
          <w:rFonts w:ascii="Arial" w:cs="Arial" w:eastAsia="Arial" w:hAnsi="Arial"/>
          <w:sz w:val="18"/>
          <w:szCs w:val="18"/>
          <w:color w:val="auto"/>
        </w:rPr>
        <w:t>4, no registration under the Securities Act is required for the offer and sale of the Shares by the Company to the Investor as contemplated</w:t>
      </w:r>
    </w:p>
    <w:p>
      <w:pPr>
        <w:spacing w:after="0"/>
        <w:rPr>
          <w:sz w:val="20"/>
          <w:szCs w:val="20"/>
          <w:color w:val="auto"/>
        </w:rPr>
      </w:pPr>
      <w:r>
        <w:rPr>
          <w:rFonts w:ascii="Arial" w:cs="Arial" w:eastAsia="Arial" w:hAnsi="Arial"/>
          <w:sz w:val="18"/>
          <w:szCs w:val="18"/>
          <w:color w:val="auto"/>
        </w:rPr>
        <w:t>hereby. The issuance and sale of the Shares hereunder does not contravene the rules and regulations of the Trading Market.</w:t>
      </w:r>
    </w:p>
    <w:p>
      <w:pPr>
        <w:spacing w:after="0" w:line="167" w:lineRule="exact"/>
        <w:rPr>
          <w:sz w:val="20"/>
          <w:szCs w:val="20"/>
          <w:color w:val="auto"/>
        </w:rPr>
      </w:pPr>
    </w:p>
    <w:p>
      <w:pPr>
        <w:jc w:val="both"/>
        <w:ind w:firstLine="1620"/>
        <w:spacing w:after="0" w:line="221" w:lineRule="auto"/>
        <w:rPr>
          <w:sz w:val="20"/>
          <w:szCs w:val="20"/>
          <w:color w:val="auto"/>
        </w:rPr>
      </w:pPr>
      <w:r>
        <w:rPr>
          <w:rFonts w:ascii="Arial" w:cs="Arial" w:eastAsia="Arial" w:hAnsi="Arial"/>
          <w:sz w:val="18"/>
          <w:szCs w:val="18"/>
          <w:b w:val="1"/>
          <w:bCs w:val="1"/>
          <w:color w:val="auto"/>
        </w:rPr>
        <w:t>3.31 No Integrated Offering</w:t>
      </w:r>
      <w:r>
        <w:rPr>
          <w:rFonts w:ascii="Arial" w:cs="Arial" w:eastAsia="Arial" w:hAnsi="Arial"/>
          <w:sz w:val="18"/>
          <w:szCs w:val="18"/>
          <w:color w:val="auto"/>
        </w:rPr>
        <w:t>. Assuming the accuracy of the Investor’s representations and warranties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 neither the Company, nor any of its Affiliates, nor any Person acting on its or their behalf has, directly or indirectly, made any offers</w:t>
      </w:r>
    </w:p>
    <w:p>
      <w:pPr>
        <w:spacing w:after="0" w:line="1"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spacing w:after="0" w:line="168" w:lineRule="exact"/>
        <w:rPr>
          <w:sz w:val="20"/>
          <w:szCs w:val="20"/>
          <w:color w:val="auto"/>
        </w:rPr>
      </w:pPr>
    </w:p>
    <w:p>
      <w:pPr>
        <w:jc w:val="both"/>
        <w:ind w:firstLine="1620"/>
        <w:spacing w:after="0" w:line="227" w:lineRule="auto"/>
        <w:rPr>
          <w:sz w:val="20"/>
          <w:szCs w:val="20"/>
          <w:color w:val="auto"/>
        </w:rPr>
      </w:pPr>
      <w:r>
        <w:rPr>
          <w:rFonts w:ascii="Arial" w:cs="Arial" w:eastAsia="Arial" w:hAnsi="Arial"/>
          <w:sz w:val="18"/>
          <w:szCs w:val="18"/>
          <w:b w:val="1"/>
          <w:bCs w:val="1"/>
          <w:color w:val="auto"/>
        </w:rPr>
        <w:t>3.32 No General Solicitation</w:t>
      </w:r>
      <w:r>
        <w:rPr>
          <w:rFonts w:ascii="Arial" w:cs="Arial" w:eastAsia="Arial" w:hAnsi="Arial"/>
          <w:sz w:val="18"/>
          <w:szCs w:val="18"/>
          <w:color w:val="auto"/>
        </w:rPr>
        <w:t>. Neither the Company nor any Person acting on behalf of the Company has offered or</w:t>
      </w:r>
      <w:r>
        <w:rPr>
          <w:rFonts w:ascii="Arial" w:cs="Arial" w:eastAsia="Arial" w:hAnsi="Arial"/>
          <w:sz w:val="18"/>
          <w:szCs w:val="18"/>
          <w:b w:val="1"/>
          <w:bCs w:val="1"/>
          <w:color w:val="auto"/>
        </w:rPr>
        <w:t xml:space="preserve"> </w:t>
      </w:r>
      <w:r>
        <w:rPr>
          <w:rFonts w:ascii="Arial" w:cs="Arial" w:eastAsia="Arial" w:hAnsi="Arial"/>
          <w:sz w:val="18"/>
          <w:szCs w:val="18"/>
          <w:color w:val="auto"/>
        </w:rPr>
        <w:t>sold any of the Shares by any form of general solicitation or general advertising. The Company has offered the Shares for sale only to the Investor and certain other “accredited investors” within the meaning of Rule 501 under the Securities Act.</w:t>
      </w:r>
    </w:p>
    <w:p>
      <w:pPr>
        <w:spacing w:after="0" w:line="169"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the Investor</w:t>
      </w:r>
      <w:r>
        <w:rPr>
          <w:rFonts w:ascii="Arial" w:cs="Arial" w:eastAsia="Arial" w:hAnsi="Arial"/>
          <w:sz w:val="18"/>
          <w:szCs w:val="18"/>
          <w:color w:val="auto"/>
        </w:rPr>
        <w:t>. The Investor hereby represents and warrants to the Company that:</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05" w:lineRule="exact"/>
        <w:rPr>
          <w:rFonts w:ascii="Arial" w:cs="Arial" w:eastAsia="Arial" w:hAnsi="Arial"/>
          <w:sz w:val="18"/>
          <w:szCs w:val="18"/>
          <w:b w:val="1"/>
          <w:bCs w:val="1"/>
          <w:color w:val="auto"/>
        </w:rPr>
      </w:pPr>
    </w:p>
    <w:p>
      <w:pPr>
        <w:ind w:left="5500"/>
        <w:spacing w:after="0"/>
        <w:rPr>
          <w:rFonts w:ascii="Arial" w:cs="Arial" w:eastAsia="Arial" w:hAnsi="Arial"/>
          <w:sz w:val="18"/>
          <w:szCs w:val="18"/>
          <w:b w:val="1"/>
          <w:bCs w:val="1"/>
          <w:color w:val="auto"/>
        </w:rPr>
      </w:pPr>
      <w:r>
        <w:rPr>
          <w:rFonts w:ascii="Arial" w:cs="Arial" w:eastAsia="Arial" w:hAnsi="Arial"/>
          <w:sz w:val="18"/>
          <w:szCs w:val="18"/>
          <w:color w:val="auto"/>
        </w:rPr>
        <w:t>14.</w:t>
      </w:r>
    </w:p>
    <w:p>
      <w:pPr>
        <w:sectPr>
          <w:pgSz w:w="11900" w:h="16838" w:orient="portrait"/>
          <w:cols w:equalWidth="0" w:num="1">
            <w:col w:w="11240"/>
          </w:cols>
          <w:pgMar w:left="320" w:top="1403" w:right="339" w:bottom="1440" w:gutter="0" w:footer="0" w:header="0"/>
        </w:sectPr>
      </w:pPr>
    </w:p>
    <w:bookmarkStart w:id="37" w:name="page38"/>
    <w:bookmarkEnd w:id="37"/>
    <w:p>
      <w:pPr>
        <w:jc w:val="both"/>
        <w:ind w:firstLine="1620"/>
        <w:spacing w:after="0" w:line="221" w:lineRule="auto"/>
        <w:rPr>
          <w:sz w:val="20"/>
          <w:szCs w:val="20"/>
          <w:color w:val="auto"/>
        </w:rPr>
      </w:pPr>
      <w:r>
        <w:rPr>
          <w:rFonts w:ascii="Arial" w:cs="Arial" w:eastAsia="Arial" w:hAnsi="Arial"/>
          <w:sz w:val="18"/>
          <w:szCs w:val="18"/>
          <w:b w:val="1"/>
          <w:bCs w:val="1"/>
          <w:color w:val="auto"/>
        </w:rPr>
        <w:t>4.1 Authorization</w:t>
      </w:r>
      <w:r>
        <w:rPr>
          <w:rFonts w:ascii="Arial" w:cs="Arial" w:eastAsia="Arial" w:hAnsi="Arial"/>
          <w:sz w:val="18"/>
          <w:szCs w:val="18"/>
          <w:color w:val="auto"/>
        </w:rPr>
        <w:t>. The Investor has full power and authority to enter into this Agreement. This Agreement, when</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and delivered by the Investor, will constitute a valid and legally binding obligation of the Investor, enforceable in accordance with</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their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w:t>
      </w:r>
    </w:p>
    <w:p>
      <w:pPr>
        <w:spacing w:after="0" w:line="166" w:lineRule="exact"/>
        <w:rPr>
          <w:sz w:val="20"/>
          <w:szCs w:val="20"/>
          <w:color w:val="auto"/>
        </w:rPr>
      </w:pPr>
    </w:p>
    <w:p>
      <w:pPr>
        <w:jc w:val="both"/>
        <w:ind w:firstLine="1620"/>
        <w:spacing w:after="0" w:line="215" w:lineRule="auto"/>
        <w:rPr>
          <w:sz w:val="20"/>
          <w:szCs w:val="20"/>
          <w:color w:val="auto"/>
        </w:rPr>
      </w:pPr>
      <w:r>
        <w:rPr>
          <w:rFonts w:ascii="Arial" w:cs="Arial" w:eastAsia="Arial" w:hAnsi="Arial"/>
          <w:sz w:val="18"/>
          <w:szCs w:val="18"/>
          <w:b w:val="1"/>
          <w:bCs w:val="1"/>
          <w:color w:val="auto"/>
        </w:rPr>
        <w:t>4.2 Purchase Entirely for Own Account</w:t>
      </w:r>
      <w:r>
        <w:rPr>
          <w:rFonts w:ascii="Arial" w:cs="Arial" w:eastAsia="Arial" w:hAnsi="Arial"/>
          <w:sz w:val="18"/>
          <w:szCs w:val="18"/>
          <w:color w:val="auto"/>
        </w:rPr>
        <w:t>. The Company is entering into this Agreement with the Investor in reliance</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Investor’s representation to the Company, which by the Investor’s execution of this Agreement, the Investor hereby confirms that the Shares to be acquired by such Investor will be acquired for investment for the Investor’s own account, not as a nominee or agent, and not</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with a view to the resale or distribution of any part thereof, and that the Investor has no present intention of selling, granting any participation in, or otherwise distributing the same. By executing this Agreement, the Investor further represents that the Investor does not presently have any contract, undertaking, agreement or arrangement with any Person to sell, transfer or grant participations to such Person or to any third</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Person, with respect to any of the Shares. The Investor has not been formed for the specific purpose of acquiring the Shares. The Investor will not, directly or indirectly, offer, sell, pledge, transfer or otherwise dispose of (or solicit any offers to buy, purchase or otherwise acquire or take a pledge of) any of the Securities except pursuant to and in accordance with the Securities Act. Other than consummating the</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transactions contemplated hereunder, the Investor has not, nor has any Person acting on behalf of or pursuant to any understanding with the Investor, directly or indirectly executed any purchases or sales, including Short Sales, of the securities of the Company during the period commencing as of the time that the Investor was first contacted by the Company or any other Person representing the Company regarding</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the transactions contemplated hereunder and ending immediately prior to the execution hereof. In addition, each share of Series A Preferred Stock shall bear a legend in substantially the following form:</w:t>
      </w:r>
    </w:p>
    <w:p>
      <w:pPr>
        <w:spacing w:after="0" w:line="15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ACCEPTANCE HEREOF, THE HOLDER SHALL BE DEEMED TO HAVE AGREED WITH THE CORPORATION THAT, FOR SO</w:t>
      </w:r>
    </w:p>
    <w:p>
      <w:pPr>
        <w:jc w:val="both"/>
        <w:spacing w:after="0" w:line="229" w:lineRule="auto"/>
        <w:rPr>
          <w:sz w:val="20"/>
          <w:szCs w:val="20"/>
          <w:color w:val="auto"/>
        </w:rPr>
      </w:pPr>
      <w:r>
        <w:rPr>
          <w:rFonts w:ascii="Arial" w:cs="Arial" w:eastAsia="Arial" w:hAnsi="Arial"/>
          <w:sz w:val="18"/>
          <w:szCs w:val="18"/>
          <w:color w:val="auto"/>
        </w:rPr>
        <w:t>LONG AS THE HOLDER HOLDS THIS SECURITY, THE HOLDER SHALL NOT, AND SHALL CAUSE ITS AFFILIATES NOT TO, DIRECTLY OR INDIRECTLY ENGAGE IN ANY SHORT SALE OF THE COMMON STOCK OF THE CORPORATION.”</w:t>
      </w:r>
    </w:p>
    <w:p>
      <w:pPr>
        <w:spacing w:after="0" w:line="154" w:lineRule="exact"/>
        <w:rPr>
          <w:sz w:val="20"/>
          <w:szCs w:val="20"/>
          <w:color w:val="auto"/>
        </w:rPr>
      </w:pPr>
    </w:p>
    <w:p>
      <w:pPr>
        <w:ind w:left="1620"/>
        <w:spacing w:after="0"/>
        <w:tabs>
          <w:tab w:leader="none" w:pos="2060" w:val="left"/>
        </w:tabs>
        <w:rPr>
          <w:sz w:val="20"/>
          <w:szCs w:val="20"/>
          <w:color w:val="auto"/>
        </w:rPr>
      </w:pPr>
      <w:r>
        <w:rPr>
          <w:rFonts w:ascii="Arial" w:cs="Arial" w:eastAsia="Arial" w:hAnsi="Arial"/>
          <w:sz w:val="18"/>
          <w:szCs w:val="18"/>
          <w:b w:val="1"/>
          <w:bCs w:val="1"/>
          <w:color w:val="auto"/>
        </w:rPr>
        <w:t>4.3</w:t>
        <w:tab/>
        <w:t>Disclosure of Information</w:t>
      </w:r>
      <w:r>
        <w:rPr>
          <w:rFonts w:ascii="Arial" w:cs="Arial" w:eastAsia="Arial" w:hAnsi="Arial"/>
          <w:sz w:val="18"/>
          <w:szCs w:val="18"/>
          <w:color w:val="auto"/>
        </w:rPr>
        <w:t>. The Investor has had access to all of the Company’s SEC filings that the Investor has</w:t>
      </w:r>
    </w:p>
    <w:p>
      <w:pPr>
        <w:jc w:val="both"/>
        <w:spacing w:after="0" w:line="221" w:lineRule="auto"/>
        <w:rPr>
          <w:sz w:val="20"/>
          <w:szCs w:val="20"/>
          <w:color w:val="auto"/>
        </w:rPr>
      </w:pPr>
      <w:r>
        <w:rPr>
          <w:rFonts w:ascii="Arial" w:cs="Arial" w:eastAsia="Arial" w:hAnsi="Arial"/>
          <w:sz w:val="18"/>
          <w:szCs w:val="18"/>
          <w:color w:val="auto"/>
        </w:rPr>
        <w:t>requested. The Investor has had an opportunity to discuss the Company’s business, management, financial affairs and the terms and conditions of the offering of the Shares with the Company’s management. The foregoing, however, does not limit or modify the representations and warranties of the Company in Section 3 of this Agreement, or the right of the Investor to rely thereon.</w:t>
      </w:r>
    </w:p>
    <w:p>
      <w:pPr>
        <w:spacing w:after="0" w:line="166" w:lineRule="exact"/>
        <w:rPr>
          <w:sz w:val="20"/>
          <w:szCs w:val="20"/>
          <w:color w:val="auto"/>
        </w:rPr>
      </w:pPr>
    </w:p>
    <w:p>
      <w:pPr>
        <w:jc w:val="both"/>
        <w:ind w:firstLine="1620"/>
        <w:spacing w:after="0" w:line="215" w:lineRule="auto"/>
        <w:rPr>
          <w:sz w:val="20"/>
          <w:szCs w:val="20"/>
          <w:color w:val="auto"/>
        </w:rPr>
      </w:pPr>
      <w:r>
        <w:rPr>
          <w:rFonts w:ascii="Arial" w:cs="Arial" w:eastAsia="Arial" w:hAnsi="Arial"/>
          <w:sz w:val="18"/>
          <w:szCs w:val="18"/>
          <w:b w:val="1"/>
          <w:bCs w:val="1"/>
          <w:color w:val="auto"/>
        </w:rPr>
        <w:t>4.4 Restricted Securities</w:t>
      </w:r>
      <w:r>
        <w:rPr>
          <w:rFonts w:ascii="Arial" w:cs="Arial" w:eastAsia="Arial" w:hAnsi="Arial"/>
          <w:sz w:val="18"/>
          <w:szCs w:val="18"/>
          <w:color w:val="auto"/>
        </w:rPr>
        <w:t>. The Investor understands that the Shares and Underlying Shares (collectively,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have not been registered under the Securities Act, by reason of a specific exemption from the registration provisions of the Securities Act which depends upon, among other things, the bona fide nature of the investment intent and the accuracy of the Investor’s</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representations as expressed herein. The Investor understands that the Securities are “restricted securities” under applicable U.S. federal and state securities laws and that, pursuant to these laws, the Investor must hold the Securities indefinitely unless they are registered with the SEC and qualified by state authorities, or an exemption from such registration and qualification requirements is available. The Investor</w:t>
      </w:r>
    </w:p>
    <w:p>
      <w:pPr>
        <w:spacing w:after="0" w:line="2"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acknowledges that if an exemption from registration or qualification is available, it may be conditioned on various requirements including, but not limited to, Section 6 of this Agreement, the time and manner of sale, the holding period for the Securities, and on requirements relating to the Company which are outside of the Investor’s control, and which the Company is not under an obligation, and may not be able, to satisfy. The Investor understands that Rule 144(i) will apply to the Securities. The Investor understands that the Securities will bear the legend as</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required in Section 6(b) and any legend required by the securities laws of any state to the extent such laws are applicable to the Securities. The Investor further understands that the Certificate of Designations contains certain restrictions on transfer of the Shares. The Investor understands that it has been advised to consult legal, tax and accounting counsel prior to making any offer, resale, transfer, pledge or other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disposition of any of the Securities.</w:t>
      </w:r>
    </w:p>
    <w:p>
      <w:pPr>
        <w:spacing w:after="0" w:line="167" w:lineRule="exact"/>
        <w:rPr>
          <w:sz w:val="20"/>
          <w:szCs w:val="20"/>
          <w:color w:val="auto"/>
        </w:rPr>
      </w:pPr>
    </w:p>
    <w:p>
      <w:pPr>
        <w:jc w:val="both"/>
        <w:ind w:firstLine="1620"/>
        <w:spacing w:after="0" w:line="221" w:lineRule="auto"/>
        <w:rPr>
          <w:sz w:val="20"/>
          <w:szCs w:val="20"/>
          <w:color w:val="auto"/>
        </w:rPr>
      </w:pPr>
      <w:r>
        <w:rPr>
          <w:rFonts w:ascii="Arial" w:cs="Arial" w:eastAsia="Arial" w:hAnsi="Arial"/>
          <w:sz w:val="18"/>
          <w:szCs w:val="18"/>
          <w:b w:val="1"/>
          <w:bCs w:val="1"/>
          <w:color w:val="auto"/>
        </w:rPr>
        <w:t>4.5 Investor Status</w:t>
      </w:r>
      <w:r>
        <w:rPr>
          <w:rFonts w:ascii="Arial" w:cs="Arial" w:eastAsia="Arial" w:hAnsi="Arial"/>
          <w:sz w:val="18"/>
          <w:szCs w:val="18"/>
          <w:color w:val="auto"/>
        </w:rPr>
        <w:t>. The Investor (i) is a “qualified institutional buyer” (as defined in Rule 144A under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Act) or an “accredited investor” (within the meaning of Rule 501(a) under the Securities Act), in each case, satisfying the applicable</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requirements set forth on Schedule 2. The Investor acted alone in its determination as to whether to invest in the Shares. The Investor, either alone or together with its representatives, has such knowledge, sophistication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03" w:right="339" w:bottom="1440" w:gutter="0" w:footer="0" w:header="0"/>
        </w:sectPr>
      </w:pPr>
    </w:p>
    <w:bookmarkStart w:id="38" w:name="page39"/>
    <w:bookmarkEnd w:id="38"/>
    <w:p>
      <w:pPr>
        <w:jc w:val="both"/>
        <w:spacing w:after="0" w:line="221" w:lineRule="auto"/>
        <w:rPr>
          <w:sz w:val="20"/>
          <w:szCs w:val="20"/>
          <w:color w:val="auto"/>
        </w:rPr>
      </w:pPr>
      <w:r>
        <w:rPr>
          <w:rFonts w:ascii="Arial" w:cs="Arial" w:eastAsia="Arial" w:hAnsi="Arial"/>
          <w:sz w:val="18"/>
          <w:szCs w:val="18"/>
          <w:color w:val="auto"/>
        </w:rPr>
        <w:t>experience in business and financial matters so as to be capable of evaluating the merits and risks of the prospective investment in the Securities, and has so evaluated the merits and risks of such investment after exercising independent judgment. The Investor acknowledges</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that a possibility of total loss of investment exists, is able to bear the economic risk of an investment in the Securities and, at the present time, is able to afford a complete loss of such investment. No broker, finder or other financial consultant has acted on behalf of the Investor in connection with this Agreement or the transactions contemplated hereby in such a way as to create any liability on the Company. The</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Investor is not an entity formed for the specific purpose of acquiring the Securities unless such entity is an accredited investor within the meaning of Rule 501(a)(8) under the Securities Act and all of the equity owners in such entity are accredited investors.</w:t>
      </w:r>
    </w:p>
    <w:p>
      <w:pPr>
        <w:spacing w:after="0" w:line="154" w:lineRule="exact"/>
        <w:rPr>
          <w:sz w:val="20"/>
          <w:szCs w:val="20"/>
          <w:color w:val="auto"/>
        </w:rPr>
      </w:pPr>
    </w:p>
    <w:p>
      <w:pPr>
        <w:ind w:left="1620"/>
        <w:spacing w:after="0"/>
        <w:tabs>
          <w:tab w:leader="none" w:pos="218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8"/>
          <w:szCs w:val="18"/>
          <w:b w:val="1"/>
          <w:bCs w:val="1"/>
          <w:color w:val="auto"/>
        </w:rPr>
        <w:t xml:space="preserve">Foreign Person. </w:t>
      </w:r>
      <w:r>
        <w:rPr>
          <w:rFonts w:ascii="Arial" w:cs="Arial" w:eastAsia="Arial" w:hAnsi="Arial"/>
          <w:sz w:val="18"/>
          <w:szCs w:val="18"/>
          <w:color w:val="auto"/>
        </w:rPr>
        <w:t>The Investor is not a foreign person as defined under the Foreign Investment Risk Review</w:t>
      </w:r>
    </w:p>
    <w:p>
      <w:pPr>
        <w:spacing w:after="0" w:line="203" w:lineRule="auto"/>
        <w:rPr>
          <w:sz w:val="20"/>
          <w:szCs w:val="20"/>
          <w:color w:val="auto"/>
        </w:rPr>
      </w:pPr>
      <w:r>
        <w:rPr>
          <w:rFonts w:ascii="Arial" w:cs="Arial" w:eastAsia="Arial" w:hAnsi="Arial"/>
          <w:sz w:val="18"/>
          <w:szCs w:val="18"/>
          <w:color w:val="auto"/>
        </w:rPr>
        <w:t>Modernization Act of 2018 (FIRRMA) and implementing regulations, 31 CFR part 800 et seq. No foreign person (as defined in 31 C.F.R. Part</w:t>
      </w:r>
    </w:p>
    <w:p>
      <w:pPr>
        <w:spacing w:after="0" w:line="204" w:lineRule="auto"/>
        <w:rPr>
          <w:sz w:val="20"/>
          <w:szCs w:val="20"/>
          <w:color w:val="auto"/>
        </w:rPr>
      </w:pPr>
      <w:r>
        <w:rPr>
          <w:rFonts w:ascii="Arial" w:cs="Arial" w:eastAsia="Arial" w:hAnsi="Arial"/>
          <w:sz w:val="18"/>
          <w:szCs w:val="18"/>
          <w:color w:val="auto"/>
        </w:rPr>
        <w:t>800.224) in which the national or subnational governments of a single foreign state have a substantial interest (as defined in 31 C.F.R. Part</w:t>
      </w:r>
    </w:p>
    <w:p>
      <w:pPr>
        <w:spacing w:after="0" w:line="219" w:lineRule="auto"/>
        <w:rPr>
          <w:sz w:val="20"/>
          <w:szCs w:val="20"/>
          <w:color w:val="auto"/>
        </w:rPr>
      </w:pPr>
      <w:r>
        <w:rPr>
          <w:rFonts w:ascii="Arial" w:cs="Arial" w:eastAsia="Arial" w:hAnsi="Arial"/>
          <w:sz w:val="18"/>
          <w:szCs w:val="18"/>
          <w:color w:val="auto"/>
        </w:rPr>
        <w:t>800.244) will acquire a substantial interest in the Company as a result of the purchase by the Investor and sale of the Shares hereunder such</w:t>
      </w:r>
    </w:p>
    <w:p>
      <w:pPr>
        <w:jc w:val="both"/>
        <w:spacing w:after="0" w:line="221" w:lineRule="auto"/>
        <w:rPr>
          <w:sz w:val="20"/>
          <w:szCs w:val="20"/>
          <w:color w:val="auto"/>
        </w:rPr>
      </w:pPr>
      <w:r>
        <w:rPr>
          <w:rFonts w:ascii="Arial" w:cs="Arial" w:eastAsia="Arial" w:hAnsi="Arial"/>
          <w:sz w:val="18"/>
          <w:szCs w:val="18"/>
          <w:color w:val="auto"/>
        </w:rPr>
        <w:t>that a declaration to the Committee on Foreign Investment in the United States would be mandatory under 31 C.F.R. Part 800.401, and no foreign person will have control (as defined in 31 C.F.R. Part 800.208) over the Company from and after the Closing as a result of the purchase by the Investor and sale of the Shares hereunder.</w:t>
      </w:r>
    </w:p>
    <w:p>
      <w:pPr>
        <w:spacing w:after="0" w:line="166" w:lineRule="exact"/>
        <w:rPr>
          <w:sz w:val="20"/>
          <w:szCs w:val="20"/>
          <w:color w:val="auto"/>
        </w:rPr>
      </w:pPr>
    </w:p>
    <w:p>
      <w:pPr>
        <w:jc w:val="both"/>
        <w:ind w:firstLine="1620"/>
        <w:spacing w:after="0" w:line="215" w:lineRule="auto"/>
        <w:rPr>
          <w:sz w:val="20"/>
          <w:szCs w:val="20"/>
          <w:color w:val="auto"/>
        </w:rPr>
      </w:pPr>
      <w:r>
        <w:rPr>
          <w:rFonts w:ascii="Arial" w:cs="Arial" w:eastAsia="Arial" w:hAnsi="Arial"/>
          <w:sz w:val="18"/>
          <w:szCs w:val="18"/>
          <w:b w:val="1"/>
          <w:bCs w:val="1"/>
          <w:color w:val="auto"/>
        </w:rPr>
        <w:t>4.7 No General Solicitation</w:t>
      </w:r>
      <w:r>
        <w:rPr>
          <w:rFonts w:ascii="Arial" w:cs="Arial" w:eastAsia="Arial" w:hAnsi="Arial"/>
          <w:sz w:val="18"/>
          <w:szCs w:val="18"/>
          <w:color w:val="auto"/>
        </w:rPr>
        <w:t>. Neither the Investor, nor any of its officers, directors, employees, agents, stockholders or</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has either directly or indirectly, including, through a broker or finder (a) engaged in any general solicitation, or (b) published any advertisement in connection with the offer and sale of the Shares. The Investor became aware of this offering of the Shares solely (a) by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means of direct contact from the Company a representative of the Company, or (b) directly from the Company as a result of a pre-existing, substantial relationship with the Company, and the Shares were offered to the Investor solely by direct contact between the Investor and the Company. The Investor did not become aware of this offering of the Shares, nor were the Shares offered to the Investor, by any other means.</w:t>
      </w:r>
    </w:p>
    <w:p>
      <w:pPr>
        <w:spacing w:after="0" w:line="166" w:lineRule="exact"/>
        <w:rPr>
          <w:sz w:val="20"/>
          <w:szCs w:val="20"/>
          <w:color w:val="auto"/>
        </w:rPr>
      </w:pPr>
    </w:p>
    <w:p>
      <w:pPr>
        <w:jc w:val="both"/>
        <w:ind w:firstLine="1620"/>
        <w:spacing w:after="0" w:line="215" w:lineRule="auto"/>
        <w:rPr>
          <w:sz w:val="20"/>
          <w:szCs w:val="20"/>
          <w:color w:val="auto"/>
        </w:rPr>
      </w:pPr>
      <w:r>
        <w:rPr>
          <w:rFonts w:ascii="Arial" w:cs="Arial" w:eastAsia="Arial" w:hAnsi="Arial"/>
          <w:sz w:val="18"/>
          <w:szCs w:val="18"/>
          <w:b w:val="1"/>
          <w:bCs w:val="1"/>
          <w:color w:val="auto"/>
        </w:rPr>
        <w:t>4.8 Exculpation</w:t>
      </w:r>
      <w:r>
        <w:rPr>
          <w:rFonts w:ascii="Arial" w:cs="Arial" w:eastAsia="Arial" w:hAnsi="Arial"/>
          <w:sz w:val="18"/>
          <w:szCs w:val="18"/>
          <w:color w:val="auto"/>
        </w:rPr>
        <w:t>. The Investor understands and agrees that it is purchasing the Shares directly from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The Investor further acknowledges that there have been no representations, warranties, covenants and agreements made to the Investor by the Company or any of its officers or directors, expressly or by implication, other than those representations, warranties, covenants and</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agreements included in this Agreement, and the Investor is not relying on any representations, warranties or covenants other than those expressly set forth in this Agreement. The Investor understands and agrees that no federal or state agency has passed upon or endorsed the merits of the offering of the Shares or made any findings or determination as to the fairness of this investment.</w:t>
      </w:r>
    </w:p>
    <w:p>
      <w:pPr>
        <w:spacing w:after="0" w:line="166" w:lineRule="exact"/>
        <w:rPr>
          <w:sz w:val="20"/>
          <w:szCs w:val="20"/>
          <w:color w:val="auto"/>
        </w:rPr>
      </w:pPr>
    </w:p>
    <w:p>
      <w:pPr>
        <w:jc w:val="both"/>
        <w:ind w:firstLine="1620"/>
        <w:spacing w:after="0" w:line="215" w:lineRule="auto"/>
        <w:rPr>
          <w:sz w:val="20"/>
          <w:szCs w:val="20"/>
          <w:color w:val="auto"/>
        </w:rPr>
      </w:pPr>
      <w:r>
        <w:rPr>
          <w:rFonts w:ascii="Arial" w:cs="Arial" w:eastAsia="Arial" w:hAnsi="Arial"/>
          <w:sz w:val="18"/>
          <w:szCs w:val="18"/>
          <w:b w:val="1"/>
          <w:bCs w:val="1"/>
          <w:color w:val="auto"/>
        </w:rPr>
        <w:t>4.9 Compliance</w:t>
      </w:r>
      <w:r>
        <w:rPr>
          <w:rFonts w:ascii="Arial" w:cs="Arial" w:eastAsia="Arial" w:hAnsi="Arial"/>
          <w:sz w:val="18"/>
          <w:szCs w:val="18"/>
          <w:color w:val="auto"/>
        </w:rPr>
        <w:t>. The Investor represents and warrants that it is not (i) a person or entity named on the List of</w:t>
      </w:r>
      <w:r>
        <w:rPr>
          <w:rFonts w:ascii="Arial" w:cs="Arial" w:eastAsia="Arial" w:hAnsi="Arial"/>
          <w:sz w:val="18"/>
          <w:szCs w:val="18"/>
          <w:b w:val="1"/>
          <w:bCs w:val="1"/>
          <w:color w:val="auto"/>
        </w:rPr>
        <w:t xml:space="preserve"> </w:t>
      </w:r>
      <w:r>
        <w:rPr>
          <w:rFonts w:ascii="Arial" w:cs="Arial" w:eastAsia="Arial" w:hAnsi="Arial"/>
          <w:sz w:val="18"/>
          <w:szCs w:val="18"/>
          <w:color w:val="auto"/>
        </w:rPr>
        <w:t>Specially Designated Nationals and Blocked Persons, the Executive Order 13599 List, the Foreign Sanctions Evaders List, or the Sectoral Sanctions Identification List, each of which is administered by OFAC or in any Executive Order issued by the President of the United States</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and administered by OFAC (“</w:t>
      </w:r>
      <w:r>
        <w:rPr>
          <w:rFonts w:ascii="Arial" w:cs="Arial" w:eastAsia="Arial" w:hAnsi="Arial"/>
          <w:sz w:val="18"/>
          <w:szCs w:val="18"/>
          <w:b w:val="1"/>
          <w:bCs w:val="1"/>
          <w:i w:val="1"/>
          <w:iCs w:val="1"/>
          <w:color w:val="auto"/>
        </w:rPr>
        <w:t>OFAC List</w:t>
      </w:r>
      <w:r>
        <w:rPr>
          <w:rFonts w:ascii="Arial" w:cs="Arial" w:eastAsia="Arial" w:hAnsi="Arial"/>
          <w:sz w:val="18"/>
          <w:szCs w:val="18"/>
          <w:color w:val="auto"/>
        </w:rPr>
        <w:t>”), or a person or entity prohibited by any OFAC sanctions program, (ii) owned or controlled by, or acting on behalf of, a person, that is named on an OFAC List; (iii) organized, incorporated, established, located, resident or born in, or a citizen, national, or the government, including any political subdivision, agency, or instrumentality thereof, of any country or territory</w:t>
      </w:r>
    </w:p>
    <w:p>
      <w:pPr>
        <w:spacing w:after="0" w:line="2"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embargoed or subject to substantial trade restrictions by the United States; (iv) a Designated National as defined in the Cuban Assets Control Regulations, 31 C.F.R. Part 515, or (v) a non-U.S. shell bank or providing banking services indirectly to a non-U.S. shell bank (collectively, a “</w:t>
      </w:r>
      <w:r>
        <w:rPr>
          <w:rFonts w:ascii="Arial" w:cs="Arial" w:eastAsia="Arial" w:hAnsi="Arial"/>
          <w:sz w:val="17"/>
          <w:szCs w:val="17"/>
          <w:b w:val="1"/>
          <w:bCs w:val="1"/>
          <w:i w:val="1"/>
          <w:iCs w:val="1"/>
          <w:color w:val="auto"/>
        </w:rPr>
        <w:t>Prohibited Investor</w:t>
      </w:r>
      <w:r>
        <w:rPr>
          <w:rFonts w:ascii="Arial" w:cs="Arial" w:eastAsia="Arial" w:hAnsi="Arial"/>
          <w:sz w:val="17"/>
          <w:szCs w:val="17"/>
          <w:color w:val="auto"/>
        </w:rPr>
        <w:t>”). The Investor agrees to provide law enforcement agencies, if requested thereby, such records as required by applicable law, provided that the Investor is permitted to do so under applicable law. The Investor represents that if it is a financial</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institution subject to the Bank Secrecy Act (31 U.S.C. Section 5311 et seq.) (the “</w:t>
      </w:r>
      <w:r>
        <w:rPr>
          <w:rFonts w:ascii="Arial" w:cs="Arial" w:eastAsia="Arial" w:hAnsi="Arial"/>
          <w:sz w:val="18"/>
          <w:szCs w:val="18"/>
          <w:b w:val="1"/>
          <w:bCs w:val="1"/>
          <w:i w:val="1"/>
          <w:iCs w:val="1"/>
          <w:color w:val="auto"/>
        </w:rPr>
        <w:t>BSA</w:t>
      </w:r>
      <w:r>
        <w:rPr>
          <w:rFonts w:ascii="Arial" w:cs="Arial" w:eastAsia="Arial" w:hAnsi="Arial"/>
          <w:sz w:val="18"/>
          <w:szCs w:val="18"/>
          <w:color w:val="auto"/>
        </w:rPr>
        <w:t>”), as amended by the USA PATRIOT Act of 2001 (the “</w:t>
      </w:r>
      <w:r>
        <w:rPr>
          <w:rFonts w:ascii="Arial" w:cs="Arial" w:eastAsia="Arial" w:hAnsi="Arial"/>
          <w:sz w:val="18"/>
          <w:szCs w:val="18"/>
          <w:b w:val="1"/>
          <w:bCs w:val="1"/>
          <w:i w:val="1"/>
          <w:iCs w:val="1"/>
          <w:color w:val="auto"/>
        </w:rPr>
        <w:t>PATRIOT Act</w:t>
      </w:r>
      <w:r>
        <w:rPr>
          <w:rFonts w:ascii="Arial" w:cs="Arial" w:eastAsia="Arial" w:hAnsi="Arial"/>
          <w:sz w:val="18"/>
          <w:szCs w:val="18"/>
          <w:color w:val="auto"/>
        </w:rPr>
        <w:t>”), and its implementing regulations (collectively, the “</w:t>
      </w:r>
      <w:r>
        <w:rPr>
          <w:rFonts w:ascii="Arial" w:cs="Arial" w:eastAsia="Arial" w:hAnsi="Arial"/>
          <w:sz w:val="18"/>
          <w:szCs w:val="18"/>
          <w:b w:val="1"/>
          <w:bCs w:val="1"/>
          <w:i w:val="1"/>
          <w:iCs w:val="1"/>
          <w:color w:val="auto"/>
        </w:rPr>
        <w:t>BSA/PATRIOT Act</w:t>
      </w:r>
      <w:r>
        <w:rPr>
          <w:rFonts w:ascii="Arial" w:cs="Arial" w:eastAsia="Arial" w:hAnsi="Arial"/>
          <w:sz w:val="18"/>
          <w:szCs w:val="18"/>
          <w:color w:val="auto"/>
        </w:rPr>
        <w:t>”), that the Investor, directly or indirectly through a third party administrator, maintains policies and procedures reasonably designed to comply with applicable obligations under the</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BSA/PATRIOT Act. The Investor also represents that, to the extent required by applicable law or regulation, it, directly or indirectly through a third party administrator, maintains policies and procedures reasonably designed for the screening of its investors against the OFAC sanctions programs, including the OFAC List, and to otherwise ensure compliance with OFAC-administered sanctions programs. The</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Investor further represents and warrants that, to the extent required by applicable law or regulation, it, directly or indirectly through a third-party administrator, maintains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0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and procedures reasonably designed to ensure that the funds held by the Investor and used to purchase the Shares were legally derived.</w:t>
      </w:r>
    </w:p>
    <w:p>
      <w:pPr>
        <w:spacing w:after="0" w:line="185" w:lineRule="exact"/>
        <w:rPr>
          <w:sz w:val="20"/>
          <w:szCs w:val="20"/>
          <w:color w:val="auto"/>
        </w:rPr>
      </w:pPr>
    </w:p>
    <w:p>
      <w:pPr>
        <w:ind w:left="1620"/>
        <w:spacing w:after="0"/>
        <w:tabs>
          <w:tab w:leader="none" w:pos="2200" w:val="left"/>
        </w:tabs>
        <w:rPr>
          <w:sz w:val="20"/>
          <w:szCs w:val="20"/>
          <w:color w:val="auto"/>
        </w:rPr>
      </w:pPr>
      <w:r>
        <w:rPr>
          <w:rFonts w:ascii="Arial" w:cs="Arial" w:eastAsia="Arial" w:hAnsi="Arial"/>
          <w:sz w:val="18"/>
          <w:szCs w:val="18"/>
          <w:b w:val="1"/>
          <w:bCs w:val="1"/>
          <w:color w:val="auto"/>
        </w:rPr>
        <w:t>4.10</w:t>
        <w:tab/>
        <w:t>Benefit Plan</w:t>
      </w:r>
      <w:r>
        <w:rPr>
          <w:rFonts w:ascii="Arial" w:cs="Arial" w:eastAsia="Arial" w:hAnsi="Arial"/>
          <w:sz w:val="18"/>
          <w:szCs w:val="18"/>
          <w:color w:val="auto"/>
        </w:rPr>
        <w:t>. The Investor represents and warrants that (i) it is not a Benefit Plan Investor as contemplated by</w:t>
      </w:r>
    </w:p>
    <w:p>
      <w:pPr>
        <w:jc w:val="both"/>
        <w:spacing w:after="0" w:line="229" w:lineRule="auto"/>
        <w:rPr>
          <w:sz w:val="20"/>
          <w:szCs w:val="20"/>
          <w:color w:val="auto"/>
        </w:rPr>
      </w:pPr>
      <w:r>
        <w:rPr>
          <w:rFonts w:ascii="Arial" w:cs="Arial" w:eastAsia="Arial" w:hAnsi="Arial"/>
          <w:sz w:val="18"/>
          <w:szCs w:val="18"/>
          <w:color w:val="auto"/>
        </w:rPr>
        <w:t>ERISA, or (ii) its acquisition and holding of the Securities will not constitute or result in a non-exempt prohibited transaction under Section 406 of ERISA, Section 4975 of the Code, or any applicable similar law, to the extent such laws are applicable to the Investor.</w:t>
      </w:r>
    </w:p>
    <w:p>
      <w:pPr>
        <w:spacing w:after="0" w:line="154" w:lineRule="exact"/>
        <w:rPr>
          <w:sz w:val="20"/>
          <w:szCs w:val="20"/>
          <w:color w:val="auto"/>
        </w:rPr>
      </w:pPr>
    </w:p>
    <w:p>
      <w:pPr>
        <w:ind w:left="1620"/>
        <w:spacing w:after="0"/>
        <w:tabs>
          <w:tab w:leader="none" w:pos="2200" w:val="left"/>
        </w:tabs>
        <w:rPr>
          <w:sz w:val="20"/>
          <w:szCs w:val="20"/>
          <w:color w:val="auto"/>
        </w:rPr>
      </w:pPr>
      <w:r>
        <w:rPr>
          <w:rFonts w:ascii="Arial" w:cs="Arial" w:eastAsia="Arial" w:hAnsi="Arial"/>
          <w:sz w:val="18"/>
          <w:szCs w:val="18"/>
          <w:b w:val="1"/>
          <w:bCs w:val="1"/>
          <w:color w:val="auto"/>
        </w:rPr>
        <w:t>4.11</w:t>
        <w:tab/>
        <w:t>Disqualified Investor</w:t>
      </w:r>
      <w:r>
        <w:rPr>
          <w:rFonts w:ascii="Arial" w:cs="Arial" w:eastAsia="Arial" w:hAnsi="Arial"/>
          <w:sz w:val="18"/>
          <w:szCs w:val="18"/>
          <w:color w:val="auto"/>
        </w:rPr>
        <w:t>. To the extent the Investor is one of the covered persons identified in Rule 506(d)(1), the</w:t>
      </w:r>
    </w:p>
    <w:p>
      <w:pPr>
        <w:jc w:val="both"/>
        <w:spacing w:after="0" w:line="208" w:lineRule="auto"/>
        <w:rPr>
          <w:sz w:val="20"/>
          <w:szCs w:val="20"/>
          <w:color w:val="auto"/>
        </w:rPr>
      </w:pPr>
      <w:r>
        <w:rPr>
          <w:rFonts w:ascii="Arial" w:cs="Arial" w:eastAsia="Arial" w:hAnsi="Arial"/>
          <w:sz w:val="18"/>
          <w:szCs w:val="18"/>
          <w:color w:val="auto"/>
        </w:rPr>
        <w:t>Investor represents that no disqualifying event described in Rule 506(d)(1)(i)-(viii) under the Securities Act (a “</w:t>
      </w:r>
      <w:r>
        <w:rPr>
          <w:rFonts w:ascii="Arial" w:cs="Arial" w:eastAsia="Arial" w:hAnsi="Arial"/>
          <w:sz w:val="18"/>
          <w:szCs w:val="18"/>
          <w:b w:val="1"/>
          <w:bCs w:val="1"/>
          <w:i w:val="1"/>
          <w:iCs w:val="1"/>
          <w:color w:val="auto"/>
        </w:rPr>
        <w:t>Disqualification Event</w:t>
      </w:r>
      <w:r>
        <w:rPr>
          <w:rFonts w:ascii="Arial" w:cs="Arial" w:eastAsia="Arial" w:hAnsi="Arial"/>
          <w:sz w:val="18"/>
          <w:szCs w:val="18"/>
          <w:color w:val="auto"/>
        </w:rPr>
        <w:t>”) is applicable to the Investor or any of its Rule 506(d) Related Parties (as defined below), except, if applicable, for a Disqualification Event as to which Rule 506(d)(2)(ii) or (iii) or (d)(3) is applicable. The Investor hereby agrees that it shall notify the Company promptly in writing in the</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event a Disqualification Event becomes applicable to the Investor or any of its Rule 506(d) Related Parties, except, if applicable, for a Disqualification Event as to which Rule 506(d)(2)(ii) or (iii) or (d)(3) is applicable. For purposes of this Section 4.11, “</w:t>
      </w:r>
      <w:r>
        <w:rPr>
          <w:rFonts w:ascii="Arial" w:cs="Arial" w:eastAsia="Arial" w:hAnsi="Arial"/>
          <w:sz w:val="18"/>
          <w:szCs w:val="18"/>
          <w:b w:val="1"/>
          <w:bCs w:val="1"/>
          <w:i w:val="1"/>
          <w:iCs w:val="1"/>
          <w:color w:val="auto"/>
        </w:rPr>
        <w:t>Rule 506(d) Related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shall mean a person or entity that is a direct beneficial owner of the Investor’s securities for purposes of Rule 506(d) under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167" w:lineRule="exact"/>
        <w:rPr>
          <w:sz w:val="20"/>
          <w:szCs w:val="20"/>
          <w:color w:val="auto"/>
        </w:rPr>
      </w:pPr>
    </w:p>
    <w:p>
      <w:pPr>
        <w:jc w:val="both"/>
        <w:ind w:firstLine="656"/>
        <w:spacing w:after="0" w:line="214" w:lineRule="auto"/>
        <w:tabs>
          <w:tab w:leader="none" w:pos="128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r>
        <w:rPr>
          <w:rFonts w:ascii="Arial" w:cs="Arial" w:eastAsia="Arial" w:hAnsi="Arial"/>
          <w:sz w:val="18"/>
          <w:szCs w:val="18"/>
          <w:color w:val="auto"/>
        </w:rPr>
        <w:t>. The Investor agrees that it will keep confidential and will not disclose, divulge, or use for any purpose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than to monitor or make decisions with respect to its investment in the Company) any confidential information obtained from the Company pursuant to the terms of this Agreement, unless such confidential information (a) is known or becomes known to the public in general (other than as a result of a breach of this Section 5(a) by such Investor), (b) is or has been independently developed or conceived by such Investor without use of the Company’s confidential information, or (c) is or has been made known or disclosed to such Investor by a third party without a breach of any obligation of confidentiality such third party may have to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Investor may disclose confidential information (i) to its attorneys, accountants, consultants, and other professionals to the extent reasonably necessary to obtain their services in connection with monitoring its investment in the Company; (ii) to any Affiliate, partner, member, stockholder, or wholly-owned subsidiary of such Investor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Investor informs such Person that such information is confidential and directs such Person to maintain the confidentiality of such information; or (iii) as may otherwise be required by law, regulation, rule, court order or subpoena,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Investor promptly notifies the Company of such disclosure and takes reasonable steps to minimize the extent of any such required disclosure</w:t>
      </w:r>
    </w:p>
    <w:p>
      <w:pPr>
        <w:spacing w:after="0" w:line="161" w:lineRule="exact"/>
        <w:rPr>
          <w:rFonts w:ascii="Arial" w:cs="Arial" w:eastAsia="Arial" w:hAnsi="Arial"/>
          <w:sz w:val="18"/>
          <w:szCs w:val="18"/>
          <w:b w:val="1"/>
          <w:bCs w:val="1"/>
          <w:color w:val="auto"/>
        </w:rPr>
      </w:pPr>
    </w:p>
    <w:p>
      <w:pPr>
        <w:ind w:left="1300" w:hanging="644"/>
        <w:spacing w:after="0"/>
        <w:tabs>
          <w:tab w:leader="none" w:pos="13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Transfer</w:t>
      </w:r>
      <w:r>
        <w:rPr>
          <w:rFonts w:ascii="Arial" w:cs="Arial" w:eastAsia="Arial" w:hAnsi="Arial"/>
          <w:sz w:val="18"/>
          <w:szCs w:val="18"/>
          <w:color w:val="auto"/>
        </w:rPr>
        <w:t>.</w:t>
      </w:r>
    </w:p>
    <w:p>
      <w:pPr>
        <w:spacing w:after="0" w:line="184" w:lineRule="exact"/>
        <w:rPr>
          <w:rFonts w:ascii="Arial" w:cs="Arial" w:eastAsia="Arial" w:hAnsi="Arial"/>
          <w:sz w:val="18"/>
          <w:szCs w:val="18"/>
          <w:b w:val="1"/>
          <w:bCs w:val="1"/>
          <w:color w:val="auto"/>
        </w:rPr>
      </w:pPr>
    </w:p>
    <w:p>
      <w:pPr>
        <w:jc w:val="both"/>
        <w:ind w:firstLine="1952"/>
        <w:spacing w:after="0" w:line="233" w:lineRule="auto"/>
        <w:tabs>
          <w:tab w:leader="none" w:pos="2580" w:val="left"/>
        </w:tabs>
        <w:numPr>
          <w:ilvl w:val="1"/>
          <w:numId w:val="30"/>
        </w:numPr>
        <w:rPr>
          <w:rFonts w:ascii="Arial" w:cs="Arial" w:eastAsia="Arial" w:hAnsi="Arial"/>
          <w:sz w:val="18"/>
          <w:szCs w:val="18"/>
          <w:b w:val="1"/>
          <w:bCs w:val="1"/>
          <w:color w:val="auto"/>
        </w:rPr>
      </w:pPr>
      <w:r>
        <w:rPr>
          <w:rFonts w:ascii="Arial" w:cs="Arial" w:eastAsia="Arial" w:hAnsi="Arial"/>
          <w:sz w:val="18"/>
          <w:szCs w:val="18"/>
          <w:color w:val="auto"/>
        </w:rPr>
        <w:t>The Shares shall be subject to transfer restrictions as set forth in the Certificate of Designations. However, the Holder may sell, pledge or otherwise transfer the Underlying Shares upon the conditions specified in this Agreement, which conditions are intended to ensure compliance with the provisions of the Securities Act.</w:t>
      </w:r>
    </w:p>
    <w:p>
      <w:pPr>
        <w:spacing w:after="0" w:line="153" w:lineRule="exact"/>
        <w:rPr>
          <w:rFonts w:ascii="Arial" w:cs="Arial" w:eastAsia="Arial" w:hAnsi="Arial"/>
          <w:sz w:val="18"/>
          <w:szCs w:val="18"/>
          <w:b w:val="1"/>
          <w:bCs w:val="1"/>
          <w:color w:val="auto"/>
        </w:rPr>
      </w:pPr>
    </w:p>
    <w:p>
      <w:pPr>
        <w:jc w:val="both"/>
        <w:ind w:firstLine="1952"/>
        <w:spacing w:after="0" w:line="224" w:lineRule="auto"/>
        <w:tabs>
          <w:tab w:leader="none" w:pos="2590" w:val="left"/>
        </w:tabs>
        <w:numPr>
          <w:ilvl w:val="1"/>
          <w:numId w:val="30"/>
        </w:numPr>
        <w:rPr>
          <w:rFonts w:ascii="Arial" w:cs="Arial" w:eastAsia="Arial" w:hAnsi="Arial"/>
          <w:sz w:val="18"/>
          <w:szCs w:val="18"/>
          <w:b w:val="1"/>
          <w:bCs w:val="1"/>
          <w:color w:val="auto"/>
        </w:rPr>
      </w:pPr>
      <w:r>
        <w:rPr>
          <w:rFonts w:ascii="Arial" w:cs="Arial" w:eastAsia="Arial" w:hAnsi="Arial"/>
          <w:sz w:val="18"/>
          <w:szCs w:val="18"/>
          <w:color w:val="auto"/>
        </w:rPr>
        <w:t>Each certificate, instrument, or book entry representing the Shares and the Underlying Shares, upon any stock split, stock dividend, recapitalization, merger, consolidation, or similar event, shall (unless otherwise permitted by the provisions of Section 6(c)) be notated with a legend substantially in the form set forth in the Certificate of Designations. The Investor consents to the Company making a notation in its records and giving instructions to any transfer agent of the Company’s securities in order to implement the restrictions on transfer set forth in this Section 6.</w:t>
      </w:r>
    </w:p>
    <w:p>
      <w:pPr>
        <w:spacing w:after="0" w:line="154" w:lineRule="exact"/>
        <w:rPr>
          <w:rFonts w:ascii="Arial" w:cs="Arial" w:eastAsia="Arial" w:hAnsi="Arial"/>
          <w:sz w:val="18"/>
          <w:szCs w:val="18"/>
          <w:b w:val="1"/>
          <w:bCs w:val="1"/>
          <w:color w:val="auto"/>
        </w:rPr>
      </w:pPr>
    </w:p>
    <w:p>
      <w:pPr>
        <w:jc w:val="both"/>
        <w:ind w:firstLine="1952"/>
        <w:spacing w:after="0" w:line="215" w:lineRule="auto"/>
        <w:tabs>
          <w:tab w:leader="none" w:pos="2580" w:val="left"/>
        </w:tabs>
        <w:numPr>
          <w:ilvl w:val="1"/>
          <w:numId w:val="30"/>
        </w:numPr>
        <w:rPr>
          <w:rFonts w:ascii="Arial" w:cs="Arial" w:eastAsia="Arial" w:hAnsi="Arial"/>
          <w:sz w:val="18"/>
          <w:szCs w:val="18"/>
          <w:b w:val="1"/>
          <w:bCs w:val="1"/>
          <w:color w:val="auto"/>
        </w:rPr>
      </w:pPr>
      <w:r>
        <w:rPr>
          <w:rFonts w:ascii="Arial" w:cs="Arial" w:eastAsia="Arial" w:hAnsi="Arial"/>
          <w:sz w:val="18"/>
          <w:szCs w:val="18"/>
          <w:color w:val="auto"/>
        </w:rPr>
        <w:t>Subject to Section 6(a), before any proposed sale, pledge, or transfer of any Securities, unless there is in effect a registration statement under the Securities Act covering the proposed transaction, the Investor shall give oral notice to the Company of its intention to effect such sale, pledge, or transfer and, if reasonably requested by the Company, cause to be delivered at the Investor’s expense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securities without registration will not result in a recommendation by the staff of the SEC that action be taken with respect thereto; or (iii) any other evidence reasonably satisfactory to counsel to the Company to the effect that the proposed sale, pledge, or transfer of the securities may be effected without registration under the Securities Act, whereupon the Investor shall be entitled to sell, pledge, or transfer such securities in accordance with the terms of the notice given by the Investor to the Company. The Company will not require such a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03" w:right="339" w:bottom="1440" w:gutter="0" w:footer="0" w:header="0"/>
        </w:sectPr>
      </w:pPr>
    </w:p>
    <w:bookmarkStart w:id="40" w:name="page41"/>
    <w:bookmarkEnd w:id="40"/>
    <w:p>
      <w:pPr>
        <w:jc w:val="both"/>
        <w:spacing w:after="0" w:line="221" w:lineRule="auto"/>
        <w:rPr>
          <w:sz w:val="20"/>
          <w:szCs w:val="20"/>
          <w:color w:val="auto"/>
        </w:rPr>
      </w:pPr>
      <w:r>
        <w:rPr>
          <w:rFonts w:ascii="Arial" w:cs="Arial" w:eastAsia="Arial" w:hAnsi="Arial"/>
          <w:sz w:val="18"/>
          <w:szCs w:val="18"/>
          <w:color w:val="auto"/>
        </w:rPr>
        <w:t xml:space="preserve">opinion or “no action” letter (x) in any transaction in compliance with Rule 144; or (y) in any transaction in which such Holder distributes securities to an Affiliate of such Holder for no consideration;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transferee agrees in writing to be subject to the terms of this</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Agreement, including Section 5 and Section 6. Each certificate, instrument, or book entry representing the Securities transferred as above provided shall be notated with, except if such transfer is made pursuant to Rule 144, the appropriate restrictive legend set forth in Section 6(b), except that such certificate instrument, or book entry shall not be notated with such restrictive legend if, in the opinion of counsel for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Company, such legend is not required in order to establish compliance with any provisions of the Securities Act.</w:t>
      </w:r>
    </w:p>
    <w:p>
      <w:pPr>
        <w:spacing w:after="0" w:line="167"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r>
        <w:rPr>
          <w:rFonts w:ascii="Arial" w:cs="Arial" w:eastAsia="Arial" w:hAnsi="Arial"/>
          <w:sz w:val="18"/>
          <w:szCs w:val="18"/>
          <w:color w:val="auto"/>
        </w:rPr>
        <w:t>.</w:t>
      </w:r>
    </w:p>
    <w:p>
      <w:pPr>
        <w:spacing w:after="0" w:line="184" w:lineRule="exact"/>
        <w:rPr>
          <w:rFonts w:ascii="Arial" w:cs="Arial" w:eastAsia="Arial" w:hAnsi="Arial"/>
          <w:sz w:val="18"/>
          <w:szCs w:val="18"/>
          <w:b w:val="1"/>
          <w:bCs w:val="1"/>
          <w:color w:val="auto"/>
        </w:rPr>
      </w:pPr>
    </w:p>
    <w:p>
      <w:pPr>
        <w:ind w:left="1300" w:hanging="644"/>
        <w:spacing w:after="0"/>
        <w:tabs>
          <w:tab w:leader="none" w:pos="13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r>
        <w:rPr>
          <w:rFonts w:ascii="Arial" w:cs="Arial" w:eastAsia="Arial" w:hAnsi="Arial"/>
          <w:sz w:val="18"/>
          <w:szCs w:val="18"/>
          <w:color w:val="auto"/>
        </w:rPr>
        <w:t>.</w:t>
      </w:r>
    </w:p>
    <w:p>
      <w:pPr>
        <w:spacing w:after="0" w:line="198" w:lineRule="exact"/>
        <w:rPr>
          <w:rFonts w:ascii="Arial" w:cs="Arial" w:eastAsia="Arial" w:hAnsi="Arial"/>
          <w:sz w:val="18"/>
          <w:szCs w:val="18"/>
          <w:b w:val="1"/>
          <w:bCs w:val="1"/>
          <w:color w:val="auto"/>
        </w:rPr>
      </w:pPr>
    </w:p>
    <w:p>
      <w:pPr>
        <w:ind w:left="1300" w:hanging="644"/>
        <w:spacing w:after="0"/>
        <w:tabs>
          <w:tab w:leader="none" w:pos="13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185" w:lineRule="exact"/>
        <w:rPr>
          <w:sz w:val="20"/>
          <w:szCs w:val="20"/>
          <w:color w:val="auto"/>
        </w:rPr>
      </w:pPr>
    </w:p>
    <w:p>
      <w:pPr>
        <w:jc w:val="both"/>
        <w:ind w:firstLine="1620"/>
        <w:spacing w:after="0" w:line="221" w:lineRule="auto"/>
        <w:rPr>
          <w:sz w:val="20"/>
          <w:szCs w:val="20"/>
          <w:color w:val="auto"/>
        </w:rPr>
      </w:pPr>
      <w:r>
        <w:rPr>
          <w:rFonts w:ascii="Arial" w:cs="Arial" w:eastAsia="Arial" w:hAnsi="Arial"/>
          <w:sz w:val="18"/>
          <w:szCs w:val="18"/>
          <w:b w:val="1"/>
          <w:bCs w:val="1"/>
          <w:color w:val="auto"/>
        </w:rPr>
        <w:t>9.1 Successors and Assigns</w:t>
      </w:r>
      <w:r>
        <w:rPr>
          <w:rFonts w:ascii="Arial" w:cs="Arial" w:eastAsia="Arial" w:hAnsi="Arial"/>
          <w:sz w:val="18"/>
          <w:szCs w:val="18"/>
          <w:color w:val="auto"/>
        </w:rPr>
        <w:t>. Neither this Agreement nor any rights, interests or obligations that may accrue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 hereunder (other than the Securities acquired hereunder by the Investor, if any, after the Closing and subject to the terms and</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 xml:space="preserve">conditions of the Certificate of Designations may be transferred or assigned without the prior written consent of the Company, and any purported transfer or assignment without such consent shall be null and void ab initio;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the Investor may transfer or assign its rights, interests and obligations hereunder to a controlled affiliate of the Investor or another investment fund or account managed or</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 xml:space="preserve">advised by the same manager as the Investor (or a related party or affiliate) that can satisfy the representations and warranties in Section 4 and the requirements in Schedule 2, </w:t>
      </w:r>
      <w:r>
        <w:rPr>
          <w:rFonts w:ascii="Arial" w:cs="Arial" w:eastAsia="Arial" w:hAnsi="Arial"/>
          <w:sz w:val="18"/>
          <w:szCs w:val="18"/>
          <w:i w:val="1"/>
          <w:iCs w:val="1"/>
          <w:color w:val="auto"/>
        </w:rPr>
        <w:t>provided</w:t>
      </w:r>
      <w:r>
        <w:rPr>
          <w:rFonts w:ascii="Arial" w:cs="Arial" w:eastAsia="Arial" w:hAnsi="Arial"/>
          <w:sz w:val="18"/>
          <w:szCs w:val="18"/>
          <w:color w:val="auto"/>
        </w:rPr>
        <w:t>, further, that no such transfer or assignment without the prior express written consent of the Company shall release the Investor of its obligations hereunder and such transferee(s) or assignee(s), as applicable, agrees in writing to be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bound by the terms hereof as if it were the original Investor party hereto.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66" w:lineRule="exact"/>
        <w:rPr>
          <w:sz w:val="20"/>
          <w:szCs w:val="20"/>
          <w:color w:val="auto"/>
        </w:rPr>
      </w:pPr>
    </w:p>
    <w:p>
      <w:pPr>
        <w:jc w:val="both"/>
        <w:ind w:firstLine="1620"/>
        <w:spacing w:after="0"/>
        <w:rPr>
          <w:sz w:val="20"/>
          <w:szCs w:val="20"/>
          <w:color w:val="auto"/>
        </w:rPr>
      </w:pPr>
      <w:r>
        <w:rPr>
          <w:rFonts w:ascii="Arial" w:cs="Arial" w:eastAsia="Arial" w:hAnsi="Arial"/>
          <w:sz w:val="18"/>
          <w:szCs w:val="18"/>
          <w:b w:val="1"/>
          <w:bCs w:val="1"/>
          <w:color w:val="auto"/>
        </w:rPr>
        <w:t>9.2 Governing Law</w:t>
      </w:r>
      <w:r>
        <w:rPr>
          <w:rFonts w:ascii="Arial" w:cs="Arial" w:eastAsia="Arial" w:hAnsi="Arial"/>
          <w:sz w:val="18"/>
          <w:szCs w:val="18"/>
          <w:color w:val="auto"/>
        </w:rPr>
        <w:t>. This Agreement shall be governed by the internal law of the State of Delaware without regard to</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of conflicts of law.</w:t>
      </w:r>
    </w:p>
    <w:p>
      <w:pPr>
        <w:spacing w:after="0" w:line="153" w:lineRule="exact"/>
        <w:rPr>
          <w:sz w:val="20"/>
          <w:szCs w:val="20"/>
          <w:color w:val="auto"/>
        </w:rPr>
      </w:pPr>
    </w:p>
    <w:p>
      <w:pPr>
        <w:ind w:left="1620"/>
        <w:spacing w:after="0"/>
        <w:tabs>
          <w:tab w:leader="none" w:pos="2160" w:val="left"/>
        </w:tabs>
        <w:rPr>
          <w:sz w:val="20"/>
          <w:szCs w:val="20"/>
          <w:color w:val="auto"/>
        </w:rPr>
      </w:pPr>
      <w:r>
        <w:rPr>
          <w:rFonts w:ascii="Arial" w:cs="Arial" w:eastAsia="Arial" w:hAnsi="Arial"/>
          <w:sz w:val="18"/>
          <w:szCs w:val="18"/>
          <w:b w:val="1"/>
          <w:bCs w:val="1"/>
          <w:color w:val="auto"/>
        </w:rPr>
        <w:t>9.3</w:t>
        <w:tab/>
        <w:t>Counterparts</w:t>
      </w:r>
      <w:r>
        <w:rPr>
          <w:rFonts w:ascii="Arial" w:cs="Arial" w:eastAsia="Arial" w:hAnsi="Arial"/>
          <w:sz w:val="18"/>
          <w:szCs w:val="18"/>
          <w:color w:val="auto"/>
        </w:rPr>
        <w:t>. This Agreement may be executed in counterparts by a single party, each of which when taken</w:t>
      </w:r>
    </w:p>
    <w:p>
      <w:pPr>
        <w:jc w:val="both"/>
        <w:spacing w:after="0" w:line="208" w:lineRule="auto"/>
        <w:rPr>
          <w:sz w:val="20"/>
          <w:szCs w:val="20"/>
          <w:color w:val="auto"/>
        </w:rPr>
      </w:pPr>
      <w:r>
        <w:rPr>
          <w:rFonts w:ascii="Arial" w:cs="Arial" w:eastAsia="Arial" w:hAnsi="Arial"/>
          <w:sz w:val="18"/>
          <w:szCs w:val="18"/>
          <w:color w:val="auto"/>
        </w:rPr>
        <w:t>together shall constitute one and the same agreement. Counterparts may be delivered via facsimile, electronic mail (including .pdf or any electronic signature complying with the U.S. federal ESIGN Act of 2000, Uniform Electronic Transactions Act or other applicable law) or other transmission method and any counterpart so delivered shall be deemed to have been duly and validly delivered and be valid and effective for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all purposes.</w:t>
      </w:r>
    </w:p>
    <w:p>
      <w:pPr>
        <w:spacing w:after="0" w:line="167" w:lineRule="exact"/>
        <w:rPr>
          <w:sz w:val="20"/>
          <w:szCs w:val="20"/>
          <w:color w:val="auto"/>
        </w:rPr>
      </w:pPr>
    </w:p>
    <w:p>
      <w:pPr>
        <w:jc w:val="both"/>
        <w:ind w:firstLine="1620"/>
        <w:spacing w:after="0"/>
        <w:rPr>
          <w:sz w:val="20"/>
          <w:szCs w:val="20"/>
          <w:color w:val="auto"/>
        </w:rPr>
      </w:pPr>
      <w:r>
        <w:rPr>
          <w:rFonts w:ascii="Arial" w:cs="Arial" w:eastAsia="Arial" w:hAnsi="Arial"/>
          <w:sz w:val="18"/>
          <w:szCs w:val="18"/>
          <w:b w:val="1"/>
          <w:bCs w:val="1"/>
          <w:color w:val="auto"/>
        </w:rPr>
        <w:t>9.4 Titles and Subtitles</w:t>
      </w:r>
      <w:r>
        <w:rPr>
          <w:rFonts w:ascii="Arial" w:cs="Arial" w:eastAsia="Arial" w:hAnsi="Arial"/>
          <w:sz w:val="18"/>
          <w:szCs w:val="18"/>
          <w:color w:val="auto"/>
        </w:rPr>
        <w:t>. The titles and subtitles used in this Agreement are used for convenience only and are not to</w:t>
      </w:r>
      <w:r>
        <w:rPr>
          <w:rFonts w:ascii="Arial" w:cs="Arial" w:eastAsia="Arial" w:hAnsi="Arial"/>
          <w:sz w:val="18"/>
          <w:szCs w:val="18"/>
          <w:b w:val="1"/>
          <w:bCs w:val="1"/>
          <w:color w:val="auto"/>
        </w:rPr>
        <w:t xml:space="preserve"> </w:t>
      </w:r>
      <w:r>
        <w:rPr>
          <w:rFonts w:ascii="Arial" w:cs="Arial" w:eastAsia="Arial" w:hAnsi="Arial"/>
          <w:sz w:val="18"/>
          <w:szCs w:val="18"/>
          <w:color w:val="auto"/>
        </w:rPr>
        <w:t>be considered in construing or interpreting this Agreement.</w:t>
      </w:r>
    </w:p>
    <w:p>
      <w:pPr>
        <w:spacing w:after="0" w:line="167" w:lineRule="exact"/>
        <w:rPr>
          <w:sz w:val="20"/>
          <w:szCs w:val="20"/>
          <w:color w:val="auto"/>
        </w:rPr>
      </w:pPr>
    </w:p>
    <w:p>
      <w:pPr>
        <w:jc w:val="both"/>
        <w:ind w:firstLine="1620"/>
        <w:spacing w:after="0" w:line="228" w:lineRule="auto"/>
        <w:rPr>
          <w:sz w:val="20"/>
          <w:szCs w:val="20"/>
          <w:color w:val="auto"/>
        </w:rPr>
      </w:pPr>
      <w:r>
        <w:rPr>
          <w:rFonts w:ascii="Arial" w:cs="Arial" w:eastAsia="Arial" w:hAnsi="Arial"/>
          <w:sz w:val="17"/>
          <w:szCs w:val="17"/>
          <w:b w:val="1"/>
          <w:bCs w:val="1"/>
          <w:color w:val="auto"/>
        </w:rPr>
        <w:t>9.5 Notices</w:t>
      </w:r>
      <w:r>
        <w:rPr>
          <w:rFonts w:ascii="Arial" w:cs="Arial" w:eastAsia="Arial" w:hAnsi="Arial"/>
          <w:sz w:val="17"/>
          <w:szCs w:val="17"/>
          <w:color w:val="auto"/>
        </w:rPr>
        <w:t>. All notices and other communications given or made pursuant to this Agreement shall be in writing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deemed effectively given upon the earlier of actual receipt, or (a) personal delivery to the party to be notified, (b) when sent, if sent by electronic mail prior to 5:00 p.m. local time of the recipient, and if sent after 5:00 p.m. local time, then on the recipient’s next Business Day,</w:t>
      </w:r>
    </w:p>
    <w:p>
      <w:pPr>
        <w:spacing w:after="0" w:line="1" w:lineRule="exact"/>
        <w:rPr>
          <w:sz w:val="20"/>
          <w:szCs w:val="20"/>
          <w:color w:val="auto"/>
        </w:rPr>
      </w:pPr>
    </w:p>
    <w:p>
      <w:pPr>
        <w:jc w:val="both"/>
        <w:ind w:firstLine="8"/>
        <w:spacing w:after="0" w:line="214" w:lineRule="auto"/>
        <w:tabs>
          <w:tab w:leader="none" w:pos="2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five (5) days after having been sent by registered or certified mail, return receipt requested, postage prepaid, or (d) one (1) Business Day after deposit with a nationally recognized overnight courier, freight prepaid, specifying next Business Day delivery, with written verification of receipt. All communications shall be sent to the respective parties at their address as set forth on the signature page hereto, or to such e-mail address, facsimile number or address as subsequently modified by written notice given in accordance with this Section 9.5. If notice is given to the Company, a copy shall also be sent to Cooley LLP, 3175 Hanover Street, Palo Alto, CA 94304, Attn: Josh Seidenfeld, Esq., and if notice is given to the Investor, a copy shall also be given to [___________].</w:t>
      </w:r>
    </w:p>
    <w:p>
      <w:pPr>
        <w:spacing w:after="0" w:line="157" w:lineRule="exact"/>
        <w:rPr>
          <w:sz w:val="20"/>
          <w:szCs w:val="20"/>
          <w:color w:val="auto"/>
        </w:rPr>
      </w:pPr>
    </w:p>
    <w:p>
      <w:pPr>
        <w:ind w:left="1620"/>
        <w:spacing w:after="0"/>
        <w:tabs>
          <w:tab w:leader="none" w:pos="2140" w:val="left"/>
        </w:tabs>
        <w:rPr>
          <w:sz w:val="20"/>
          <w:szCs w:val="20"/>
          <w:color w:val="auto"/>
        </w:rPr>
      </w:pPr>
      <w:r>
        <w:rPr>
          <w:rFonts w:ascii="Arial" w:cs="Arial" w:eastAsia="Arial" w:hAnsi="Arial"/>
          <w:sz w:val="18"/>
          <w:szCs w:val="18"/>
          <w:b w:val="1"/>
          <w:bCs w:val="1"/>
          <w:color w:val="auto"/>
        </w:rPr>
        <w:t>9.6</w:t>
        <w:tab/>
        <w:t>No Finder’s Fees</w:t>
      </w:r>
      <w:r>
        <w:rPr>
          <w:rFonts w:ascii="Arial" w:cs="Arial" w:eastAsia="Arial" w:hAnsi="Arial"/>
          <w:sz w:val="18"/>
          <w:szCs w:val="18"/>
          <w:color w:val="auto"/>
        </w:rPr>
        <w:t>. Each party represents that it neither is nor will be obligated for any finder’s fee or SEC in</w:t>
      </w:r>
    </w:p>
    <w:p>
      <w:pPr>
        <w:jc w:val="both"/>
        <w:spacing w:after="0" w:line="208" w:lineRule="auto"/>
        <w:rPr>
          <w:sz w:val="20"/>
          <w:szCs w:val="20"/>
          <w:color w:val="auto"/>
        </w:rPr>
      </w:pPr>
      <w:r>
        <w:rPr>
          <w:rFonts w:ascii="Arial" w:cs="Arial" w:eastAsia="Arial" w:hAnsi="Arial"/>
          <w:sz w:val="18"/>
          <w:szCs w:val="18"/>
          <w:color w:val="auto"/>
        </w:rPr>
        <w:t>connection with this transaction. The Investor agrees to indemnify and to hold harmless the Company from any liability for any SEC or compensation in the nature of a finder’s or broker’s fee arising out of this transaction (and the costs and expenses of defending against such liability or asserted liability) for which the Investor or any of its officers, employees or representatives is responsible. The Company agrees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indemnify and hold harmless the Investor from any liability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03" w:right="339" w:bottom="1440" w:gutter="0" w:footer="0" w:header="0"/>
        </w:sectPr>
      </w:pPr>
    </w:p>
    <w:bookmarkStart w:id="41" w:name="page42"/>
    <w:bookmarkEnd w:id="41"/>
    <w:p>
      <w:pPr>
        <w:jc w:val="both"/>
        <w:spacing w:after="0"/>
        <w:rPr>
          <w:sz w:val="20"/>
          <w:szCs w:val="20"/>
          <w:color w:val="auto"/>
        </w:rPr>
      </w:pPr>
      <w:r>
        <w:rPr>
          <w:rFonts w:ascii="Arial" w:cs="Arial" w:eastAsia="Arial" w:hAnsi="Arial"/>
          <w:sz w:val="18"/>
          <w:szCs w:val="18"/>
          <w:color w:val="auto"/>
        </w:rPr>
        <w:t>SEC or compensation in the nature of a finder’s or broker’s fee arising out of this transaction (and the costs and expenses of defending against such liability or asserted liability) for which the Company or any of its officers, employees or representatives is responsible.</w:t>
      </w:r>
    </w:p>
    <w:p>
      <w:pPr>
        <w:spacing w:after="0" w:line="167" w:lineRule="exact"/>
        <w:rPr>
          <w:sz w:val="20"/>
          <w:szCs w:val="20"/>
          <w:color w:val="auto"/>
        </w:rPr>
      </w:pPr>
    </w:p>
    <w:p>
      <w:pPr>
        <w:jc w:val="both"/>
        <w:ind w:firstLine="1620"/>
        <w:spacing w:after="0" w:line="215" w:lineRule="auto"/>
        <w:rPr>
          <w:sz w:val="20"/>
          <w:szCs w:val="20"/>
          <w:color w:val="auto"/>
        </w:rPr>
      </w:pPr>
      <w:r>
        <w:rPr>
          <w:rFonts w:ascii="Arial" w:cs="Arial" w:eastAsia="Arial" w:hAnsi="Arial"/>
          <w:sz w:val="18"/>
          <w:szCs w:val="18"/>
          <w:b w:val="1"/>
          <w:bCs w:val="1"/>
          <w:color w:val="auto"/>
        </w:rPr>
        <w:t>9.7 Waivers</w:t>
      </w:r>
      <w:r>
        <w:rPr>
          <w:rFonts w:ascii="Arial" w:cs="Arial" w:eastAsia="Arial" w:hAnsi="Arial"/>
          <w:sz w:val="18"/>
          <w:szCs w:val="18"/>
          <w:color w:val="auto"/>
        </w:rPr>
        <w:t>. A party’s consent to or waiver, express or implied, of the other party’s breach of its obligations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deemed to be or construed as a consent to or waiver of any other breach of the same or any other obligations of such breaching party. A party’s failure to complain of any act, or failure to act, by the other party, to declare the other party in default, to insist upon the strict</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performance of any obligation or condition of this Agreement or to exercise any right or remedy consequent upon a breach thereof, no matter how long such failure continues, shall not constitute a waiver by such party of its rights hereunder, of any such breach, or of any other obligation or condition. A party’s consent in any one instance shall not limit or waive the necessity to obtain such party’s consent in any future</w:t>
      </w:r>
    </w:p>
    <w:p>
      <w:pPr>
        <w:spacing w:after="0" w:line="2"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instance and in any event no consent or waiver shall be effective for any purpose hereunder unless such consent or waiver is in writing and signed by the party granting such consent or waiver.</w:t>
      </w:r>
    </w:p>
    <w:p>
      <w:pPr>
        <w:spacing w:after="0" w:line="154" w:lineRule="exact"/>
        <w:rPr>
          <w:sz w:val="20"/>
          <w:szCs w:val="20"/>
          <w:color w:val="auto"/>
        </w:rPr>
      </w:pPr>
    </w:p>
    <w:p>
      <w:pPr>
        <w:ind w:left="1620"/>
        <w:spacing w:after="0"/>
        <w:tabs>
          <w:tab w:leader="none" w:pos="2120" w:val="left"/>
        </w:tabs>
        <w:rPr>
          <w:sz w:val="20"/>
          <w:szCs w:val="20"/>
          <w:color w:val="auto"/>
        </w:rPr>
      </w:pPr>
      <w:r>
        <w:rPr>
          <w:rFonts w:ascii="Arial" w:cs="Arial" w:eastAsia="Arial" w:hAnsi="Arial"/>
          <w:sz w:val="18"/>
          <w:szCs w:val="18"/>
          <w:b w:val="1"/>
          <w:bCs w:val="1"/>
          <w:color w:val="auto"/>
        </w:rPr>
        <w:t>9.8</w:t>
        <w:tab/>
        <w:t>Severability</w:t>
      </w:r>
      <w:r>
        <w:rPr>
          <w:rFonts w:ascii="Arial" w:cs="Arial" w:eastAsia="Arial" w:hAnsi="Arial"/>
          <w:sz w:val="18"/>
          <w:szCs w:val="18"/>
          <w:color w:val="auto"/>
        </w:rPr>
        <w:t>. Nothing in this Agreement shall be construed to require the SEC of any act contrary to applicable</w:t>
      </w:r>
    </w:p>
    <w:p>
      <w:pPr>
        <w:jc w:val="both"/>
        <w:spacing w:after="0" w:line="221" w:lineRule="auto"/>
        <w:rPr>
          <w:sz w:val="20"/>
          <w:szCs w:val="20"/>
          <w:color w:val="auto"/>
        </w:rPr>
      </w:pPr>
      <w:r>
        <w:rPr>
          <w:rFonts w:ascii="Arial" w:cs="Arial" w:eastAsia="Arial" w:hAnsi="Arial"/>
          <w:sz w:val="18"/>
          <w:szCs w:val="18"/>
          <w:color w:val="auto"/>
        </w:rPr>
        <w:t>law. If any one or more provisions of this Agreement is held to be invalid, illegal or unenforceable, the affected provisions of this Agreement shall be curtailed and limited only to the extent necessary to bring it within the applicable legal requirements and the validity, legality and enforceability of the remaining provisions of this Agreement shall not in any way be affected or impaired thereby.</w:t>
      </w:r>
    </w:p>
    <w:p>
      <w:pPr>
        <w:spacing w:after="0" w:line="166" w:lineRule="exact"/>
        <w:rPr>
          <w:sz w:val="20"/>
          <w:szCs w:val="20"/>
          <w:color w:val="auto"/>
        </w:rPr>
      </w:pPr>
    </w:p>
    <w:p>
      <w:pPr>
        <w:jc w:val="both"/>
        <w:ind w:firstLine="1620"/>
        <w:spacing w:after="0" w:line="215" w:lineRule="auto"/>
        <w:rPr>
          <w:sz w:val="20"/>
          <w:szCs w:val="20"/>
          <w:color w:val="auto"/>
        </w:rPr>
      </w:pPr>
      <w:r>
        <w:rPr>
          <w:rFonts w:ascii="Arial" w:cs="Arial" w:eastAsia="Arial" w:hAnsi="Arial"/>
          <w:sz w:val="18"/>
          <w:szCs w:val="18"/>
          <w:b w:val="1"/>
          <w:bCs w:val="1"/>
          <w:color w:val="auto"/>
        </w:rPr>
        <w:t>9.9 Delays or Omissions</w:t>
      </w:r>
      <w:r>
        <w:rPr>
          <w:rFonts w:ascii="Arial" w:cs="Arial" w:eastAsia="Arial" w:hAnsi="Arial"/>
          <w:sz w:val="18"/>
          <w:szCs w:val="18"/>
          <w:color w:val="auto"/>
        </w:rPr>
        <w:t>. No delay or omission to exercise any right, power or remedy accruing to any party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upon any breach or default of any other party under this Agreement, shall impair any such right, power or remedy of such non-breaching or non-defaulting party nor shall it be construed to be a waiver of any such breach or default, or an acquiescence therein, or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or in any similar breach or default thereafter occurring.</w:t>
      </w:r>
    </w:p>
    <w:p>
      <w:pPr>
        <w:spacing w:after="0" w:line="167" w:lineRule="exact"/>
        <w:rPr>
          <w:sz w:val="20"/>
          <w:szCs w:val="20"/>
          <w:color w:val="auto"/>
        </w:rPr>
      </w:pPr>
    </w:p>
    <w:p>
      <w:pPr>
        <w:jc w:val="both"/>
        <w:ind w:firstLine="1620"/>
        <w:spacing w:after="0" w:line="221" w:lineRule="auto"/>
        <w:rPr>
          <w:sz w:val="20"/>
          <w:szCs w:val="20"/>
          <w:color w:val="auto"/>
        </w:rPr>
      </w:pPr>
      <w:r>
        <w:rPr>
          <w:rFonts w:ascii="Arial" w:cs="Arial" w:eastAsia="Arial" w:hAnsi="Arial"/>
          <w:sz w:val="18"/>
          <w:szCs w:val="18"/>
          <w:b w:val="1"/>
          <w:bCs w:val="1"/>
          <w:color w:val="auto"/>
        </w:rPr>
        <w:t>9.10 Entire Agreement; Amendment</w:t>
      </w:r>
      <w:r>
        <w:rPr>
          <w:rFonts w:ascii="Arial" w:cs="Arial" w:eastAsia="Arial" w:hAnsi="Arial"/>
          <w:sz w:val="18"/>
          <w:szCs w:val="18"/>
          <w:color w:val="auto"/>
        </w:rPr>
        <w:t>. This Agreement (including any Schedules, Exhibits and ancillaries referenced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constitute the entire agreement between the Parties as to the subject matter hereof. Except as set forth in this Section 9.10, (a) all</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prior and contemporaneous negotiations, representations, warranties, agreements, statements, promises and understandings with respect to the subject matter of this Agreement are hereby superseded and merged into, extinguished by and completely expressed by this Agreement and (b) neither party shall be bound by or charged with any written or oral agreements, representations, warranties, statements, promises or</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understandings not specifically set forth in this Agreement. No amendment, supplement or other modification to any provision of this Agreement shall be binding unless in writing and signed by both parties.</w:t>
      </w:r>
    </w:p>
    <w:p>
      <w:pPr>
        <w:spacing w:after="0" w:line="154" w:lineRule="exact"/>
        <w:rPr>
          <w:sz w:val="20"/>
          <w:szCs w:val="20"/>
          <w:color w:val="auto"/>
        </w:rPr>
      </w:pPr>
    </w:p>
    <w:p>
      <w:pPr>
        <w:jc w:val="both"/>
        <w:ind w:firstLine="1620"/>
        <w:spacing w:after="0" w:line="256" w:lineRule="auto"/>
        <w:rPr>
          <w:sz w:val="20"/>
          <w:szCs w:val="20"/>
          <w:color w:val="auto"/>
        </w:rPr>
      </w:pPr>
      <w:r>
        <w:rPr>
          <w:rFonts w:ascii="Arial" w:cs="Arial" w:eastAsia="Arial" w:hAnsi="Arial"/>
          <w:sz w:val="18"/>
          <w:szCs w:val="18"/>
          <w:b w:val="1"/>
          <w:bCs w:val="1"/>
          <w:color w:val="auto"/>
        </w:rPr>
        <w:t>9.11 Expenses</w:t>
      </w:r>
      <w:r>
        <w:rPr>
          <w:rFonts w:ascii="Arial" w:cs="Arial" w:eastAsia="Arial" w:hAnsi="Arial"/>
          <w:sz w:val="18"/>
          <w:szCs w:val="18"/>
          <w:color w:val="auto"/>
        </w:rPr>
        <w:t>. The Investor shall pay all of its own expenses in connection with this Agreement and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herein.</w:t>
      </w:r>
    </w:p>
    <w:p>
      <w:pPr>
        <w:spacing w:after="0" w:line="139" w:lineRule="exact"/>
        <w:rPr>
          <w:sz w:val="20"/>
          <w:szCs w:val="20"/>
          <w:color w:val="auto"/>
        </w:rPr>
      </w:pPr>
    </w:p>
    <w:p>
      <w:pPr>
        <w:jc w:val="both"/>
        <w:ind w:firstLine="1620"/>
        <w:spacing w:after="0" w:line="221" w:lineRule="auto"/>
        <w:rPr>
          <w:sz w:val="20"/>
          <w:szCs w:val="20"/>
          <w:color w:val="auto"/>
        </w:rPr>
      </w:pPr>
      <w:r>
        <w:rPr>
          <w:rFonts w:ascii="Arial" w:cs="Arial" w:eastAsia="Arial" w:hAnsi="Arial"/>
          <w:sz w:val="18"/>
          <w:szCs w:val="18"/>
          <w:b w:val="1"/>
          <w:bCs w:val="1"/>
          <w:color w:val="auto"/>
        </w:rPr>
        <w:t>9.12 Dispute Resolution</w:t>
      </w:r>
      <w:r>
        <w:rPr>
          <w:rFonts w:ascii="Arial" w:cs="Arial" w:eastAsia="Arial" w:hAnsi="Arial"/>
          <w:sz w:val="18"/>
          <w:szCs w:val="18"/>
          <w:color w:val="auto"/>
        </w:rPr>
        <w:t>. The parties (a) hereby irrevocably and unconditionally submit to the jurisdiction of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courts of the state of Delaware and to the jurisdiction of the United States District Court for the District of Delaware for the purpose of any</w:t>
      </w:r>
    </w:p>
    <w:p>
      <w:pPr>
        <w:spacing w:after="0" w:line="1"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suit, action or other proceeding arising out of or based upon this Agreement, (b) agree not to commence any suit, action or other proceeding arising out of or based upon this Agreement except in the state courts of the state of Delaware or the United States District Court for the District of Delaware, and (c) hereby waive, and agree not to assert, by way of motion, as a defense, or otherwise, in any such suit, action or</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WAIVER OF JURY TRIAL: EACH PARTY HEREBY WAIVES ITS RIGHTS TO A JURY TRIAL OF ANY CLAIM OR CAUSE OF ACTION</w:t>
      </w:r>
    </w:p>
    <w:p>
      <w:pPr>
        <w:jc w:val="both"/>
        <w:spacing w:after="0" w:line="208" w:lineRule="auto"/>
        <w:rPr>
          <w:sz w:val="20"/>
          <w:szCs w:val="20"/>
          <w:color w:val="auto"/>
        </w:rPr>
      </w:pPr>
      <w:r>
        <w:rPr>
          <w:rFonts w:ascii="Arial" w:cs="Arial" w:eastAsia="Arial" w:hAnsi="Arial"/>
          <w:sz w:val="18"/>
          <w:szCs w:val="18"/>
          <w:color w:val="auto"/>
        </w:rPr>
        <w:t>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AGREEMENT,</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FURTHER WARRANTS AND REPRESENTS THAT SUCH PARTY HAS REVIEWED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0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THIS WAIVER WITH ITS LEGAL COUNSEL, AND THAT SUCH PARTY KNOWINGLY AND VOLUNTARILY WAIVES ITS JURY TRIAL RIGHTS FOLLOWING CONSULTATION WITH LEGAL COUNSEL.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403"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w:t>
      </w:r>
      <w:r>
        <w:rPr>
          <w:rFonts w:ascii="Arial" w:cs="Arial" w:eastAsia="Arial" w:hAnsi="Arial"/>
          <w:sz w:val="18"/>
          <w:szCs w:val="18"/>
          <w:b w:val="1"/>
          <w:bCs w:val="1"/>
          <w:color w:val="auto"/>
        </w:rPr>
        <w:t xml:space="preserve"> Preferred Stock Purchase Agreement </w:t>
      </w:r>
      <w:r>
        <w:rPr>
          <w:rFonts w:ascii="Arial" w:cs="Arial" w:eastAsia="Arial" w:hAnsi="Arial"/>
          <w:sz w:val="18"/>
          <w:szCs w:val="18"/>
          <w:color w:val="auto"/>
        </w:rPr>
        <w:t>as of the date first written above.</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COMPANY:</w:t>
      </w:r>
    </w:p>
    <w:p>
      <w:pPr>
        <w:spacing w:after="0" w:line="5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SoundHound AI, Inc.</w:t>
      </w:r>
    </w:p>
    <w:p>
      <w:pPr>
        <w:spacing w:after="0" w:line="266" w:lineRule="exact"/>
        <w:rPr>
          <w:sz w:val="20"/>
          <w:szCs w:val="20"/>
          <w:color w:val="auto"/>
        </w:rPr>
      </w:pPr>
    </w:p>
    <w:tbl>
      <w:tblPr>
        <w:tblLayout w:type="fixed"/>
        <w:tblInd w:w="3960" w:type="dxa"/>
        <w:tblCellMar>
          <w:top w:w="0" w:type="dxa"/>
          <w:left w:w="0" w:type="dxa"/>
          <w:bottom w:w="0" w:type="dxa"/>
          <w:right w:w="0" w:type="dxa"/>
        </w:tblCellMar>
      </w:tblPr>
      <w:tr>
        <w:trPr>
          <w:trHeight w:val="235"/>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9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Keyvan Mohajer</w:t>
            </w:r>
          </w:p>
        </w:tc>
      </w:tr>
      <w:tr>
        <w:trPr>
          <w:trHeight w:val="218"/>
        </w:trPr>
        <w:tc>
          <w:tcPr>
            <w:tcW w:w="660" w:type="dxa"/>
            <w:vAlign w:val="bottom"/>
          </w:tcPr>
          <w:p>
            <w:pPr>
              <w:spacing w:after="0"/>
              <w:rPr>
                <w:sz w:val="18"/>
                <w:szCs w:val="18"/>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5240" w:type="dxa"/>
            <w:vAlign w:val="bottom"/>
          </w:tcPr>
          <w:p>
            <w:pPr>
              <w:ind w:left="200"/>
              <w:spacing w:after="0"/>
              <w:rPr>
                <w:sz w:val="20"/>
                <w:szCs w:val="20"/>
                <w:color w:val="auto"/>
              </w:rPr>
            </w:pPr>
            <w:r>
              <w:rPr>
                <w:rFonts w:ascii="Arial" w:cs="Arial" w:eastAsia="Arial" w:hAnsi="Arial"/>
                <w:sz w:val="18"/>
                <w:szCs w:val="18"/>
                <w:color w:val="auto"/>
              </w:rPr>
              <w:t>Keyvan Mohajer</w:t>
            </w:r>
          </w:p>
        </w:tc>
      </w:tr>
      <w:tr>
        <w:trPr>
          <w:trHeight w:val="239"/>
        </w:trPr>
        <w:tc>
          <w:tcPr>
            <w:tcW w:w="6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5240" w:type="dxa"/>
            <w:vAlign w:val="bottom"/>
          </w:tcPr>
          <w:p>
            <w:pPr>
              <w:ind w:left="200"/>
              <w:spacing w:after="0"/>
              <w:rPr>
                <w:sz w:val="20"/>
                <w:szCs w:val="20"/>
                <w:color w:val="auto"/>
              </w:rPr>
            </w:pPr>
            <w:r>
              <w:rPr>
                <w:rFonts w:ascii="Arial" w:cs="Arial" w:eastAsia="Arial" w:hAnsi="Arial"/>
                <w:sz w:val="18"/>
                <w:szCs w:val="18"/>
                <w:color w:val="auto"/>
              </w:rPr>
              <w:t>Chief Executive Officer</w:t>
            </w:r>
          </w:p>
        </w:tc>
      </w:tr>
    </w:tbl>
    <w:p>
      <w:pPr>
        <w:spacing w:after="0" w:line="24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5400 Betsy Ross Drive</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Santa Clara, CA 95054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820"/>
        <w:spacing w:after="0"/>
        <w:rPr>
          <w:sz w:val="20"/>
          <w:szCs w:val="20"/>
          <w:color w:val="auto"/>
        </w:rPr>
      </w:pPr>
      <w:r>
        <w:rPr>
          <w:rFonts w:ascii="Arial" w:cs="Arial" w:eastAsia="Arial" w:hAnsi="Arial"/>
          <w:sz w:val="16"/>
          <w:szCs w:val="16"/>
          <w:b w:val="1"/>
          <w:bCs w:val="1"/>
          <w:color w:val="auto"/>
        </w:rPr>
        <w:t>Signature Page to Preferred Stock Purchase Agreement</w:t>
      </w:r>
    </w:p>
    <w:p>
      <w:pPr>
        <w:sectPr>
          <w:pgSz w:w="11900" w:h="16838" w:orient="portrait"/>
          <w:cols w:equalWidth="0" w:num="1">
            <w:col w:w="10580"/>
          </w:cols>
          <w:pgMar w:left="980" w:top="1403" w:right="339" w:bottom="1440" w:gutter="0" w:footer="0" w:header="0"/>
        </w:sectPr>
      </w:pPr>
    </w:p>
    <w:bookmarkStart w:id="44" w:name="page45"/>
    <w:bookmarkEnd w:id="44"/>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w:t>
      </w:r>
      <w:r>
        <w:rPr>
          <w:rFonts w:ascii="Arial" w:cs="Arial" w:eastAsia="Arial" w:hAnsi="Arial"/>
          <w:sz w:val="18"/>
          <w:szCs w:val="18"/>
          <w:b w:val="1"/>
          <w:bCs w:val="1"/>
          <w:color w:val="auto"/>
        </w:rPr>
        <w:t xml:space="preserve"> Preferred Stock Purchase Agreement </w:t>
      </w:r>
      <w:r>
        <w:rPr>
          <w:rFonts w:ascii="Arial" w:cs="Arial" w:eastAsia="Arial" w:hAnsi="Arial"/>
          <w:sz w:val="18"/>
          <w:szCs w:val="18"/>
          <w:color w:val="auto"/>
        </w:rPr>
        <w:t>as of the date first written above.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INVESTOR:</w:t>
            </w:r>
          </w:p>
        </w:tc>
        <w:tc>
          <w:tcPr>
            <w:tcW w:w="520" w:type="dxa"/>
            <w:vAlign w:val="bottom"/>
          </w:tcPr>
          <w:p>
            <w:pPr>
              <w:spacing w:after="0"/>
              <w:rPr>
                <w:sz w:val="21"/>
                <w:szCs w:val="21"/>
                <w:color w:val="auto"/>
              </w:rPr>
            </w:pPr>
          </w:p>
        </w:tc>
        <w:tc>
          <w:tcPr>
            <w:tcW w:w="5100" w:type="dxa"/>
            <w:vAlign w:val="bottom"/>
          </w:tcPr>
          <w:p>
            <w:pPr>
              <w:spacing w:after="0"/>
              <w:rPr>
                <w:sz w:val="21"/>
                <w:szCs w:val="21"/>
                <w:color w:val="auto"/>
              </w:rPr>
            </w:pPr>
          </w:p>
        </w:tc>
      </w:tr>
      <w:tr>
        <w:trPr>
          <w:trHeight w:val="411"/>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Name of Investor:</w:t>
            </w:r>
          </w:p>
        </w:tc>
        <w:tc>
          <w:tcPr>
            <w:tcW w:w="5620" w:type="dxa"/>
            <w:vAlign w:val="bottom"/>
            <w:gridSpan w:val="2"/>
          </w:tcPr>
          <w:p>
            <w:pPr>
              <w:spacing w:after="0"/>
              <w:rPr>
                <w:sz w:val="20"/>
                <w:szCs w:val="20"/>
                <w:color w:val="auto"/>
              </w:rPr>
            </w:pPr>
            <w:r>
              <w:rPr>
                <w:rFonts w:ascii="Arial" w:cs="Arial" w:eastAsia="Arial" w:hAnsi="Arial"/>
                <w:sz w:val="18"/>
                <w:szCs w:val="18"/>
                <w:color w:val="auto"/>
              </w:rPr>
              <w:t>Name of Joint Investor, if applicable</w:t>
            </w:r>
          </w:p>
        </w:tc>
      </w:tr>
      <w:tr>
        <w:trPr>
          <w:trHeight w:val="462"/>
        </w:trPr>
        <w:tc>
          <w:tcPr>
            <w:tcW w:w="5620" w:type="dxa"/>
            <w:vAlign w:val="bottom"/>
            <w:tcBorders>
              <w:bottom w:val="single" w:sz="8" w:color="auto"/>
            </w:tcBorders>
            <w:gridSpan w:val="2"/>
          </w:tcPr>
          <w:p>
            <w:pPr>
              <w:spacing w:after="0"/>
              <w:rPr>
                <w:sz w:val="24"/>
                <w:szCs w:val="24"/>
                <w:color w:val="auto"/>
              </w:rPr>
            </w:pPr>
          </w:p>
        </w:tc>
        <w:tc>
          <w:tcPr>
            <w:tcW w:w="5620" w:type="dxa"/>
            <w:vAlign w:val="bottom"/>
            <w:tcBorders>
              <w:bottom w:val="single" w:sz="8" w:color="auto"/>
            </w:tcBorders>
            <w:gridSpan w:val="2"/>
          </w:tcPr>
          <w:p>
            <w:pPr>
              <w:spacing w:after="0"/>
              <w:rPr>
                <w:sz w:val="24"/>
                <w:szCs w:val="24"/>
                <w:color w:val="auto"/>
              </w:rPr>
            </w:pPr>
          </w:p>
        </w:tc>
      </w:tr>
      <w:tr>
        <w:trPr>
          <w:trHeight w:val="239"/>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{Please print}</w:t>
            </w:r>
          </w:p>
        </w:tc>
        <w:tc>
          <w:tcPr>
            <w:tcW w:w="5620" w:type="dxa"/>
            <w:vAlign w:val="bottom"/>
            <w:gridSpan w:val="2"/>
          </w:tcPr>
          <w:p>
            <w:pPr>
              <w:spacing w:after="0"/>
              <w:rPr>
                <w:sz w:val="20"/>
                <w:szCs w:val="20"/>
                <w:color w:val="auto"/>
              </w:rPr>
            </w:pPr>
            <w:r>
              <w:rPr>
                <w:rFonts w:ascii="Arial" w:cs="Arial" w:eastAsia="Arial" w:hAnsi="Arial"/>
                <w:sz w:val="18"/>
                <w:szCs w:val="18"/>
                <w:color w:val="auto"/>
              </w:rPr>
              <w:t>{Please print}</w:t>
            </w:r>
          </w:p>
        </w:tc>
      </w:tr>
      <w:tr>
        <w:trPr>
          <w:trHeight w:val="454"/>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Signature of Investor:</w:t>
            </w:r>
          </w:p>
        </w:tc>
        <w:tc>
          <w:tcPr>
            <w:tcW w:w="5620" w:type="dxa"/>
            <w:vAlign w:val="bottom"/>
            <w:gridSpan w:val="2"/>
          </w:tcPr>
          <w:p>
            <w:pPr>
              <w:spacing w:after="0"/>
              <w:rPr>
                <w:sz w:val="20"/>
                <w:szCs w:val="20"/>
                <w:color w:val="auto"/>
              </w:rPr>
            </w:pPr>
            <w:r>
              <w:rPr>
                <w:rFonts w:ascii="Arial" w:cs="Arial" w:eastAsia="Arial" w:hAnsi="Arial"/>
                <w:sz w:val="18"/>
                <w:szCs w:val="18"/>
                <w:color w:val="auto"/>
              </w:rPr>
              <w:t>Signature of Joint Investor, if applicable:</w:t>
            </w:r>
          </w:p>
        </w:tc>
      </w:tr>
      <w:tr>
        <w:trPr>
          <w:trHeight w:val="462"/>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By:</w:t>
            </w:r>
          </w:p>
        </w:tc>
        <w:tc>
          <w:tcPr>
            <w:tcW w:w="5620" w:type="dxa"/>
            <w:vAlign w:val="bottom"/>
            <w:gridSpan w:val="2"/>
          </w:tcPr>
          <w:p>
            <w:pPr>
              <w:spacing w:after="0"/>
              <w:rPr>
                <w:sz w:val="20"/>
                <w:szCs w:val="20"/>
                <w:color w:val="auto"/>
              </w:rPr>
            </w:pPr>
            <w:r>
              <w:rPr>
                <w:rFonts w:ascii="Arial" w:cs="Arial" w:eastAsia="Arial" w:hAnsi="Arial"/>
                <w:sz w:val="18"/>
                <w:szCs w:val="18"/>
                <w:color w:val="auto"/>
              </w:rPr>
              <w:t>By:</w:t>
            </w:r>
          </w:p>
        </w:tc>
      </w:tr>
      <w:tr>
        <w:trPr>
          <w:trHeight w:val="224"/>
        </w:trPr>
        <w:tc>
          <w:tcPr>
            <w:tcW w:w="520" w:type="dxa"/>
            <w:vAlign w:val="bottom"/>
          </w:tcPr>
          <w:p>
            <w:pPr>
              <w:spacing w:after="0"/>
              <w:rPr>
                <w:sz w:val="19"/>
                <w:szCs w:val="19"/>
                <w:color w:val="auto"/>
              </w:rPr>
            </w:pPr>
          </w:p>
        </w:tc>
        <w:tc>
          <w:tcPr>
            <w:tcW w:w="51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20" w:type="dxa"/>
            <w:vAlign w:val="bottom"/>
          </w:tcPr>
          <w:p>
            <w:pPr>
              <w:spacing w:after="0"/>
              <w:rPr>
                <w:sz w:val="19"/>
                <w:szCs w:val="19"/>
                <w:color w:val="auto"/>
              </w:rPr>
            </w:pPr>
          </w:p>
        </w:tc>
        <w:tc>
          <w:tcPr>
            <w:tcW w:w="51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r>
      <w:tr>
        <w:trPr>
          <w:trHeight w:val="239"/>
        </w:trPr>
        <w:tc>
          <w:tcPr>
            <w:tcW w:w="52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Title:</w:t>
            </w:r>
          </w:p>
        </w:tc>
        <w:tc>
          <w:tcPr>
            <w:tcW w:w="52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Title:</w:t>
            </w:r>
          </w:p>
        </w:tc>
      </w:tr>
      <w:tr>
        <w:trPr>
          <w:trHeight w:val="489"/>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If there are joint investors, please check one:</w:t>
            </w:r>
          </w:p>
        </w:tc>
        <w:tc>
          <w:tcPr>
            <w:tcW w:w="52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29"/>
        </w:trPr>
        <w:tc>
          <w:tcPr>
            <w:tcW w:w="5620" w:type="dxa"/>
            <w:vAlign w:val="bottom"/>
            <w:gridSpan w:val="2"/>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Joint Tenants with Rights of Survivorship</w:t>
            </w:r>
          </w:p>
        </w:tc>
        <w:tc>
          <w:tcPr>
            <w:tcW w:w="520" w:type="dxa"/>
            <w:vAlign w:val="bottom"/>
          </w:tcPr>
          <w:p>
            <w:pPr>
              <w:spacing w:after="0"/>
              <w:rPr>
                <w:sz w:val="19"/>
                <w:szCs w:val="19"/>
                <w:color w:val="auto"/>
              </w:rPr>
            </w:pPr>
          </w:p>
        </w:tc>
        <w:tc>
          <w:tcPr>
            <w:tcW w:w="5100" w:type="dxa"/>
            <w:vAlign w:val="bottom"/>
          </w:tcPr>
          <w:p>
            <w:pPr>
              <w:spacing w:after="0"/>
              <w:rPr>
                <w:sz w:val="19"/>
                <w:szCs w:val="19"/>
                <w:color w:val="auto"/>
              </w:rPr>
            </w:pPr>
          </w:p>
        </w:tc>
      </w:tr>
      <w:tr>
        <w:trPr>
          <w:trHeight w:val="230"/>
        </w:trPr>
        <w:tc>
          <w:tcPr>
            <w:tcW w:w="5620" w:type="dxa"/>
            <w:vAlign w:val="bottom"/>
            <w:gridSpan w:val="2"/>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Community Property</w:t>
            </w:r>
          </w:p>
        </w:tc>
        <w:tc>
          <w:tcPr>
            <w:tcW w:w="520" w:type="dxa"/>
            <w:vAlign w:val="bottom"/>
          </w:tcPr>
          <w:p>
            <w:pPr>
              <w:spacing w:after="0"/>
              <w:rPr>
                <w:sz w:val="19"/>
                <w:szCs w:val="19"/>
                <w:color w:val="auto"/>
              </w:rPr>
            </w:pPr>
          </w:p>
        </w:tc>
        <w:tc>
          <w:tcPr>
            <w:tcW w:w="5100" w:type="dxa"/>
            <w:vAlign w:val="bottom"/>
          </w:tcPr>
          <w:p>
            <w:pPr>
              <w:spacing w:after="0"/>
              <w:rPr>
                <w:sz w:val="19"/>
                <w:szCs w:val="19"/>
                <w:color w:val="auto"/>
              </w:rPr>
            </w:pPr>
          </w:p>
        </w:tc>
      </w:tr>
      <w:tr>
        <w:trPr>
          <w:trHeight w:val="283"/>
        </w:trPr>
        <w:tc>
          <w:tcPr>
            <w:tcW w:w="5620" w:type="dxa"/>
            <w:vAlign w:val="bottom"/>
            <w:gridSpan w:val="2"/>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Tenants-in-Common</w:t>
            </w:r>
          </w:p>
        </w:tc>
        <w:tc>
          <w:tcPr>
            <w:tcW w:w="52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44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Investor’s EIN:</w:t>
            </w:r>
          </w:p>
        </w:tc>
        <w:tc>
          <w:tcPr>
            <w:tcW w:w="5620" w:type="dxa"/>
            <w:vAlign w:val="bottom"/>
            <w:gridSpan w:val="2"/>
          </w:tcPr>
          <w:p>
            <w:pPr>
              <w:spacing w:after="0"/>
              <w:rPr>
                <w:sz w:val="20"/>
                <w:szCs w:val="20"/>
                <w:color w:val="auto"/>
              </w:rPr>
            </w:pPr>
            <w:r>
              <w:rPr>
                <w:rFonts w:ascii="Arial" w:cs="Arial" w:eastAsia="Arial" w:hAnsi="Arial"/>
                <w:sz w:val="18"/>
                <w:szCs w:val="18"/>
                <w:color w:val="auto"/>
              </w:rPr>
              <w:t>Joint Investor’s EIN:</w:t>
            </w:r>
          </w:p>
        </w:tc>
      </w:tr>
      <w:tr>
        <w:trPr>
          <w:trHeight w:val="232"/>
        </w:trPr>
        <w:tc>
          <w:tcPr>
            <w:tcW w:w="5620" w:type="dxa"/>
            <w:vAlign w:val="bottom"/>
            <w:tcBorders>
              <w:bottom w:val="single" w:sz="8" w:color="auto"/>
            </w:tcBorders>
            <w:gridSpan w:val="2"/>
          </w:tcPr>
          <w:p>
            <w:pPr>
              <w:spacing w:after="0"/>
              <w:rPr>
                <w:sz w:val="20"/>
                <w:szCs w:val="20"/>
                <w:color w:val="auto"/>
              </w:rPr>
            </w:pPr>
          </w:p>
        </w:tc>
        <w:tc>
          <w:tcPr>
            <w:tcW w:w="5620" w:type="dxa"/>
            <w:vAlign w:val="bottom"/>
            <w:tcBorders>
              <w:bottom w:val="single" w:sz="8" w:color="auto"/>
            </w:tcBorders>
            <w:gridSpan w:val="2"/>
          </w:tcPr>
          <w:p>
            <w:pPr>
              <w:spacing w:after="0"/>
              <w:rPr>
                <w:sz w:val="20"/>
                <w:szCs w:val="20"/>
                <w:color w:val="auto"/>
              </w:rPr>
            </w:pPr>
          </w:p>
        </w:tc>
      </w:tr>
      <w:tr>
        <w:trPr>
          <w:trHeight w:val="46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Business Address-Street:</w:t>
            </w:r>
          </w:p>
        </w:tc>
        <w:tc>
          <w:tcPr>
            <w:tcW w:w="5620" w:type="dxa"/>
            <w:vAlign w:val="bottom"/>
            <w:gridSpan w:val="2"/>
          </w:tcPr>
          <w:p>
            <w:pPr>
              <w:spacing w:after="0"/>
              <w:rPr>
                <w:sz w:val="20"/>
                <w:szCs w:val="20"/>
                <w:color w:val="auto"/>
              </w:rPr>
            </w:pPr>
            <w:r>
              <w:rPr>
                <w:rFonts w:ascii="Arial" w:cs="Arial" w:eastAsia="Arial" w:hAnsi="Arial"/>
                <w:sz w:val="18"/>
                <w:szCs w:val="18"/>
                <w:color w:val="auto"/>
              </w:rPr>
              <w:t>Mailing Address-Street (if different):</w:t>
            </w:r>
          </w:p>
        </w:tc>
      </w:tr>
      <w:tr>
        <w:trPr>
          <w:trHeight w:val="233"/>
        </w:trPr>
        <w:tc>
          <w:tcPr>
            <w:tcW w:w="5620" w:type="dxa"/>
            <w:vAlign w:val="bottom"/>
            <w:tcBorders>
              <w:bottom w:val="single" w:sz="8" w:color="auto"/>
            </w:tcBorders>
            <w:gridSpan w:val="2"/>
          </w:tcPr>
          <w:p>
            <w:pPr>
              <w:spacing w:after="0"/>
              <w:rPr>
                <w:sz w:val="20"/>
                <w:szCs w:val="20"/>
                <w:color w:val="auto"/>
              </w:rPr>
            </w:pPr>
          </w:p>
        </w:tc>
        <w:tc>
          <w:tcPr>
            <w:tcW w:w="5620" w:type="dxa"/>
            <w:vAlign w:val="bottom"/>
            <w:tcBorders>
              <w:bottom w:val="single" w:sz="8" w:color="auto"/>
            </w:tcBorders>
            <w:gridSpan w:val="2"/>
          </w:tcPr>
          <w:p>
            <w:pPr>
              <w:spacing w:after="0"/>
              <w:rPr>
                <w:sz w:val="20"/>
                <w:szCs w:val="20"/>
                <w:color w:val="auto"/>
              </w:rPr>
            </w:pPr>
          </w:p>
        </w:tc>
      </w:tr>
      <w:tr>
        <w:trPr>
          <w:trHeight w:val="237"/>
        </w:trPr>
        <w:tc>
          <w:tcPr>
            <w:tcW w:w="520" w:type="dxa"/>
            <w:vAlign w:val="bottom"/>
            <w:tcBorders>
              <w:bottom w:val="single" w:sz="8" w:color="auto"/>
            </w:tcBorders>
          </w:tcPr>
          <w:p>
            <w:pPr>
              <w:spacing w:after="0"/>
              <w:rPr>
                <w:sz w:val="20"/>
                <w:szCs w:val="20"/>
                <w:color w:val="auto"/>
              </w:rPr>
            </w:pPr>
          </w:p>
        </w:tc>
        <w:tc>
          <w:tcPr>
            <w:tcW w:w="5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100" w:type="dxa"/>
            <w:vAlign w:val="bottom"/>
            <w:tcBorders>
              <w:bottom w:val="single" w:sz="8" w:color="auto"/>
            </w:tcBorders>
          </w:tcPr>
          <w:p>
            <w:pPr>
              <w:spacing w:after="0"/>
              <w:rPr>
                <w:sz w:val="20"/>
                <w:szCs w:val="20"/>
                <w:color w:val="auto"/>
              </w:rPr>
            </w:pPr>
          </w:p>
        </w:tc>
      </w:tr>
      <w:tr>
        <w:trPr>
          <w:trHeight w:val="405"/>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City, State, Zip:</w:t>
            </w:r>
          </w:p>
        </w:tc>
        <w:tc>
          <w:tcPr>
            <w:tcW w:w="5620" w:type="dxa"/>
            <w:vAlign w:val="bottom"/>
            <w:gridSpan w:val="2"/>
          </w:tcPr>
          <w:p>
            <w:pPr>
              <w:spacing w:after="0"/>
              <w:rPr>
                <w:sz w:val="20"/>
                <w:szCs w:val="20"/>
                <w:color w:val="auto"/>
              </w:rPr>
            </w:pPr>
            <w:r>
              <w:rPr>
                <w:rFonts w:ascii="Arial" w:cs="Arial" w:eastAsia="Arial" w:hAnsi="Arial"/>
                <w:sz w:val="18"/>
                <w:szCs w:val="18"/>
                <w:color w:val="auto"/>
              </w:rPr>
              <w:t>City, State, Zip:</w:t>
            </w:r>
          </w:p>
        </w:tc>
      </w:tr>
      <w:tr>
        <w:trPr>
          <w:trHeight w:val="250"/>
        </w:trPr>
        <w:tc>
          <w:tcPr>
            <w:tcW w:w="5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                                                                                         </w:t>
            </w:r>
          </w:p>
        </w:tc>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                                                                           </w:t>
            </w:r>
          </w:p>
        </w:tc>
      </w:tr>
      <w:tr>
        <w:trPr>
          <w:trHeight w:val="175"/>
        </w:trPr>
        <w:tc>
          <w:tcPr>
            <w:tcW w:w="56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Attn:</w:t>
            </w:r>
          </w:p>
        </w:tc>
        <w:tc>
          <w:tcPr>
            <w:tcW w:w="5620" w:type="dxa"/>
            <w:vAlign w:val="bottom"/>
            <w:gridSpan w:val="2"/>
          </w:tcPr>
          <w:p>
            <w:pPr>
              <w:spacing w:after="0" w:line="176" w:lineRule="exact"/>
              <w:rPr>
                <w:sz w:val="20"/>
                <w:szCs w:val="20"/>
                <w:color w:val="auto"/>
              </w:rPr>
            </w:pPr>
            <w:r>
              <w:rPr>
                <w:rFonts w:ascii="Arial" w:cs="Arial" w:eastAsia="Arial" w:hAnsi="Arial"/>
                <w:sz w:val="18"/>
                <w:szCs w:val="18"/>
                <w:color w:val="auto"/>
              </w:rPr>
              <w:t>Attn:</w:t>
            </w:r>
          </w:p>
        </w:tc>
      </w:tr>
      <w:tr>
        <w:trPr>
          <w:trHeight w:val="250"/>
        </w:trPr>
        <w:tc>
          <w:tcPr>
            <w:tcW w:w="5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                                                                                         </w:t>
            </w:r>
          </w:p>
        </w:tc>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                                                                                        </w:t>
            </w:r>
          </w:p>
        </w:tc>
      </w:tr>
      <w:tr>
        <w:trPr>
          <w:trHeight w:val="175"/>
        </w:trPr>
        <w:tc>
          <w:tcPr>
            <w:tcW w:w="56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Telephone No.:</w:t>
            </w:r>
          </w:p>
        </w:tc>
        <w:tc>
          <w:tcPr>
            <w:tcW w:w="5620" w:type="dxa"/>
            <w:vAlign w:val="bottom"/>
            <w:gridSpan w:val="2"/>
          </w:tcPr>
          <w:p>
            <w:pPr>
              <w:spacing w:after="0" w:line="176" w:lineRule="exact"/>
              <w:rPr>
                <w:sz w:val="20"/>
                <w:szCs w:val="20"/>
                <w:color w:val="auto"/>
              </w:rPr>
            </w:pPr>
            <w:r>
              <w:rPr>
                <w:rFonts w:ascii="Arial" w:cs="Arial" w:eastAsia="Arial" w:hAnsi="Arial"/>
                <w:sz w:val="18"/>
                <w:szCs w:val="18"/>
                <w:color w:val="auto"/>
              </w:rPr>
              <w:t>Telephone No.:</w:t>
            </w:r>
          </w:p>
        </w:tc>
      </w:tr>
      <w:tr>
        <w:trPr>
          <w:trHeight w:val="250"/>
        </w:trPr>
        <w:tc>
          <w:tcPr>
            <w:tcW w:w="5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                                                                                         </w:t>
            </w:r>
          </w:p>
        </w:tc>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                                                                                         </w:t>
            </w:r>
          </w:p>
        </w:tc>
      </w:tr>
      <w:tr>
        <w:trPr>
          <w:trHeight w:val="175"/>
        </w:trPr>
        <w:tc>
          <w:tcPr>
            <w:tcW w:w="56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Facsimile No:</w:t>
            </w:r>
          </w:p>
        </w:tc>
        <w:tc>
          <w:tcPr>
            <w:tcW w:w="5620" w:type="dxa"/>
            <w:vAlign w:val="bottom"/>
            <w:gridSpan w:val="2"/>
          </w:tcPr>
          <w:p>
            <w:pPr>
              <w:spacing w:after="0" w:line="176" w:lineRule="exact"/>
              <w:rPr>
                <w:sz w:val="20"/>
                <w:szCs w:val="20"/>
                <w:color w:val="auto"/>
              </w:rPr>
            </w:pPr>
            <w:r>
              <w:rPr>
                <w:rFonts w:ascii="Arial" w:cs="Arial" w:eastAsia="Arial" w:hAnsi="Arial"/>
                <w:sz w:val="18"/>
                <w:szCs w:val="18"/>
                <w:color w:val="auto"/>
              </w:rPr>
              <w:t>Facsimile No:</w:t>
            </w:r>
          </w:p>
        </w:tc>
      </w:tr>
      <w:tr>
        <w:trPr>
          <w:trHeight w:val="250"/>
        </w:trPr>
        <w:tc>
          <w:tcPr>
            <w:tcW w:w="5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                                                                                         </w:t>
            </w:r>
          </w:p>
        </w:tc>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                                                                                         </w:t>
            </w:r>
          </w:p>
        </w:tc>
      </w:tr>
      <w:tr>
        <w:trPr>
          <w:trHeight w:val="175"/>
        </w:trPr>
        <w:tc>
          <w:tcPr>
            <w:tcW w:w="56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Email Address:</w:t>
            </w:r>
          </w:p>
        </w:tc>
        <w:tc>
          <w:tcPr>
            <w:tcW w:w="5620" w:type="dxa"/>
            <w:vAlign w:val="bottom"/>
            <w:gridSpan w:val="2"/>
          </w:tcPr>
          <w:p>
            <w:pPr>
              <w:spacing w:after="0" w:line="176" w:lineRule="exact"/>
              <w:rPr>
                <w:sz w:val="20"/>
                <w:szCs w:val="20"/>
                <w:color w:val="auto"/>
              </w:rPr>
            </w:pPr>
            <w:r>
              <w:rPr>
                <w:rFonts w:ascii="Arial" w:cs="Arial" w:eastAsia="Arial" w:hAnsi="Arial"/>
                <w:sz w:val="18"/>
                <w:szCs w:val="18"/>
                <w:color w:val="auto"/>
              </w:rPr>
              <w:t>Email Address:</w:t>
            </w:r>
          </w:p>
        </w:tc>
      </w:tr>
      <w:tr>
        <w:trPr>
          <w:trHeight w:val="250"/>
        </w:trPr>
        <w:tc>
          <w:tcPr>
            <w:tcW w:w="5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                                                                                         </w:t>
            </w:r>
          </w:p>
        </w:tc>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                                                                                         </w:t>
            </w:r>
          </w:p>
        </w:tc>
      </w:tr>
    </w:tbl>
    <w:p>
      <w:pPr>
        <w:spacing w:after="0" w:line="200" w:lineRule="exact"/>
        <w:rPr>
          <w:sz w:val="20"/>
          <w:szCs w:val="20"/>
          <w:color w:val="auto"/>
        </w:rPr>
      </w:pPr>
    </w:p>
    <w:p>
      <w:pPr>
        <w:sectPr>
          <w:pgSz w:w="11900" w:h="16838" w:orient="portrait"/>
          <w:cols w:equalWidth="0" w:num="1">
            <w:col w:w="11240"/>
          </w:cols>
          <w:pgMar w:left="320" w:top="14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 Page to Preferred Stock Purchase Agreement</w:t>
      </w:r>
    </w:p>
    <w:p>
      <w:pPr>
        <w:sectPr>
          <w:pgSz w:w="11900" w:h="16838" w:orient="portrait"/>
          <w:cols w:equalWidth="0" w:num="1">
            <w:col w:w="11240"/>
          </w:cols>
          <w:pgMar w:left="320" w:top="1403" w:right="339" w:bottom="1440" w:gutter="0" w:footer="0" w:header="0"/>
          <w:type w:val="continuous"/>
        </w:sectPr>
      </w:pPr>
    </w:p>
    <w:bookmarkStart w:id="45" w:name="page46"/>
    <w:bookmarkEnd w:id="45"/>
    <w:tbl>
      <w:tblPr>
        <w:tblLayout w:type="fixed"/>
        <w:tblInd w:w="10" w:type="dxa"/>
        <w:tblCellMar>
          <w:top w:w="0" w:type="dxa"/>
          <w:left w:w="0" w:type="dxa"/>
          <w:bottom w:w="0" w:type="dxa"/>
          <w:right w:w="0" w:type="dxa"/>
        </w:tblCellMar>
      </w:tblPr>
      <w:tr>
        <w:trPr>
          <w:trHeight w:val="247"/>
        </w:trPr>
        <w:tc>
          <w:tcPr>
            <w:tcW w:w="3760" w:type="dxa"/>
            <w:vAlign w:val="bottom"/>
          </w:tcPr>
          <w:p>
            <w:pPr>
              <w:spacing w:after="0"/>
              <w:rPr>
                <w:sz w:val="21"/>
                <w:szCs w:val="21"/>
                <w:color w:val="auto"/>
              </w:rPr>
            </w:pPr>
          </w:p>
        </w:tc>
        <w:tc>
          <w:tcPr>
            <w:tcW w:w="3740" w:type="dxa"/>
            <w:vAlign w:val="bottom"/>
          </w:tcPr>
          <w:p>
            <w:pPr>
              <w:ind w:left="1380"/>
              <w:spacing w:after="0"/>
              <w:rPr>
                <w:sz w:val="20"/>
                <w:szCs w:val="20"/>
                <w:color w:val="auto"/>
              </w:rPr>
            </w:pPr>
            <w:r>
              <w:rPr>
                <w:rFonts w:ascii="Arial" w:cs="Arial" w:eastAsia="Arial" w:hAnsi="Arial"/>
                <w:sz w:val="18"/>
                <w:szCs w:val="18"/>
                <w:b w:val="1"/>
                <w:bCs w:val="1"/>
                <w:color w:val="auto"/>
              </w:rPr>
              <w:t>Schedule 1</w:t>
            </w:r>
          </w:p>
        </w:tc>
        <w:tc>
          <w:tcPr>
            <w:tcW w:w="3760" w:type="dxa"/>
            <w:vAlign w:val="bottom"/>
          </w:tcPr>
          <w:p>
            <w:pPr>
              <w:spacing w:after="0"/>
              <w:rPr>
                <w:sz w:val="21"/>
                <w:szCs w:val="21"/>
                <w:color w:val="auto"/>
              </w:rPr>
            </w:pPr>
          </w:p>
        </w:tc>
      </w:tr>
      <w:tr>
        <w:trPr>
          <w:trHeight w:val="420"/>
        </w:trPr>
        <w:tc>
          <w:tcPr>
            <w:tcW w:w="37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r>
        <w:trPr>
          <w:trHeight w:val="22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Name of Investor</w:t>
            </w:r>
          </w:p>
        </w:tc>
        <w:tc>
          <w:tcPr>
            <w:tcW w:w="3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Shares of Preferred Stock</w:t>
            </w:r>
          </w:p>
        </w:tc>
        <w:tc>
          <w:tcPr>
            <w:tcW w:w="3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Purchase Price</w:t>
            </w:r>
          </w:p>
        </w:tc>
      </w:tr>
      <w:tr>
        <w:trPr>
          <w:trHeight w:val="22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w:t>
            </w:r>
          </w:p>
        </w:tc>
        <w:tc>
          <w:tcPr>
            <w:tcW w:w="3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3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 ]</w:t>
            </w:r>
          </w:p>
        </w:tc>
      </w:tr>
    </w:tbl>
    <w:p>
      <w:pPr>
        <w:sectPr>
          <w:pgSz w:w="11900" w:h="16838" w:orient="portrait"/>
          <w:cols w:equalWidth="0" w:num="1">
            <w:col w:w="11260"/>
          </w:cols>
          <w:pgMar w:left="320" w:top="1403" w:right="31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2</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ELIGIBILITY REPRESENTATIONS OF INVESTOR</w:t>
      </w:r>
    </w:p>
    <w:p>
      <w:pPr>
        <w:spacing w:after="0" w:line="144" w:lineRule="exact"/>
        <w:rPr>
          <w:sz w:val="20"/>
          <w:szCs w:val="20"/>
          <w:color w:val="auto"/>
        </w:rPr>
      </w:pPr>
    </w:p>
    <w:p>
      <w:pPr>
        <w:ind w:left="3500"/>
        <w:spacing w:after="0"/>
        <w:rPr>
          <w:sz w:val="20"/>
          <w:szCs w:val="20"/>
          <w:color w:val="auto"/>
        </w:rPr>
      </w:pPr>
      <w:r>
        <w:rPr>
          <w:rFonts w:ascii="Arial" w:cs="Arial" w:eastAsia="Arial" w:hAnsi="Arial"/>
          <w:sz w:val="18"/>
          <w:szCs w:val="18"/>
          <w:b w:val="1"/>
          <w:bCs w:val="1"/>
          <w:i w:val="1"/>
          <w:iCs w:val="1"/>
          <w:color w:val="auto"/>
        </w:rPr>
        <w:t>This Schedule 2 should be completed by Investor</w:t>
      </w:r>
    </w:p>
    <w:p>
      <w:pPr>
        <w:ind w:left="3460"/>
        <w:spacing w:after="0"/>
        <w:rPr>
          <w:sz w:val="20"/>
          <w:szCs w:val="20"/>
          <w:color w:val="auto"/>
        </w:rPr>
      </w:pPr>
      <w:r>
        <w:rPr>
          <w:rFonts w:ascii="Arial" w:cs="Arial" w:eastAsia="Arial" w:hAnsi="Arial"/>
          <w:sz w:val="18"/>
          <w:szCs w:val="18"/>
          <w:b w:val="1"/>
          <w:bCs w:val="1"/>
          <w:i w:val="1"/>
          <w:iCs w:val="1"/>
          <w:color w:val="auto"/>
        </w:rPr>
        <w:t>and constitutes a part of the Purchase Agreement.</w:t>
      </w:r>
    </w:p>
    <w:p>
      <w:pPr>
        <w:spacing w:after="0" w:line="194" w:lineRule="exact"/>
        <w:rPr>
          <w:sz w:val="20"/>
          <w:szCs w:val="20"/>
          <w:color w:val="auto"/>
        </w:rPr>
      </w:pPr>
    </w:p>
    <w:p>
      <w:pPr>
        <w:ind w:left="600" w:hanging="493"/>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QUALIFIED INSTITUTIONAL BUYER STATUS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(Please check the applicable subparagraphs):</w:t>
      </w:r>
    </w:p>
    <w:p>
      <w:pPr>
        <w:spacing w:after="0" w:line="183" w:lineRule="exact"/>
        <w:rPr>
          <w:sz w:val="20"/>
          <w:szCs w:val="20"/>
          <w:color w:val="auto"/>
        </w:rPr>
      </w:pPr>
    </w:p>
    <w:p>
      <w:pPr>
        <w:ind w:left="1060" w:right="20" w:hanging="535"/>
        <w:spacing w:after="0" w:line="221" w:lineRule="exact"/>
        <w:tabs>
          <w:tab w:leader="none" w:pos="790" w:val="left"/>
        </w:tabs>
        <w:numPr>
          <w:ilvl w:val="2"/>
          <w:numId w:val="3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Investor is a “qualified institutional buyer” (as defined in Rule 144A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 “</w:t>
      </w:r>
      <w:r>
        <w:rPr>
          <w:rFonts w:ascii="Arial" w:cs="Arial" w:eastAsia="Arial" w:hAnsi="Arial"/>
          <w:sz w:val="18"/>
          <w:szCs w:val="18"/>
          <w:u w:val="single" w:color="auto"/>
          <w:color w:val="auto"/>
        </w:rPr>
        <w:t>QIB</w:t>
      </w:r>
      <w:r>
        <w:rPr>
          <w:rFonts w:ascii="Arial" w:cs="Arial" w:eastAsia="Arial" w:hAnsi="Arial"/>
          <w:sz w:val="18"/>
          <w:szCs w:val="18"/>
          <w:color w:val="auto"/>
        </w:rPr>
        <w:t>”)).</w:t>
      </w:r>
    </w:p>
    <w:p>
      <w:pPr>
        <w:spacing w:after="0" w:line="273" w:lineRule="exact"/>
        <w:rPr>
          <w:rFonts w:ascii="Arial" w:cs="Arial" w:eastAsia="Arial" w:hAnsi="Arial"/>
          <w:sz w:val="18"/>
          <w:szCs w:val="18"/>
          <w:color w:val="auto"/>
        </w:rPr>
      </w:pPr>
    </w:p>
    <w:p>
      <w:pPr>
        <w:ind w:left="1060" w:right="20" w:hanging="535"/>
        <w:spacing w:after="0" w:line="221" w:lineRule="exact"/>
        <w:tabs>
          <w:tab w:leader="none" w:pos="790" w:val="left"/>
        </w:tabs>
        <w:numPr>
          <w:ilvl w:val="2"/>
          <w:numId w:val="3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Investor is purchasing the Securities as a fiduciary or agent for one or more investor accounts, and each owner of such account is a QIB.</w:t>
      </w:r>
    </w:p>
    <w:p>
      <w:pPr>
        <w:spacing w:after="0" w:line="248"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OR ***</w:t>
      </w:r>
    </w:p>
    <w:p>
      <w:pPr>
        <w:spacing w:after="0" w:line="198"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7"/>
          <w:szCs w:val="17"/>
          <w:color w:val="auto"/>
        </w:rPr>
        <w:t>ACCREDITED INVESTOR STATUS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(Please check the applicable box) INVESTOR:</w:t>
      </w:r>
    </w:p>
    <w:p>
      <w:pPr>
        <w:spacing w:after="0" w:line="212" w:lineRule="exact"/>
        <w:rPr>
          <w:sz w:val="20"/>
          <w:szCs w:val="20"/>
          <w:color w:val="auto"/>
        </w:rPr>
      </w:pPr>
    </w:p>
    <w:p>
      <w:pPr>
        <w:ind w:left="1040" w:hanging="515"/>
        <w:spacing w:after="0"/>
        <w:tabs>
          <w:tab w:leader="none" w:pos="1040" w:val="left"/>
        </w:tabs>
        <w:numPr>
          <w:ilvl w:val="0"/>
          <w:numId w:val="35"/>
        </w:numPr>
        <w:rPr>
          <w:rFonts w:ascii="MS PGothic" w:cs="MS PGothic" w:eastAsia="MS PGothic" w:hAnsi="MS PGothic"/>
          <w:sz w:val="18"/>
          <w:szCs w:val="18"/>
          <w:color w:val="auto"/>
        </w:rPr>
      </w:pPr>
      <w:r>
        <w:rPr>
          <w:rFonts w:ascii="Arial" w:cs="Arial" w:eastAsia="Arial" w:hAnsi="Arial"/>
          <w:sz w:val="18"/>
          <w:szCs w:val="18"/>
          <w:color w:val="auto"/>
        </w:rPr>
        <w:t>is:</w:t>
      </w:r>
    </w:p>
    <w:p>
      <w:pPr>
        <w:spacing w:after="0" w:line="387" w:lineRule="exact"/>
        <w:rPr>
          <w:rFonts w:ascii="MS PGothic" w:cs="MS PGothic" w:eastAsia="MS PGothic" w:hAnsi="MS PGothic"/>
          <w:sz w:val="18"/>
          <w:szCs w:val="18"/>
          <w:color w:val="auto"/>
        </w:rPr>
      </w:pPr>
    </w:p>
    <w:p>
      <w:pPr>
        <w:ind w:left="1040" w:hanging="515"/>
        <w:spacing w:after="0"/>
        <w:tabs>
          <w:tab w:leader="none" w:pos="1040" w:val="left"/>
        </w:tabs>
        <w:numPr>
          <w:ilvl w:val="0"/>
          <w:numId w:val="35"/>
        </w:numPr>
        <w:rPr>
          <w:rFonts w:ascii="MS PGothic" w:cs="MS PGothic" w:eastAsia="MS PGothic" w:hAnsi="MS PGothic"/>
          <w:sz w:val="18"/>
          <w:szCs w:val="18"/>
          <w:color w:val="auto"/>
        </w:rPr>
      </w:pPr>
      <w:r>
        <w:rPr>
          <w:rFonts w:ascii="Arial" w:cs="Arial" w:eastAsia="Arial" w:hAnsi="Arial"/>
          <w:sz w:val="18"/>
          <w:szCs w:val="18"/>
          <w:color w:val="auto"/>
        </w:rPr>
        <w:t>is not</w:t>
      </w:r>
    </w:p>
    <w:p>
      <w:pPr>
        <w:spacing w:after="0" w:line="266" w:lineRule="exact"/>
        <w:rPr>
          <w:sz w:val="20"/>
          <w:szCs w:val="20"/>
          <w:color w:val="auto"/>
        </w:rPr>
      </w:pPr>
    </w:p>
    <w:p>
      <w:pPr>
        <w:ind w:left="660" w:right="120"/>
        <w:spacing w:after="0"/>
        <w:rPr>
          <w:sz w:val="20"/>
          <w:szCs w:val="20"/>
          <w:color w:val="auto"/>
        </w:rPr>
      </w:pPr>
      <w:r>
        <w:rPr>
          <w:rFonts w:ascii="Arial" w:cs="Arial" w:eastAsia="Arial" w:hAnsi="Arial"/>
          <w:sz w:val="18"/>
          <w:szCs w:val="18"/>
          <w:color w:val="auto"/>
        </w:rPr>
        <w:t>an “accredited investor” (within the meaning of Rule 501(a) under the Securities Act), and have marked and initialed the appropriate box on the following page indicating the provision under which it qualifies as an “accredited investor.”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AND ***</w:t>
      </w:r>
    </w:p>
    <w:p>
      <w:pPr>
        <w:spacing w:after="0" w:line="198" w:lineRule="exact"/>
        <w:rPr>
          <w:sz w:val="20"/>
          <w:szCs w:val="20"/>
          <w:color w:val="auto"/>
        </w:rPr>
      </w:pPr>
    </w:p>
    <w:p>
      <w:pPr>
        <w:ind w:left="980" w:hanging="873"/>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AFFILIATE STATUS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(Please check the applicable box) INVESTOR:</w:t>
      </w:r>
    </w:p>
    <w:p>
      <w:pPr>
        <w:spacing w:after="0" w:line="212" w:lineRule="exact"/>
        <w:rPr>
          <w:sz w:val="20"/>
          <w:szCs w:val="20"/>
          <w:color w:val="auto"/>
        </w:rPr>
      </w:pPr>
    </w:p>
    <w:p>
      <w:pPr>
        <w:ind w:left="1040" w:hanging="515"/>
        <w:spacing w:after="0"/>
        <w:tabs>
          <w:tab w:leader="none" w:pos="1040" w:val="left"/>
        </w:tabs>
        <w:numPr>
          <w:ilvl w:val="0"/>
          <w:numId w:val="37"/>
        </w:numPr>
        <w:rPr>
          <w:rFonts w:ascii="MS PGothic" w:cs="MS PGothic" w:eastAsia="MS PGothic" w:hAnsi="MS PGothic"/>
          <w:sz w:val="18"/>
          <w:szCs w:val="18"/>
          <w:color w:val="auto"/>
        </w:rPr>
      </w:pPr>
      <w:r>
        <w:rPr>
          <w:rFonts w:ascii="Arial" w:cs="Arial" w:eastAsia="Arial" w:hAnsi="Arial"/>
          <w:sz w:val="18"/>
          <w:szCs w:val="18"/>
          <w:color w:val="auto"/>
        </w:rPr>
        <w:t>is:</w:t>
      </w:r>
    </w:p>
    <w:p>
      <w:pPr>
        <w:spacing w:after="0" w:line="373" w:lineRule="exact"/>
        <w:rPr>
          <w:rFonts w:ascii="MS PGothic" w:cs="MS PGothic" w:eastAsia="MS PGothic" w:hAnsi="MS PGothic"/>
          <w:sz w:val="18"/>
          <w:szCs w:val="18"/>
          <w:color w:val="auto"/>
        </w:rPr>
      </w:pPr>
    </w:p>
    <w:p>
      <w:pPr>
        <w:ind w:left="1040" w:hanging="515"/>
        <w:spacing w:after="0"/>
        <w:tabs>
          <w:tab w:leader="none" w:pos="1040" w:val="left"/>
        </w:tabs>
        <w:numPr>
          <w:ilvl w:val="0"/>
          <w:numId w:val="37"/>
        </w:numPr>
        <w:rPr>
          <w:rFonts w:ascii="MS PGothic" w:cs="MS PGothic" w:eastAsia="MS PGothic" w:hAnsi="MS PGothic"/>
          <w:sz w:val="18"/>
          <w:szCs w:val="18"/>
          <w:color w:val="auto"/>
        </w:rPr>
      </w:pPr>
      <w:r>
        <w:rPr>
          <w:rFonts w:ascii="Arial" w:cs="Arial" w:eastAsia="Arial" w:hAnsi="Arial"/>
          <w:sz w:val="18"/>
          <w:szCs w:val="18"/>
          <w:color w:val="auto"/>
        </w:rPr>
        <w:t>is not</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“affiliate” (as defined in Rule 144 under the Securities Act) of the Company or acting on behalf of an affiliate of the Company.</w:t>
      </w:r>
    </w:p>
    <w:p>
      <w:pPr>
        <w:spacing w:after="0" w:line="158"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w:t>
      </w:r>
    </w:p>
    <w:p>
      <w:pPr>
        <w:spacing w:after="0" w:line="1"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Investor has indicated, by marking and initialing the appropriate box below, the provision(s) below which apply to Investor and under which Investor accordingly qualifies as an “accredited investor.”</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8" w:lineRule="exact"/>
        <w:rPr>
          <w:sz w:val="20"/>
          <w:szCs w:val="20"/>
          <w:color w:val="auto"/>
        </w:rPr>
      </w:pPr>
    </w:p>
    <w:p>
      <w:pPr>
        <w:ind w:left="515" w:hanging="515"/>
        <w:spacing w:after="0"/>
        <w:tabs>
          <w:tab w:leader="none" w:pos="515" w:val="left"/>
        </w:tabs>
        <w:numPr>
          <w:ilvl w:val="0"/>
          <w:numId w:val="38"/>
        </w:numPr>
        <w:rPr>
          <w:rFonts w:ascii="MS PGothic" w:cs="MS PGothic" w:eastAsia="MS PGothic" w:hAnsi="MS PGothic"/>
          <w:sz w:val="18"/>
          <w:szCs w:val="18"/>
          <w:color w:val="auto"/>
        </w:rPr>
      </w:pPr>
      <w:r>
        <w:rPr>
          <w:rFonts w:ascii="Arial" w:cs="Arial" w:eastAsia="Arial" w:hAnsi="Arial"/>
          <w:sz w:val="18"/>
          <w:szCs w:val="18"/>
          <w:color w:val="auto"/>
        </w:rPr>
        <w:t>Any bank as defined in section 3(a)(2) of the Securities Act, or any savings and loan association or other institution as defined in section 3(a)(5)(A) of the Securities Act whether acting in its individual or fiduciary capacity;</w:t>
      </w:r>
    </w:p>
    <w:p>
      <w:pPr>
        <w:spacing w:after="0" w:line="301" w:lineRule="exact"/>
        <w:rPr>
          <w:rFonts w:ascii="MS PGothic" w:cs="MS PGothic" w:eastAsia="MS PGothic" w:hAnsi="MS PGothic"/>
          <w:sz w:val="18"/>
          <w:szCs w:val="18"/>
          <w:color w:val="auto"/>
        </w:rPr>
      </w:pPr>
    </w:p>
    <w:p>
      <w:pPr>
        <w:ind w:left="1235" w:hanging="870"/>
        <w:spacing w:after="0"/>
        <w:tabs>
          <w:tab w:leader="none" w:pos="1235" w:val="left"/>
        </w:tabs>
        <w:numPr>
          <w:ilvl w:val="1"/>
          <w:numId w:val="38"/>
        </w:numPr>
        <w:rPr>
          <w:rFonts w:ascii="MS PGothic" w:cs="MS PGothic" w:eastAsia="MS PGothic" w:hAnsi="MS PGothic"/>
          <w:sz w:val="18"/>
          <w:szCs w:val="18"/>
          <w:color w:val="auto"/>
        </w:rPr>
      </w:pPr>
      <w:r>
        <w:rPr>
          <w:rFonts w:ascii="Arial" w:cs="Arial" w:eastAsia="Arial" w:hAnsi="Arial"/>
          <w:sz w:val="18"/>
          <w:szCs w:val="18"/>
          <w:color w:val="auto"/>
        </w:rPr>
        <w:t>Any broker or dealer registered pursuant to section 15 of the Exchange Act;</w:t>
      </w:r>
    </w:p>
    <w:p>
      <w:pPr>
        <w:spacing w:after="0" w:line="319" w:lineRule="exact"/>
        <w:rPr>
          <w:rFonts w:ascii="MS PGothic" w:cs="MS PGothic" w:eastAsia="MS PGothic" w:hAnsi="MS PGothic"/>
          <w:sz w:val="18"/>
          <w:szCs w:val="18"/>
          <w:color w:val="auto"/>
        </w:rPr>
      </w:pPr>
    </w:p>
    <w:p>
      <w:pPr>
        <w:ind w:left="1235" w:right="20" w:hanging="870"/>
        <w:spacing w:after="0"/>
        <w:tabs>
          <w:tab w:leader="none" w:pos="1235" w:val="left"/>
        </w:tabs>
        <w:numPr>
          <w:ilvl w:val="1"/>
          <w:numId w:val="38"/>
        </w:numPr>
        <w:rPr>
          <w:rFonts w:ascii="MS PGothic" w:cs="MS PGothic" w:eastAsia="MS PGothic" w:hAnsi="MS PGothic"/>
          <w:sz w:val="18"/>
          <w:szCs w:val="18"/>
          <w:color w:val="auto"/>
        </w:rPr>
      </w:pPr>
      <w:r>
        <w:rPr>
          <w:rFonts w:ascii="Arial" w:cs="Arial" w:eastAsia="Arial" w:hAnsi="Arial"/>
          <w:sz w:val="18"/>
          <w:szCs w:val="18"/>
          <w:color w:val="auto"/>
        </w:rPr>
        <w:t>Any investment adviser registered pursuant to section 203 of the Investment Advisers Act of 1940 or registered pursuant to the laws of a state;</w:t>
      </w:r>
    </w:p>
    <w:p>
      <w:pPr>
        <w:spacing w:after="0" w:line="301" w:lineRule="exact"/>
        <w:rPr>
          <w:rFonts w:ascii="MS PGothic" w:cs="MS PGothic" w:eastAsia="MS PGothic" w:hAnsi="MS PGothic"/>
          <w:sz w:val="18"/>
          <w:szCs w:val="18"/>
          <w:color w:val="auto"/>
        </w:rPr>
      </w:pPr>
    </w:p>
    <w:p>
      <w:pPr>
        <w:ind w:left="1235" w:hanging="870"/>
        <w:spacing w:after="0"/>
        <w:tabs>
          <w:tab w:leader="none" w:pos="1235" w:val="left"/>
        </w:tabs>
        <w:numPr>
          <w:ilvl w:val="1"/>
          <w:numId w:val="38"/>
        </w:numPr>
        <w:rPr>
          <w:rFonts w:ascii="MS PGothic" w:cs="MS PGothic" w:eastAsia="MS PGothic" w:hAnsi="MS PGothic"/>
          <w:sz w:val="18"/>
          <w:szCs w:val="18"/>
          <w:color w:val="auto"/>
        </w:rPr>
      </w:pPr>
      <w:r>
        <w:rPr>
          <w:rFonts w:ascii="Arial" w:cs="Arial" w:eastAsia="Arial" w:hAnsi="Arial"/>
          <w:sz w:val="18"/>
          <w:szCs w:val="18"/>
          <w:color w:val="auto"/>
        </w:rPr>
        <w:t>Any investment adviser relying on the exemption from registering with the SEC under section 203(l) or (m) of the Investment Advisers Act of 1940;</w:t>
      </w:r>
    </w:p>
    <w:p>
      <w:pPr>
        <w:spacing w:after="0" w:line="301" w:lineRule="exact"/>
        <w:rPr>
          <w:rFonts w:ascii="MS PGothic" w:cs="MS PGothic" w:eastAsia="MS PGothic" w:hAnsi="MS PGothic"/>
          <w:sz w:val="18"/>
          <w:szCs w:val="18"/>
          <w:color w:val="auto"/>
        </w:rPr>
      </w:pPr>
    </w:p>
    <w:p>
      <w:pPr>
        <w:ind w:left="1235" w:hanging="870"/>
        <w:spacing w:after="0"/>
        <w:tabs>
          <w:tab w:leader="none" w:pos="1235" w:val="left"/>
        </w:tabs>
        <w:numPr>
          <w:ilvl w:val="1"/>
          <w:numId w:val="38"/>
        </w:numPr>
        <w:rPr>
          <w:rFonts w:ascii="MS PGothic" w:cs="MS PGothic" w:eastAsia="MS PGothic" w:hAnsi="MS PGothic"/>
          <w:sz w:val="18"/>
          <w:szCs w:val="18"/>
          <w:color w:val="auto"/>
        </w:rPr>
      </w:pPr>
      <w:r>
        <w:rPr>
          <w:rFonts w:ascii="Arial" w:cs="Arial" w:eastAsia="Arial" w:hAnsi="Arial"/>
          <w:sz w:val="18"/>
          <w:szCs w:val="18"/>
          <w:color w:val="auto"/>
        </w:rPr>
        <w:t>Any insurance company as defined in section 2(a)(13) of the Securities Act;</w:t>
      </w:r>
    </w:p>
    <w:p>
      <w:pPr>
        <w:spacing w:after="0" w:line="319" w:lineRule="exact"/>
        <w:rPr>
          <w:rFonts w:ascii="MS PGothic" w:cs="MS PGothic" w:eastAsia="MS PGothic" w:hAnsi="MS PGothic"/>
          <w:sz w:val="18"/>
          <w:szCs w:val="18"/>
          <w:color w:val="auto"/>
        </w:rPr>
      </w:pPr>
    </w:p>
    <w:p>
      <w:pPr>
        <w:ind w:left="1235" w:hanging="870"/>
        <w:spacing w:after="0"/>
        <w:tabs>
          <w:tab w:leader="none" w:pos="1235" w:val="left"/>
        </w:tabs>
        <w:numPr>
          <w:ilvl w:val="1"/>
          <w:numId w:val="38"/>
        </w:numPr>
        <w:rPr>
          <w:rFonts w:ascii="MS PGothic" w:cs="MS PGothic" w:eastAsia="MS PGothic" w:hAnsi="MS PGothic"/>
          <w:sz w:val="18"/>
          <w:szCs w:val="18"/>
          <w:color w:val="auto"/>
        </w:rPr>
      </w:pPr>
      <w:r>
        <w:rPr>
          <w:rFonts w:ascii="Arial" w:cs="Arial" w:eastAsia="Arial" w:hAnsi="Arial"/>
          <w:sz w:val="18"/>
          <w:szCs w:val="18"/>
          <w:color w:val="auto"/>
        </w:rPr>
        <w:t>Any investment company registered under the Investment Company Act or a business development company as defined in section 2(a) (48) of the Investment Company Act;</w:t>
      </w:r>
    </w:p>
    <w:p>
      <w:pPr>
        <w:spacing w:after="0" w:line="288" w:lineRule="exact"/>
        <w:rPr>
          <w:rFonts w:ascii="MS PGothic" w:cs="MS PGothic" w:eastAsia="MS PGothic" w:hAnsi="MS PGothic"/>
          <w:sz w:val="18"/>
          <w:szCs w:val="18"/>
          <w:color w:val="auto"/>
        </w:rPr>
      </w:pPr>
    </w:p>
    <w:p>
      <w:pPr>
        <w:ind w:left="1235" w:hanging="870"/>
        <w:spacing w:after="0"/>
        <w:tabs>
          <w:tab w:leader="none" w:pos="1235" w:val="left"/>
        </w:tabs>
        <w:numPr>
          <w:ilvl w:val="1"/>
          <w:numId w:val="38"/>
        </w:numPr>
        <w:rPr>
          <w:rFonts w:ascii="MS PGothic" w:cs="MS PGothic" w:eastAsia="MS PGothic" w:hAnsi="MS PGothic"/>
          <w:sz w:val="18"/>
          <w:szCs w:val="18"/>
          <w:color w:val="auto"/>
        </w:rPr>
      </w:pPr>
      <w:r>
        <w:rPr>
          <w:rFonts w:ascii="Arial" w:cs="Arial" w:eastAsia="Arial" w:hAnsi="Arial"/>
          <w:sz w:val="18"/>
          <w:szCs w:val="18"/>
          <w:color w:val="auto"/>
        </w:rPr>
        <w:t>Any Small Business Investment Company licensed by the U.S. Small Business Administration under section 301(c) or</w:t>
      </w:r>
    </w:p>
    <w:p>
      <w:pPr>
        <w:ind w:left="1495" w:hanging="266"/>
        <w:spacing w:after="0"/>
        <w:tabs>
          <w:tab w:leader="none" w:pos="1495" w:val="left"/>
        </w:tabs>
        <w:numPr>
          <w:ilvl w:val="2"/>
          <w:numId w:val="38"/>
        </w:numPr>
        <w:rPr>
          <w:rFonts w:ascii="Arial" w:cs="Arial" w:eastAsia="Arial" w:hAnsi="Arial"/>
          <w:sz w:val="18"/>
          <w:szCs w:val="18"/>
          <w:color w:val="auto"/>
        </w:rPr>
      </w:pPr>
      <w:r>
        <w:rPr>
          <w:rFonts w:ascii="Arial" w:cs="Arial" w:eastAsia="Arial" w:hAnsi="Arial"/>
          <w:sz w:val="18"/>
          <w:szCs w:val="18"/>
          <w:color w:val="auto"/>
        </w:rPr>
        <w:t>of the Small Business Investment Act of 1958;</w:t>
      </w:r>
    </w:p>
    <w:p>
      <w:pPr>
        <w:spacing w:after="0" w:line="315" w:lineRule="exact"/>
        <w:rPr>
          <w:rFonts w:ascii="Arial" w:cs="Arial" w:eastAsia="Arial" w:hAnsi="Arial"/>
          <w:sz w:val="18"/>
          <w:szCs w:val="18"/>
          <w:color w:val="auto"/>
        </w:rPr>
      </w:pPr>
    </w:p>
    <w:p>
      <w:pPr>
        <w:ind w:left="1235" w:hanging="870"/>
        <w:spacing w:after="0"/>
        <w:tabs>
          <w:tab w:leader="none" w:pos="1235" w:val="left"/>
        </w:tabs>
        <w:numPr>
          <w:ilvl w:val="1"/>
          <w:numId w:val="38"/>
        </w:numPr>
        <w:rPr>
          <w:rFonts w:ascii="MS PGothic" w:cs="MS PGothic" w:eastAsia="MS PGothic" w:hAnsi="MS PGothic"/>
          <w:sz w:val="18"/>
          <w:szCs w:val="18"/>
          <w:color w:val="auto"/>
        </w:rPr>
      </w:pPr>
      <w:r>
        <w:rPr>
          <w:rFonts w:ascii="Arial" w:cs="Arial" w:eastAsia="Arial" w:hAnsi="Arial"/>
          <w:sz w:val="18"/>
          <w:szCs w:val="18"/>
          <w:color w:val="auto"/>
        </w:rPr>
        <w:t>Any Rural Business Investment Company as defined in section 384A of the Consolidated Farm and Rural Development Act;</w:t>
      </w:r>
    </w:p>
    <w:p>
      <w:pPr>
        <w:spacing w:after="0" w:line="301" w:lineRule="exact"/>
        <w:rPr>
          <w:rFonts w:ascii="MS PGothic" w:cs="MS PGothic" w:eastAsia="MS PGothic" w:hAnsi="MS PGothic"/>
          <w:sz w:val="18"/>
          <w:szCs w:val="18"/>
          <w:color w:val="auto"/>
        </w:rPr>
      </w:pPr>
    </w:p>
    <w:p>
      <w:pPr>
        <w:ind w:left="1235" w:hanging="870"/>
        <w:spacing w:after="0"/>
        <w:tabs>
          <w:tab w:leader="none" w:pos="1235" w:val="left"/>
        </w:tabs>
        <w:numPr>
          <w:ilvl w:val="1"/>
          <w:numId w:val="38"/>
        </w:numPr>
        <w:rPr>
          <w:rFonts w:ascii="MS PGothic" w:cs="MS PGothic" w:eastAsia="MS PGothic" w:hAnsi="MS PGothic"/>
          <w:sz w:val="18"/>
          <w:szCs w:val="18"/>
          <w:color w:val="auto"/>
        </w:rPr>
      </w:pPr>
      <w:r>
        <w:rPr>
          <w:rFonts w:ascii="Arial" w:cs="Arial" w:eastAsia="Arial" w:hAnsi="Arial"/>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288" w:lineRule="exact"/>
        <w:rPr>
          <w:rFonts w:ascii="MS PGothic" w:cs="MS PGothic" w:eastAsia="MS PGothic" w:hAnsi="MS PGothic"/>
          <w:sz w:val="18"/>
          <w:szCs w:val="18"/>
          <w:color w:val="auto"/>
        </w:rPr>
      </w:pPr>
    </w:p>
    <w:p>
      <w:pPr>
        <w:ind w:left="1235" w:hanging="870"/>
        <w:spacing w:after="0"/>
        <w:tabs>
          <w:tab w:leader="none" w:pos="1235" w:val="left"/>
        </w:tabs>
        <w:numPr>
          <w:ilvl w:val="1"/>
          <w:numId w:val="38"/>
        </w:numPr>
        <w:rPr>
          <w:rFonts w:ascii="MS PGothic" w:cs="MS PGothic" w:eastAsia="MS PGothic" w:hAnsi="MS PGothic"/>
          <w:sz w:val="18"/>
          <w:szCs w:val="18"/>
          <w:color w:val="auto"/>
        </w:rPr>
      </w:pPr>
      <w:r>
        <w:rPr>
          <w:rFonts w:ascii="Arial" w:cs="Arial" w:eastAsia="Arial" w:hAnsi="Arial"/>
          <w:sz w:val="18"/>
          <w:szCs w:val="18"/>
          <w:color w:val="auto"/>
        </w:rPr>
        <w:t>Any employee benefit plan within the meaning of the Employee Retirement Income Security Act of 1974 (“</w:t>
      </w:r>
      <w:r>
        <w:rPr>
          <w:rFonts w:ascii="Arial" w:cs="Arial" w:eastAsia="Arial" w:hAnsi="Arial"/>
          <w:sz w:val="18"/>
          <w:szCs w:val="18"/>
          <w:u w:val="single" w:color="auto"/>
          <w:color w:val="auto"/>
        </w:rPr>
        <w:t>ERISA</w:t>
      </w:r>
      <w:r>
        <w:rPr>
          <w:rFonts w:ascii="Arial" w:cs="Arial" w:eastAsia="Arial" w:hAnsi="Arial"/>
          <w:sz w:val="18"/>
          <w:szCs w:val="18"/>
          <w:color w:val="auto"/>
        </w:rPr>
        <w:t>”), if</w:t>
      </w:r>
    </w:p>
    <w:p>
      <w:pPr>
        <w:ind w:left="1455" w:hanging="226"/>
        <w:spacing w:after="0" w:line="219" w:lineRule="auto"/>
        <w:tabs>
          <w:tab w:leader="none" w:pos="1455"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investment decision is made by a plan fiduciary, as defined in section 3(21) of ERISA, which is either a bank, a</w:t>
      </w:r>
    </w:p>
    <w:p>
      <w:pPr>
        <w:jc w:val="both"/>
        <w:ind w:left="1235"/>
        <w:spacing w:after="0" w:line="221" w:lineRule="auto"/>
        <w:rPr>
          <w:sz w:val="20"/>
          <w:szCs w:val="20"/>
          <w:color w:val="auto"/>
        </w:rPr>
      </w:pPr>
      <w:r>
        <w:rPr>
          <w:rFonts w:ascii="Arial" w:cs="Arial" w:eastAsia="Arial" w:hAnsi="Arial"/>
          <w:sz w:val="18"/>
          <w:szCs w:val="18"/>
          <w:color w:val="auto"/>
        </w:rPr>
        <w:t>savings and loan association, an insurance company, or a registered investment adviser, (ii) the employee benefit plan has total assets in excess of $5,000,000 or, (iii) the plan is a self-directed plan, with investment decisions made solely by persons that are “accredited investors”;</w:t>
      </w:r>
    </w:p>
    <w:p>
      <w:pPr>
        <w:spacing w:after="0" w:line="301" w:lineRule="exact"/>
        <w:rPr>
          <w:sz w:val="20"/>
          <w:szCs w:val="20"/>
          <w:color w:val="auto"/>
        </w:rPr>
      </w:pPr>
    </w:p>
    <w:p>
      <w:pPr>
        <w:ind w:left="1235" w:hanging="870"/>
        <w:spacing w:after="0"/>
        <w:tabs>
          <w:tab w:leader="none" w:pos="1235"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Any private business development company as defined in section 202(a)(22) of the Investment Advisers Act of 1940;</w:t>
      </w:r>
    </w:p>
    <w:p>
      <w:pPr>
        <w:spacing w:after="0" w:line="319" w:lineRule="exact"/>
        <w:rPr>
          <w:rFonts w:ascii="MS PGothic" w:cs="MS PGothic" w:eastAsia="MS PGothic" w:hAnsi="MS PGothic"/>
          <w:sz w:val="18"/>
          <w:szCs w:val="18"/>
          <w:color w:val="auto"/>
        </w:rPr>
      </w:pPr>
    </w:p>
    <w:p>
      <w:pPr>
        <w:jc w:val="both"/>
        <w:ind w:left="1235" w:hanging="870"/>
        <w:spacing w:after="0" w:line="227" w:lineRule="auto"/>
        <w:tabs>
          <w:tab w:leader="none" w:pos="1235"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Any (i) corporation, limited liability company or partnership, (ii) Massachusetts or similar business trust, or (iii) organization described in section 501(c)(3) of the Internal Revenue Code, in each case that was not formed for the specific purpose of acquiring the securities offered and that has total assets in excess of $5,000,000;</w:t>
      </w:r>
    </w:p>
    <w:p>
      <w:pPr>
        <w:spacing w:after="0" w:line="303" w:lineRule="exact"/>
        <w:rPr>
          <w:rFonts w:ascii="MS PGothic" w:cs="MS PGothic" w:eastAsia="MS PGothic" w:hAnsi="MS PGothic"/>
          <w:sz w:val="18"/>
          <w:szCs w:val="18"/>
          <w:color w:val="auto"/>
        </w:rPr>
      </w:pPr>
    </w:p>
    <w:p>
      <w:pPr>
        <w:ind w:left="1235" w:hanging="870"/>
        <w:spacing w:after="0"/>
        <w:tabs>
          <w:tab w:leader="none" w:pos="1235" w:val="left"/>
        </w:tabs>
        <w:numPr>
          <w:ilvl w:val="0"/>
          <w:numId w:val="40"/>
        </w:numPr>
        <w:rPr>
          <w:rFonts w:ascii="MS PGothic" w:cs="MS PGothic" w:eastAsia="MS PGothic" w:hAnsi="MS PGothic"/>
          <w:sz w:val="18"/>
          <w:szCs w:val="18"/>
          <w:color w:val="auto"/>
        </w:rPr>
      </w:pPr>
      <w:r>
        <w:rPr>
          <w:rFonts w:ascii="Arial" w:cs="Arial" w:eastAsia="Arial" w:hAnsi="Arial"/>
          <w:sz w:val="18"/>
          <w:szCs w:val="18"/>
          <w:color w:val="auto"/>
        </w:rPr>
        <w:t>Any director, executive officer, or general partner of the issuer of the securities being offered or sold, or any director, executive officer, or general partner of a general partner of that issuer;</w:t>
      </w:r>
    </w:p>
    <w:p>
      <w:pPr>
        <w:sectPr>
          <w:pgSz w:w="11900" w:h="16838" w:orient="portrait"/>
          <w:cols w:equalWidth="0" w:num="1">
            <w:col w:w="10695"/>
          </w:cols>
          <w:pgMar w:left="845" w:top="1440" w:right="359" w:bottom="1440" w:gutter="0" w:footer="0" w:header="0"/>
        </w:sectPr>
      </w:pPr>
    </w:p>
    <w:bookmarkStart w:id="48" w:name="page49"/>
    <w:bookmarkEnd w:id="48"/>
    <w:p>
      <w:pPr>
        <w:spacing w:after="0" w:line="18" w:lineRule="exact"/>
        <w:rPr>
          <w:sz w:val="20"/>
          <w:szCs w:val="20"/>
          <w:color w:val="auto"/>
        </w:rPr>
      </w:pPr>
    </w:p>
    <w:p>
      <w:pPr>
        <w:jc w:val="both"/>
        <w:ind w:left="870" w:hanging="870"/>
        <w:spacing w:after="0" w:line="216" w:lineRule="auto"/>
        <w:tabs>
          <w:tab w:leader="none" w:pos="87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Any natural person whose individual net worth, or joint net worth with that person’s spouse or spousal equivalent, exceeds $1,000,000. For purposes of calculating a natural person’s net worth: (a) the person’s primary residence shall not be included as an asset; (b) indebtedness that is secured by the person’s primary residence, up to the estimated fair market value of the primary residence at the time of the sale of securities, shall not be included as a liability (except that if the amount of such indebtedness outstanding at the time of sale of securities exceeds the amount outstanding 60 days before such time, other than as a result of the acquisition of the primary residence, the amount of such excess shall be included as a liability); and (c) indebtedness that is secured by the person’s primary residence in excess of the estimated fair market value of the primary residence at the time of the sale of securities shall be included as a liability;</w:t>
      </w:r>
    </w:p>
    <w:p>
      <w:pPr>
        <w:spacing w:after="0" w:line="305" w:lineRule="exact"/>
        <w:rPr>
          <w:rFonts w:ascii="MS PGothic" w:cs="MS PGothic" w:eastAsia="MS PGothic" w:hAnsi="MS PGothic"/>
          <w:sz w:val="18"/>
          <w:szCs w:val="18"/>
          <w:color w:val="auto"/>
        </w:rPr>
      </w:pPr>
    </w:p>
    <w:p>
      <w:pPr>
        <w:jc w:val="both"/>
        <w:ind w:left="870" w:hanging="870"/>
        <w:spacing w:after="0" w:line="233" w:lineRule="auto"/>
        <w:tabs>
          <w:tab w:leader="none" w:pos="87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Any natural person who had an individual income in excess of $200,000 in each of the two most recent years or joint income with that person’s spouse or spousal equivalent in excess of $300,000 in each of those years and has a reasonable expectation of reaching the same income level in the current year;</w:t>
      </w:r>
    </w:p>
    <w:p>
      <w:pPr>
        <w:spacing w:after="0" w:line="288" w:lineRule="exact"/>
        <w:rPr>
          <w:rFonts w:ascii="MS PGothic" w:cs="MS PGothic" w:eastAsia="MS PGothic" w:hAnsi="MS PGothic"/>
          <w:sz w:val="18"/>
          <w:szCs w:val="18"/>
          <w:color w:val="auto"/>
        </w:rPr>
      </w:pPr>
    </w:p>
    <w:p>
      <w:pPr>
        <w:jc w:val="both"/>
        <w:ind w:left="870" w:hanging="870"/>
        <w:spacing w:after="0" w:line="233" w:lineRule="auto"/>
        <w:tabs>
          <w:tab w:leader="none" w:pos="87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Any trust, with total assets in excess of $5,000,000, not formed for the specific purpose of acquiring the securities offered, whose purchase is directed by a sophisticated person as described in section 230.506(b)(2)(ii) of Regulation D under the Securities Act;</w:t>
      </w:r>
    </w:p>
    <w:p>
      <w:pPr>
        <w:spacing w:after="0" w:line="288" w:lineRule="exact"/>
        <w:rPr>
          <w:rFonts w:ascii="MS PGothic" w:cs="MS PGothic" w:eastAsia="MS PGothic" w:hAnsi="MS PGothic"/>
          <w:sz w:val="18"/>
          <w:szCs w:val="18"/>
          <w:color w:val="auto"/>
        </w:rPr>
      </w:pPr>
    </w:p>
    <w:p>
      <w:pPr>
        <w:ind w:left="870" w:hanging="870"/>
        <w:spacing w:after="0"/>
        <w:tabs>
          <w:tab w:leader="none" w:pos="87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Any entity in which all of the equity owners are “accredited investors”;</w:t>
      </w:r>
    </w:p>
    <w:p>
      <w:pPr>
        <w:spacing w:after="0" w:line="319" w:lineRule="exact"/>
        <w:rPr>
          <w:rFonts w:ascii="MS PGothic" w:cs="MS PGothic" w:eastAsia="MS PGothic" w:hAnsi="MS PGothic"/>
          <w:sz w:val="18"/>
          <w:szCs w:val="18"/>
          <w:color w:val="auto"/>
        </w:rPr>
      </w:pPr>
    </w:p>
    <w:p>
      <w:pPr>
        <w:ind w:left="870" w:hanging="870"/>
        <w:spacing w:after="0"/>
        <w:tabs>
          <w:tab w:leader="none" w:pos="87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Any entity, other than an entity described in the categories of “accredited investors” above, not formed for the specific purpose of acquiring the securities offered, owning investments in excess of $5,000,000;</w:t>
      </w:r>
    </w:p>
    <w:p>
      <w:pPr>
        <w:spacing w:after="0" w:line="301" w:lineRule="exact"/>
        <w:rPr>
          <w:rFonts w:ascii="MS PGothic" w:cs="MS PGothic" w:eastAsia="MS PGothic" w:hAnsi="MS PGothic"/>
          <w:sz w:val="18"/>
          <w:szCs w:val="18"/>
          <w:color w:val="auto"/>
        </w:rPr>
      </w:pPr>
    </w:p>
    <w:p>
      <w:pPr>
        <w:jc w:val="both"/>
        <w:ind w:left="870" w:hanging="870"/>
        <w:spacing w:after="0" w:line="233" w:lineRule="auto"/>
        <w:tabs>
          <w:tab w:leader="none" w:pos="87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Any natural person holding in good standing one or more professional certifications or designations or credentials from an accredited educational institution that the SEC has designated as qualifying an individual for accredited investor status;</w:t>
      </w:r>
    </w:p>
    <w:p>
      <w:pPr>
        <w:spacing w:after="0" w:line="288" w:lineRule="exact"/>
        <w:rPr>
          <w:rFonts w:ascii="MS PGothic" w:cs="MS PGothic" w:eastAsia="MS PGothic" w:hAnsi="MS PGothic"/>
          <w:sz w:val="18"/>
          <w:szCs w:val="18"/>
          <w:color w:val="auto"/>
        </w:rPr>
      </w:pPr>
    </w:p>
    <w:p>
      <w:pPr>
        <w:jc w:val="both"/>
        <w:ind w:left="870" w:hanging="870"/>
        <w:spacing w:after="0" w:line="233" w:lineRule="auto"/>
        <w:tabs>
          <w:tab w:leader="none" w:pos="87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Any natural person who is a “knowledgeable employee,” as defined in the Investment Company Act, of the issuer of the securities being offered or sold where the issuer would be an investment company, as defined in section 3 of such act, but for the exclusion provided by either section 3(c)(1) or section 3(c)(7) of such act;</w:t>
      </w:r>
    </w:p>
    <w:p>
      <w:pPr>
        <w:spacing w:after="0" w:line="288" w:lineRule="exact"/>
        <w:rPr>
          <w:rFonts w:ascii="MS PGothic" w:cs="MS PGothic" w:eastAsia="MS PGothic" w:hAnsi="MS PGothic"/>
          <w:sz w:val="18"/>
          <w:szCs w:val="18"/>
          <w:color w:val="auto"/>
        </w:rPr>
      </w:pPr>
    </w:p>
    <w:p>
      <w:pPr>
        <w:jc w:val="both"/>
        <w:ind w:left="870" w:hanging="870"/>
        <w:spacing w:after="0" w:line="221" w:lineRule="auto"/>
        <w:tabs>
          <w:tab w:leader="none" w:pos="87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Any “family office,” as defined under the Investment Advisers Act that satisfies all of the following conditions: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 or</w:t>
      </w:r>
    </w:p>
    <w:p>
      <w:pPr>
        <w:spacing w:after="0" w:line="302" w:lineRule="exact"/>
        <w:rPr>
          <w:rFonts w:ascii="MS PGothic" w:cs="MS PGothic" w:eastAsia="MS PGothic" w:hAnsi="MS PGothic"/>
          <w:sz w:val="18"/>
          <w:szCs w:val="18"/>
          <w:color w:val="auto"/>
        </w:rPr>
      </w:pPr>
    </w:p>
    <w:p>
      <w:pPr>
        <w:jc w:val="both"/>
        <w:ind w:left="870" w:hanging="870"/>
        <w:spacing w:after="0" w:line="233" w:lineRule="auto"/>
        <w:tabs>
          <w:tab w:leader="none" w:pos="870" w:val="left"/>
        </w:tabs>
        <w:numPr>
          <w:ilvl w:val="0"/>
          <w:numId w:val="41"/>
        </w:numPr>
        <w:rPr>
          <w:rFonts w:ascii="MS PGothic" w:cs="MS PGothic" w:eastAsia="MS PGothic" w:hAnsi="MS PGothic"/>
          <w:sz w:val="18"/>
          <w:szCs w:val="18"/>
          <w:color w:val="auto"/>
        </w:rPr>
      </w:pPr>
      <w:r>
        <w:rPr>
          <w:rFonts w:ascii="Arial" w:cs="Arial" w:eastAsia="Arial" w:hAnsi="Arial"/>
          <w:sz w:val="18"/>
          <w:szCs w:val="18"/>
          <w:color w:val="auto"/>
        </w:rPr>
        <w:t>Any “family client,” as defined under the Investment Advisers Act, of a family office meeting the requirements in the previous paragraph and whose prospective investment in the issuer is directed by such family office pursuant to the previous paragraph.</w:t>
      </w:r>
    </w:p>
    <w:p>
      <w:pPr>
        <w:sectPr>
          <w:pgSz w:w="11900" w:h="16838" w:orient="portrait"/>
          <w:cols w:equalWidth="0" w:num="1">
            <w:col w:w="10330"/>
          </w:cols>
          <w:pgMar w:left="1210" w:top="1440" w:right="359" w:bottom="1440" w:gutter="0" w:footer="0" w:header="0"/>
        </w:sectPr>
      </w:pPr>
    </w:p>
    <w:bookmarkStart w:id="49" w:name="page50"/>
    <w:bookmarkEnd w:id="49"/>
    <w:p>
      <w:pPr>
        <w:jc w:val="both"/>
        <w:spacing w:after="0" w:line="233" w:lineRule="auto"/>
        <w:tabs>
          <w:tab w:leader="none" w:pos="870" w:val="left"/>
        </w:tabs>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Schedule 3</w:t>
      </w:r>
    </w:p>
    <w:p>
      <w:pPr>
        <w:spacing w:after="0" w:line="200" w:lineRule="exact"/>
        <w:rPr>
          <w:sz w:val="20"/>
          <w:szCs w:val="20"/>
          <w:color w:val="auto"/>
        </w:rPr>
      </w:pPr>
    </w:p>
    <w:p>
      <w:pPr>
        <w:spacing w:after="0" w:line="201"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List of Subsidiaries</w:t>
      </w:r>
    </w:p>
    <w:p>
      <w:pPr>
        <w:spacing w:after="0" w:line="200" w:lineRule="exact"/>
        <w:rPr>
          <w:sz w:val="20"/>
          <w:szCs w:val="20"/>
          <w:color w:val="auto"/>
        </w:rPr>
      </w:pPr>
    </w:p>
    <w:p>
      <w:pPr>
        <w:spacing w:after="0" w:line="228" w:lineRule="exact"/>
        <w:rPr>
          <w:sz w:val="20"/>
          <w:szCs w:val="20"/>
          <w:color w:val="auto"/>
        </w:rPr>
      </w:pPr>
    </w:p>
    <w:p>
      <w:pPr>
        <w:ind w:left="352" w:hanging="352"/>
        <w:spacing w:after="0"/>
        <w:tabs>
          <w:tab w:leader="none" w:pos="352" w:val="left"/>
        </w:tabs>
        <w:numPr>
          <w:ilvl w:val="0"/>
          <w:numId w:val="42"/>
        </w:numPr>
        <w:rPr>
          <w:rFonts w:ascii="Arial" w:cs="Arial" w:eastAsia="Arial" w:hAnsi="Arial"/>
          <w:sz w:val="18"/>
          <w:szCs w:val="18"/>
          <w:color w:val="080808"/>
        </w:rPr>
      </w:pPr>
      <w:r>
        <w:rPr>
          <w:rFonts w:ascii="Arial" w:cs="Arial" w:eastAsia="Arial" w:hAnsi="Arial"/>
          <w:sz w:val="18"/>
          <w:szCs w:val="18"/>
          <w:color w:val="080808"/>
        </w:rPr>
        <w:t>SoundHound, Inc.</w:t>
      </w:r>
    </w:p>
    <w:p>
      <w:pPr>
        <w:spacing w:after="0" w:line="225" w:lineRule="exact"/>
        <w:rPr>
          <w:rFonts w:ascii="Arial" w:cs="Arial" w:eastAsia="Arial" w:hAnsi="Arial"/>
          <w:sz w:val="18"/>
          <w:szCs w:val="18"/>
          <w:color w:val="080808"/>
        </w:rPr>
      </w:pPr>
    </w:p>
    <w:p>
      <w:pPr>
        <w:ind w:left="352" w:hanging="352"/>
        <w:spacing w:after="0"/>
        <w:tabs>
          <w:tab w:leader="none" w:pos="352" w:val="left"/>
        </w:tabs>
        <w:numPr>
          <w:ilvl w:val="0"/>
          <w:numId w:val="42"/>
        </w:numPr>
        <w:rPr>
          <w:rFonts w:ascii="Arial" w:cs="Arial" w:eastAsia="Arial" w:hAnsi="Arial"/>
          <w:sz w:val="18"/>
          <w:szCs w:val="18"/>
          <w:color w:val="080808"/>
        </w:rPr>
      </w:pPr>
      <w:r>
        <w:rPr>
          <w:rFonts w:ascii="Arial" w:cs="Arial" w:eastAsia="Arial" w:hAnsi="Arial"/>
          <w:sz w:val="18"/>
          <w:szCs w:val="18"/>
          <w:color w:val="080808"/>
        </w:rPr>
        <w:t>SoundHound Canada Inc. – SoundHound, Inc. owns 1 common share and is the sole stockholder of SoundHound Canada Inc.</w:t>
      </w:r>
    </w:p>
    <w:p>
      <w:pPr>
        <w:spacing w:after="0" w:line="209" w:lineRule="exact"/>
        <w:rPr>
          <w:rFonts w:ascii="Arial" w:cs="Arial" w:eastAsia="Arial" w:hAnsi="Arial"/>
          <w:sz w:val="18"/>
          <w:szCs w:val="18"/>
          <w:color w:val="080808"/>
        </w:rPr>
      </w:pPr>
    </w:p>
    <w:p>
      <w:pPr>
        <w:ind w:left="352" w:hanging="352"/>
        <w:spacing w:after="0" w:line="242" w:lineRule="exact"/>
        <w:tabs>
          <w:tab w:leader="none" w:pos="352" w:val="left"/>
        </w:tabs>
        <w:numPr>
          <w:ilvl w:val="0"/>
          <w:numId w:val="42"/>
        </w:numPr>
        <w:rPr>
          <w:rFonts w:ascii="Arial" w:cs="Arial" w:eastAsia="Arial" w:hAnsi="Arial"/>
          <w:sz w:val="18"/>
          <w:szCs w:val="18"/>
          <w:color w:val="080808"/>
        </w:rPr>
      </w:pPr>
      <w:r>
        <w:rPr>
          <w:rFonts w:ascii="Arial" w:cs="Arial" w:eastAsia="Arial" w:hAnsi="Arial"/>
          <w:sz w:val="18"/>
          <w:szCs w:val="18"/>
          <w:color w:val="080808"/>
        </w:rPr>
        <w:t>SoundHound KK (</w:t>
      </w:r>
      <w:r>
        <w:rPr>
          <w:rFonts w:ascii="Arial Unicode MS" w:cs="Arial Unicode MS" w:eastAsia="Arial Unicode MS" w:hAnsi="Arial Unicode MS"/>
          <w:sz w:val="18"/>
          <w:szCs w:val="18"/>
          <w:color w:val="080808"/>
        </w:rPr>
        <w:t>株式会社サウンドハウンド</w:t>
      </w:r>
      <w:r>
        <w:rPr>
          <w:rFonts w:ascii="Arial" w:cs="Arial" w:eastAsia="Arial" w:hAnsi="Arial"/>
          <w:sz w:val="18"/>
          <w:szCs w:val="18"/>
          <w:color w:val="080808"/>
        </w:rPr>
        <w:t>) – SoundHound, Inc. owns 100% of the subsidiary.</w:t>
      </w:r>
    </w:p>
    <w:p>
      <w:pPr>
        <w:spacing w:after="0" w:line="193" w:lineRule="exact"/>
        <w:rPr>
          <w:rFonts w:ascii="Arial" w:cs="Arial" w:eastAsia="Arial" w:hAnsi="Arial"/>
          <w:sz w:val="18"/>
          <w:szCs w:val="18"/>
          <w:color w:val="080808"/>
        </w:rPr>
      </w:pPr>
    </w:p>
    <w:p>
      <w:pPr>
        <w:ind w:left="352" w:hanging="352"/>
        <w:spacing w:after="0"/>
        <w:tabs>
          <w:tab w:leader="none" w:pos="352" w:val="left"/>
        </w:tabs>
        <w:numPr>
          <w:ilvl w:val="0"/>
          <w:numId w:val="42"/>
        </w:numPr>
        <w:rPr>
          <w:rFonts w:ascii="Arial" w:cs="Arial" w:eastAsia="Arial" w:hAnsi="Arial"/>
          <w:sz w:val="18"/>
          <w:szCs w:val="18"/>
          <w:color w:val="080808"/>
        </w:rPr>
      </w:pPr>
      <w:r>
        <w:rPr>
          <w:rFonts w:ascii="Arial" w:cs="Arial" w:eastAsia="Arial" w:hAnsi="Arial"/>
          <w:sz w:val="18"/>
          <w:szCs w:val="18"/>
          <w:color w:val="080808"/>
        </w:rPr>
        <w:t>SoundHound GmbH – SoundHound, Inc. owns 25,000 shares and is the sole stockholder of SoundHound GmbH.</w:t>
      </w:r>
    </w:p>
    <w:p>
      <w:pPr>
        <w:spacing w:after="0" w:line="225" w:lineRule="exact"/>
        <w:rPr>
          <w:rFonts w:ascii="Arial" w:cs="Arial" w:eastAsia="Arial" w:hAnsi="Arial"/>
          <w:sz w:val="18"/>
          <w:szCs w:val="18"/>
          <w:color w:val="080808"/>
        </w:rPr>
      </w:pPr>
    </w:p>
    <w:p>
      <w:pPr>
        <w:ind w:left="-8" w:firstLine="8"/>
        <w:spacing w:after="0" w:line="227" w:lineRule="exact"/>
        <w:tabs>
          <w:tab w:leader="none" w:pos="374" w:val="left"/>
        </w:tabs>
        <w:numPr>
          <w:ilvl w:val="0"/>
          <w:numId w:val="42"/>
        </w:numPr>
        <w:rPr>
          <w:rFonts w:ascii="Arial" w:cs="Arial" w:eastAsia="Arial" w:hAnsi="Arial"/>
          <w:sz w:val="18"/>
          <w:szCs w:val="18"/>
          <w:color w:val="080808"/>
        </w:rPr>
      </w:pPr>
      <w:r>
        <w:rPr>
          <w:rFonts w:ascii="Arial" w:cs="Arial" w:eastAsia="Arial" w:hAnsi="Arial"/>
          <w:sz w:val="18"/>
          <w:szCs w:val="18"/>
          <w:color w:val="080808"/>
        </w:rPr>
        <w:t>Beijing SoundHound Software Development Co., Ltd. (</w:t>
      </w:r>
      <w:r>
        <w:rPr>
          <w:rFonts w:ascii="Arial Unicode MS" w:cs="Arial Unicode MS" w:eastAsia="Arial Unicode MS" w:hAnsi="Arial Unicode MS"/>
          <w:sz w:val="18"/>
          <w:szCs w:val="18"/>
          <w:color w:val="080808"/>
        </w:rPr>
        <w:t>北京声航软件开发有限公司</w:t>
      </w:r>
      <w:r>
        <w:rPr>
          <w:rFonts w:ascii="Arial" w:cs="Arial" w:eastAsia="Arial" w:hAnsi="Arial"/>
          <w:sz w:val="18"/>
          <w:szCs w:val="18"/>
          <w:color w:val="080808"/>
        </w:rPr>
        <w:t>) (“SoundHound Beijing”) – SoundHound, Inc. owns 100% of the subsidiary.</w:t>
      </w:r>
    </w:p>
    <w:p>
      <w:pPr>
        <w:spacing w:after="0" w:line="191" w:lineRule="exact"/>
        <w:rPr>
          <w:rFonts w:ascii="Arial" w:cs="Arial" w:eastAsia="Arial" w:hAnsi="Arial"/>
          <w:sz w:val="18"/>
          <w:szCs w:val="18"/>
          <w:color w:val="080808"/>
        </w:rPr>
      </w:pPr>
    </w:p>
    <w:p>
      <w:pPr>
        <w:ind w:left="352" w:hanging="352"/>
        <w:spacing w:after="0" w:line="242" w:lineRule="exact"/>
        <w:tabs>
          <w:tab w:leader="none" w:pos="352" w:val="left"/>
        </w:tabs>
        <w:numPr>
          <w:ilvl w:val="0"/>
          <w:numId w:val="42"/>
        </w:numPr>
        <w:rPr>
          <w:rFonts w:ascii="Arial" w:cs="Arial" w:eastAsia="Arial" w:hAnsi="Arial"/>
          <w:sz w:val="18"/>
          <w:szCs w:val="18"/>
          <w:color w:val="080808"/>
        </w:rPr>
      </w:pPr>
      <w:r>
        <w:rPr>
          <w:rFonts w:ascii="Arial" w:cs="Arial" w:eastAsia="Arial" w:hAnsi="Arial"/>
          <w:sz w:val="18"/>
          <w:szCs w:val="18"/>
          <w:color w:val="080808"/>
        </w:rPr>
        <w:t>SoundHound Korea LLC (</w:t>
      </w:r>
      <w:r>
        <w:rPr>
          <w:rFonts w:ascii="Arial Unicode MS" w:cs="Arial Unicode MS" w:eastAsia="Arial Unicode MS" w:hAnsi="Arial Unicode MS"/>
          <w:sz w:val="18"/>
          <w:szCs w:val="18"/>
          <w:color w:val="080808"/>
        </w:rPr>
        <w:t>사운드하운드코리아 유한회사</w:t>
      </w:r>
      <w:r>
        <w:rPr>
          <w:rFonts w:ascii="Arial" w:cs="Arial" w:eastAsia="Arial" w:hAnsi="Arial"/>
          <w:sz w:val="18"/>
          <w:szCs w:val="18"/>
          <w:color w:val="080808"/>
        </w:rPr>
        <w:t>) – SoundHound, Inc. owns 100% of the subsidiary.</w:t>
      </w:r>
    </w:p>
    <w:p>
      <w:pPr>
        <w:sectPr>
          <w:pgSz w:w="11900" w:h="16838" w:orient="portrait"/>
          <w:cols w:equalWidth="0" w:num="1">
            <w:col w:w="11132"/>
          </w:cols>
          <w:pgMar w:left="328" w:top="1440" w:right="439" w:bottom="1440" w:gutter="0" w:footer="0" w:header="0"/>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Certificate of Designations</w:t>
      </w:r>
    </w:p>
    <w:p>
      <w:pPr>
        <w:sectPr>
          <w:pgSz w:w="11900" w:h="16838" w:orient="portrait"/>
          <w:cols w:equalWidth="0" w:num="1">
            <w:col w:w="9019"/>
          </w:cols>
          <w:pgMar w:left="1440" w:top="1440" w:right="1440" w:bottom="1440" w:gutter="0" w:footer="0" w:header="0"/>
        </w:sectPr>
      </w:pPr>
    </w:p>
    <w:bookmarkStart w:id="52" w:name="page53"/>
    <w:bookmarkEnd w:id="52"/>
    <w:p>
      <w:pPr>
        <w:ind w:right="220"/>
        <w:spacing w:after="0" w:line="300" w:lineRule="auto"/>
        <w:rPr>
          <w:sz w:val="20"/>
          <w:szCs w:val="20"/>
          <w:color w:val="auto"/>
        </w:rPr>
      </w:pPr>
      <w:r>
        <w:rPr>
          <w:rFonts w:ascii="Times New Roman" w:cs="Times New Roman" w:eastAsia="Times New Roman" w:hAnsi="Times New Roman"/>
          <w:sz w:val="22"/>
          <w:szCs w:val="22"/>
          <w:b w:val="1"/>
          <w:bCs w:val="1"/>
          <w:color w:val="auto"/>
        </w:rPr>
        <w:t xml:space="preserve">SoundHound AI Secures New Financing to Strengthen Balance Sheet; Pre-Announces Outperformance in 2022 Results </w:t>
      </w:r>
      <w:r>
        <w:rPr>
          <w:rFonts w:ascii="Times New Roman" w:cs="Times New Roman" w:eastAsia="Times New Roman" w:hAnsi="Times New Roman"/>
          <w:sz w:val="22"/>
          <w:szCs w:val="22"/>
          <w:i w:val="1"/>
          <w:iCs w:val="1"/>
          <w:color w:val="auto"/>
        </w:rPr>
        <w:t>Full year 2022 revenue expected to be at high-end of guidance range</w:t>
      </w:r>
    </w:p>
    <w:p>
      <w:pPr>
        <w:spacing w:after="0" w:line="19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2"/>
          <w:szCs w:val="22"/>
          <w:color w:val="253238"/>
        </w:rPr>
        <w:t>SANTA CLARA, Calif., January 24, 2023 – SoundHound AI, Inc. (Nasdaq: SOUN), a global leader in voice artificial intelligence, today announced further steps to strengthen its balance sheet and fully fund its business plan in anticipation of being GAAP operating cash flow positive by the end of 2023.</w:t>
      </w:r>
    </w:p>
    <w:p>
      <w:pPr>
        <w:spacing w:after="0" w:line="202" w:lineRule="exact"/>
        <w:rPr>
          <w:sz w:val="20"/>
          <w:szCs w:val="20"/>
          <w:color w:val="auto"/>
        </w:rPr>
      </w:pPr>
    </w:p>
    <w:p>
      <w:pPr>
        <w:ind w:right="340"/>
        <w:spacing w:after="0" w:line="295" w:lineRule="auto"/>
        <w:rPr>
          <w:sz w:val="20"/>
          <w:szCs w:val="20"/>
          <w:color w:val="auto"/>
        </w:rPr>
      </w:pPr>
      <w:r>
        <w:rPr>
          <w:rFonts w:ascii="Times New Roman" w:cs="Times New Roman" w:eastAsia="Times New Roman" w:hAnsi="Times New Roman"/>
          <w:sz w:val="21"/>
          <w:szCs w:val="21"/>
          <w:color w:val="253238"/>
        </w:rPr>
        <w:t>On Friday, January 20, the Company closed $25 million in preferred equity financing. The oversubscribed financing includes investments from a diverse set of financial and strategic investors, both from the current shareholder base and new capital providers. The preferred equity is convertible into shares of Class A common stock under certain circumstances, including automatic conversion on or after the one year anniversary of the issuance date if certain price conditions are met. Refer to the Current Report on Form 8-K filed on January 24, 2023 for more information regarding the terms of the preferred equity.</w:t>
      </w:r>
    </w:p>
    <w:p>
      <w:pPr>
        <w:spacing w:after="0" w:line="203" w:lineRule="exact"/>
        <w:rPr>
          <w:sz w:val="20"/>
          <w:szCs w:val="20"/>
          <w:color w:val="auto"/>
        </w:rPr>
      </w:pPr>
    </w:p>
    <w:p>
      <w:pPr>
        <w:ind w:right="540"/>
        <w:spacing w:after="0" w:line="296" w:lineRule="auto"/>
        <w:rPr>
          <w:sz w:val="20"/>
          <w:szCs w:val="20"/>
          <w:color w:val="auto"/>
        </w:rPr>
      </w:pPr>
      <w:r>
        <w:rPr>
          <w:rFonts w:ascii="Times New Roman" w:cs="Times New Roman" w:eastAsia="Times New Roman" w:hAnsi="Times New Roman"/>
          <w:sz w:val="22"/>
          <w:szCs w:val="22"/>
          <w:color w:val="253238"/>
        </w:rPr>
        <w:t>The Company is also in the process of refinancing its current debt with a new minimally dilutive facility that is expected to provide incremental capital and defer current amortization payments.</w:t>
      </w:r>
    </w:p>
    <w:p>
      <w:pPr>
        <w:spacing w:after="0" w:line="186" w:lineRule="exact"/>
        <w:rPr>
          <w:sz w:val="20"/>
          <w:szCs w:val="20"/>
          <w:color w:val="auto"/>
        </w:rPr>
      </w:pPr>
    </w:p>
    <w:p>
      <w:pPr>
        <w:ind w:right="400"/>
        <w:spacing w:after="0" w:line="296" w:lineRule="auto"/>
        <w:rPr>
          <w:sz w:val="20"/>
          <w:szCs w:val="20"/>
          <w:color w:val="auto"/>
        </w:rPr>
      </w:pPr>
      <w:r>
        <w:rPr>
          <w:rFonts w:ascii="Times New Roman" w:cs="Times New Roman" w:eastAsia="Times New Roman" w:hAnsi="Times New Roman"/>
          <w:sz w:val="22"/>
          <w:szCs w:val="22"/>
          <w:color w:val="253238"/>
        </w:rPr>
        <w:t>When combined with recent cost reductions that are expected to result in operating cost savings in excess of $60 million, the announced financing plan provides robust liquidity for the company to achieve its business plan.</w:t>
      </w:r>
    </w:p>
    <w:p>
      <w:pPr>
        <w:spacing w:after="0" w:line="19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2"/>
          <w:szCs w:val="22"/>
          <w:color w:val="253238"/>
        </w:rPr>
        <w:t>Additionally, SoundHound pre-announces strong preliminary 2022 results with revenue of approximately $31 million, at the high-end of its prior guidance, and gross margins in excess of 70%</w:t>
      </w:r>
      <w:r>
        <w:rPr>
          <w:rFonts w:ascii="Times New Roman" w:cs="Times New Roman" w:eastAsia="Times New Roman" w:hAnsi="Times New Roman"/>
          <w:sz w:val="28"/>
          <w:szCs w:val="28"/>
          <w:color w:val="253238"/>
          <w:vertAlign w:val="superscript"/>
        </w:rPr>
        <w:t>1</w:t>
      </w:r>
      <w:r>
        <w:rPr>
          <w:rFonts w:ascii="Times New Roman" w:cs="Times New Roman" w:eastAsia="Times New Roman" w:hAnsi="Times New Roman"/>
          <w:sz w:val="22"/>
          <w:szCs w:val="22"/>
          <w:color w:val="253238"/>
        </w:rPr>
        <w:t>. The Company expects revenue growth in 2023 to accelerate to approximately 50% year-over-year due to its strong customer base, well over $300 million bookings foundation, and increasing demand for its voice AI-enabled customer service products. Full year 2022 results and 2023 formal guidance will be released with the company’s upcoming earnings announcement.</w:t>
      </w:r>
    </w:p>
    <w:p>
      <w:pPr>
        <w:spacing w:after="0" w:line="223"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22"/>
          <w:szCs w:val="22"/>
          <w:color w:val="253238"/>
        </w:rPr>
        <w:t xml:space="preserve">In the past year, SoundHound has announced a number of key partnerships and integrations, including an agreement </w:t>
      </w:r>
      <w:r>
        <w:rPr>
          <w:rFonts w:ascii="Times New Roman" w:cs="Times New Roman" w:eastAsia="Times New Roman" w:hAnsi="Times New Roman"/>
          <w:sz w:val="22"/>
          <w:szCs w:val="22"/>
          <w:u w:val="single" w:color="auto"/>
          <w:color w:val="1155CC"/>
        </w:rPr>
        <w:t>with</w:t>
      </w:r>
      <w:r>
        <w:rPr>
          <w:rFonts w:ascii="Times New Roman" w:cs="Times New Roman" w:eastAsia="Times New Roman" w:hAnsi="Times New Roman"/>
          <w:sz w:val="22"/>
          <w:szCs w:val="22"/>
          <w:color w:val="253238"/>
        </w:rPr>
        <w:t xml:space="preserve"> </w:t>
      </w:r>
      <w:r>
        <w:rPr>
          <w:rFonts w:ascii="Times New Roman" w:cs="Times New Roman" w:eastAsia="Times New Roman" w:hAnsi="Times New Roman"/>
          <w:sz w:val="22"/>
          <w:szCs w:val="22"/>
          <w:u w:val="single" w:color="auto"/>
          <w:color w:val="1155CC"/>
        </w:rPr>
        <w:t>Qualcomm</w:t>
      </w:r>
      <w:r>
        <w:rPr>
          <w:rFonts w:ascii="Times New Roman" w:cs="Times New Roman" w:eastAsia="Times New Roman" w:hAnsi="Times New Roman"/>
          <w:sz w:val="22"/>
          <w:szCs w:val="22"/>
          <w:color w:val="1155CC"/>
        </w:rPr>
        <w:t xml:space="preserve"> </w:t>
      </w:r>
      <w:r>
        <w:rPr>
          <w:rFonts w:ascii="Times New Roman" w:cs="Times New Roman" w:eastAsia="Times New Roman" w:hAnsi="Times New Roman"/>
          <w:sz w:val="22"/>
          <w:szCs w:val="22"/>
          <w:color w:val="000000"/>
        </w:rPr>
        <w:t>to bring SoundHound voice AI to its Snapdragon platforms, an expanded partnership with</w:t>
      </w:r>
      <w:r>
        <w:rPr>
          <w:rFonts w:ascii="Times New Roman" w:cs="Times New Roman" w:eastAsia="Times New Roman" w:hAnsi="Times New Roman"/>
          <w:sz w:val="22"/>
          <w:szCs w:val="22"/>
          <w:color w:val="1155CC"/>
        </w:rPr>
        <w:t xml:space="preserve"> </w:t>
      </w:r>
      <w:r>
        <w:rPr>
          <w:rFonts w:ascii="Times New Roman" w:cs="Times New Roman" w:eastAsia="Times New Roman" w:hAnsi="Times New Roman"/>
          <w:sz w:val="22"/>
          <w:szCs w:val="22"/>
          <w:u w:val="single" w:color="auto"/>
          <w:color w:val="1155CC"/>
        </w:rPr>
        <w:t>Snap</w:t>
      </w:r>
      <w:r>
        <w:rPr>
          <w:rFonts w:ascii="Times New Roman" w:cs="Times New Roman" w:eastAsia="Times New Roman" w:hAnsi="Times New Roman"/>
          <w:sz w:val="22"/>
          <w:szCs w:val="22"/>
          <w:color w:val="000000"/>
        </w:rPr>
        <w:t>, and new deals with</w:t>
      </w:r>
      <w:r>
        <w:rPr>
          <w:rFonts w:ascii="Times New Roman" w:cs="Times New Roman" w:eastAsia="Times New Roman" w:hAnsi="Times New Roman"/>
          <w:sz w:val="22"/>
          <w:szCs w:val="22"/>
          <w:color w:val="1155CC"/>
        </w:rPr>
        <w:t xml:space="preserve"> </w:t>
      </w:r>
      <w:r>
        <w:rPr>
          <w:rFonts w:ascii="Times New Roman" w:cs="Times New Roman" w:eastAsia="Times New Roman" w:hAnsi="Times New Roman"/>
          <w:sz w:val="22"/>
          <w:szCs w:val="22"/>
          <w:u w:val="single" w:color="auto"/>
          <w:color w:val="1155CC"/>
        </w:rPr>
        <w:t>VIZIO</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1155CC"/>
        </w:rPr>
        <w:t xml:space="preserve"> </w:t>
      </w:r>
      <w:r>
        <w:rPr>
          <w:rFonts w:ascii="Times New Roman" w:cs="Times New Roman" w:eastAsia="Times New Roman" w:hAnsi="Times New Roman"/>
          <w:sz w:val="22"/>
          <w:szCs w:val="22"/>
          <w:u w:val="single" w:color="auto"/>
          <w:color w:val="1155CC"/>
        </w:rPr>
        <w:t>Square</w:t>
      </w:r>
      <w:r>
        <w:rPr>
          <w:rFonts w:ascii="Times New Roman" w:cs="Times New Roman" w:eastAsia="Times New Roman" w:hAnsi="Times New Roman"/>
          <w:sz w:val="22"/>
          <w:szCs w:val="22"/>
          <w:color w:val="1155CC"/>
        </w:rPr>
        <w:t xml:space="preserve"> </w:t>
      </w:r>
      <w:r>
        <w:rPr>
          <w:rFonts w:ascii="Times New Roman" w:cs="Times New Roman" w:eastAsia="Times New Roman" w:hAnsi="Times New Roman"/>
          <w:sz w:val="22"/>
          <w:szCs w:val="22"/>
          <w:color w:val="000000"/>
        </w:rPr>
        <w:t>and</w:t>
      </w:r>
      <w:r>
        <w:rPr>
          <w:rFonts w:ascii="Times New Roman" w:cs="Times New Roman" w:eastAsia="Times New Roman" w:hAnsi="Times New Roman"/>
          <w:sz w:val="22"/>
          <w:szCs w:val="22"/>
          <w:color w:val="1155CC"/>
        </w:rPr>
        <w:t xml:space="preserve"> </w:t>
      </w:r>
      <w:r>
        <w:rPr>
          <w:rFonts w:ascii="Times New Roman" w:cs="Times New Roman" w:eastAsia="Times New Roman" w:hAnsi="Times New Roman"/>
          <w:sz w:val="22"/>
          <w:szCs w:val="22"/>
          <w:u w:val="single" w:color="auto"/>
          <w:color w:val="1155CC"/>
        </w:rPr>
        <w:t>Toast</w:t>
      </w:r>
      <w:r>
        <w:rPr>
          <w:rFonts w:ascii="Times New Roman" w:cs="Times New Roman" w:eastAsia="Times New Roman" w:hAnsi="Times New Roman"/>
          <w:sz w:val="22"/>
          <w:szCs w:val="22"/>
          <w:color w:val="000000"/>
        </w:rPr>
        <w:t>. SoundHound also signed a</w:t>
      </w:r>
      <w:r>
        <w:rPr>
          <w:rFonts w:ascii="Times New Roman" w:cs="Times New Roman" w:eastAsia="Times New Roman" w:hAnsi="Times New Roman"/>
          <w:sz w:val="22"/>
          <w:szCs w:val="22"/>
          <w:color w:val="1155CC"/>
        </w:rPr>
        <w:t xml:space="preserve"> </w:t>
      </w:r>
      <w:r>
        <w:rPr>
          <w:rFonts w:ascii="Times New Roman" w:cs="Times New Roman" w:eastAsia="Times New Roman" w:hAnsi="Times New Roman"/>
          <w:sz w:val="22"/>
          <w:szCs w:val="22"/>
          <w:u w:val="single" w:color="auto"/>
          <w:color w:val="1155CC"/>
        </w:rPr>
        <w:t>multi-year agreement with Hyundai</w:t>
      </w:r>
      <w:r>
        <w:rPr>
          <w:rFonts w:ascii="Times New Roman" w:cs="Times New Roman" w:eastAsia="Times New Roman" w:hAnsi="Times New Roman"/>
          <w:sz w:val="22"/>
          <w:szCs w:val="22"/>
          <w:color w:val="000000"/>
        </w:rPr>
        <w:t>, and announced an expansion of the</w:t>
      </w:r>
      <w:r>
        <w:rPr>
          <w:rFonts w:ascii="Times New Roman" w:cs="Times New Roman" w:eastAsia="Times New Roman" w:hAnsi="Times New Roman"/>
          <w:sz w:val="22"/>
          <w:szCs w:val="22"/>
          <w:color w:val="1155CC"/>
        </w:rPr>
        <w:t xml:space="preserve"> </w:t>
      </w:r>
      <w:r>
        <w:rPr>
          <w:rFonts w:ascii="Times New Roman" w:cs="Times New Roman" w:eastAsia="Times New Roman" w:hAnsi="Times New Roman"/>
          <w:sz w:val="22"/>
          <w:szCs w:val="22"/>
          <w:color w:val="000000"/>
        </w:rPr>
        <w:t xml:space="preserve">Company’s </w:t>
      </w:r>
      <w:r>
        <w:rPr>
          <w:rFonts w:ascii="Times New Roman" w:cs="Times New Roman" w:eastAsia="Times New Roman" w:hAnsi="Times New Roman"/>
          <w:sz w:val="22"/>
          <w:szCs w:val="22"/>
          <w:u w:val="single" w:color="auto"/>
          <w:color w:val="1155CC"/>
        </w:rPr>
        <w:t>Stellantis relationship in Europe</w:t>
      </w:r>
      <w:r>
        <w:rPr>
          <w:rFonts w:ascii="Times New Roman" w:cs="Times New Roman" w:eastAsia="Times New Roman" w:hAnsi="Times New Roman"/>
          <w:sz w:val="22"/>
          <w:szCs w:val="22"/>
          <w:color w:val="000000"/>
        </w:rPr>
        <w:t xml:space="preserve">, as well as a series of collaborations in the automotive space, including with </w:t>
      </w:r>
      <w:r>
        <w:rPr>
          <w:rFonts w:ascii="Times New Roman" w:cs="Times New Roman" w:eastAsia="Times New Roman" w:hAnsi="Times New Roman"/>
          <w:sz w:val="22"/>
          <w:szCs w:val="22"/>
          <w:u w:val="single" w:color="auto"/>
          <w:color w:val="1155CC"/>
        </w:rPr>
        <w:t>LG</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1155CC"/>
        </w:rPr>
        <w:t>HARMAN International</w:t>
      </w:r>
      <w:r>
        <w:rPr>
          <w:rFonts w:ascii="Times New Roman" w:cs="Times New Roman" w:eastAsia="Times New Roman" w:hAnsi="Times New Roman"/>
          <w:sz w:val="19"/>
          <w:szCs w:val="19"/>
          <w:color w:val="000000"/>
        </w:rPr>
        <w:t>,</w:t>
      </w:r>
      <w:r>
        <w:rPr>
          <w:rFonts w:ascii="Times New Roman" w:cs="Times New Roman" w:eastAsia="Times New Roman" w:hAnsi="Times New Roman"/>
          <w:sz w:val="22"/>
          <w:szCs w:val="22"/>
          <w:color w:val="1155CC"/>
        </w:rPr>
        <w:t xml:space="preserve"> </w:t>
      </w:r>
      <w:r>
        <w:rPr>
          <w:rFonts w:ascii="Times New Roman" w:cs="Times New Roman" w:eastAsia="Times New Roman" w:hAnsi="Times New Roman"/>
          <w:sz w:val="22"/>
          <w:szCs w:val="22"/>
          <w:u w:val="single" w:color="auto"/>
          <w:color w:val="1155CC"/>
        </w:rPr>
        <w:t>DPCA</w:t>
      </w:r>
      <w:r>
        <w:rPr>
          <w:rFonts w:ascii="Times New Roman" w:cs="Times New Roman" w:eastAsia="Times New Roman" w:hAnsi="Times New Roman"/>
          <w:sz w:val="22"/>
          <w:szCs w:val="22"/>
          <w:color w:val="000000"/>
        </w:rPr>
        <w:t>, and</w:t>
      </w:r>
      <w:r>
        <w:rPr>
          <w:rFonts w:ascii="Times New Roman" w:cs="Times New Roman" w:eastAsia="Times New Roman" w:hAnsi="Times New Roman"/>
          <w:sz w:val="22"/>
          <w:szCs w:val="22"/>
          <w:color w:val="1155CC"/>
        </w:rPr>
        <w:t xml:space="preserve"> </w:t>
      </w:r>
      <w:r>
        <w:rPr>
          <w:rFonts w:ascii="Times New Roman" w:cs="Times New Roman" w:eastAsia="Times New Roman" w:hAnsi="Times New Roman"/>
          <w:sz w:val="22"/>
          <w:szCs w:val="22"/>
          <w:u w:val="single" w:color="auto"/>
          <w:color w:val="1155CC"/>
        </w:rPr>
        <w:t>DMI</w:t>
      </w:r>
      <w:r>
        <w:rPr>
          <w:rFonts w:ascii="Times New Roman" w:cs="Times New Roman" w:eastAsia="Times New Roman" w:hAnsi="Times New Roman"/>
          <w:sz w:val="22"/>
          <w:szCs w:val="22"/>
          <w:color w:val="000000"/>
        </w:rPr>
        <w:t>.</w:t>
      </w:r>
    </w:p>
    <w:p>
      <w:pPr>
        <w:sectPr>
          <w:pgSz w:w="11900" w:h="16838" w:orient="portrait"/>
          <w:cols w:equalWidth="0" w:num="1">
            <w:col w:w="11180"/>
          </w:cols>
          <w:pgMar w:left="320" w:top="1431" w:right="399" w:bottom="1440" w:gutter="0" w:footer="0" w:header="0"/>
        </w:sectPr>
      </w:pPr>
    </w:p>
    <w:bookmarkStart w:id="53" w:name="page54"/>
    <w:bookmarkEnd w:id="53"/>
    <w:p>
      <w:pPr>
        <w:ind w:right="160"/>
        <w:spacing w:after="0" w:line="322" w:lineRule="auto"/>
        <w:rPr>
          <w:sz w:val="20"/>
          <w:szCs w:val="20"/>
          <w:color w:val="auto"/>
        </w:rPr>
      </w:pPr>
      <w:r>
        <w:rPr>
          <w:rFonts w:ascii="Times New Roman" w:cs="Times New Roman" w:eastAsia="Times New Roman" w:hAnsi="Times New Roman"/>
          <w:sz w:val="21"/>
          <w:szCs w:val="21"/>
          <w:color w:val="auto"/>
        </w:rPr>
        <w:t>SoundHound believes that burgeoning market demand and significant advances in technology are creating the conditions for an explosion in conversational AI, and SoundHound’s next-generation products and services are at the center of this revolution.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53238"/>
        </w:rPr>
        <w:t>About SoundHound</w:t>
      </w:r>
    </w:p>
    <w:p>
      <w:pPr>
        <w:spacing w:after="0" w:line="183" w:lineRule="exact"/>
        <w:rPr>
          <w:sz w:val="20"/>
          <w:szCs w:val="20"/>
          <w:color w:val="auto"/>
        </w:rPr>
      </w:pPr>
    </w:p>
    <w:p>
      <w:pPr>
        <w:ind w:right="80"/>
        <w:spacing w:after="0" w:line="215" w:lineRule="auto"/>
        <w:rPr>
          <w:sz w:val="20"/>
          <w:szCs w:val="20"/>
          <w:color w:val="auto"/>
        </w:rPr>
      </w:pPr>
      <w:r>
        <w:rPr>
          <w:rFonts w:ascii="Times New Roman" w:cs="Times New Roman" w:eastAsia="Times New Roman" w:hAnsi="Times New Roman"/>
          <w:sz w:val="22"/>
          <w:szCs w:val="22"/>
          <w:color w:val="253238"/>
        </w:rPr>
        <w:t xml:space="preserve">SoundHound (Nasdaq: SOUN), a leading innovator of conversational intelligence, offers an independent voice AI platform that enables businesses across industries to deliver best-in-class conversational experiences to their customers. Built on proprietary Speech-to-Meaning® and Deep Meaning Understanding® technologies, SoundHound’s advanced voice AI platform provides exceptional speed and accuracy and enables humans to interact with products and services like they interact with each other—by speaking naturally. SoundHound is trusted by companies around the globe, including Hyundai, Mercedes-Benz, Pandora, Qualcomm, Netflix, Snap, Square, LG, VIZIO, KIA, and Stellantis. </w:t>
      </w:r>
      <w:r>
        <w:rPr>
          <w:rFonts w:ascii="Times New Roman" w:cs="Times New Roman" w:eastAsia="Times New Roman" w:hAnsi="Times New Roman"/>
          <w:sz w:val="22"/>
          <w:szCs w:val="22"/>
          <w:u w:val="single" w:color="auto"/>
          <w:color w:val="1155CC"/>
        </w:rPr>
        <w:t>www.soundhound.com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53238"/>
        </w:rPr>
        <w:t>Forward Looking Statements</w:t>
      </w:r>
    </w:p>
    <w:p>
      <w:pPr>
        <w:spacing w:after="0" w:line="183"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22"/>
          <w:szCs w:val="22"/>
          <w:color w:val="253238"/>
        </w:rPr>
        <w:t>This press release contains forward-looking statements, which are not historical facts, within the meaning of Section 27A of the Securities Act of 1933, as amended, and Section 21E of the Securities Exchange Act of 1934, as amended. Our actual results, performance or achievements may differ materially from those expressed or implied by these forward-looking statements. In some cases, you can identify forward-looking statements by the use of words such as “may,” “could,” “expect,” “intend,” “plan,” “seek,” “anticipate,” “believe,” “estimate,” “predict,” “potential,” “continue,” “likely,” “will,” “would” and variations of these terms and similar expressions, or the negative of these terms or similar expressions. Such forward-looking statements, including, but not limited to, statements regarding our expectations regarding our revenue growth, cost structure and reductions, profitability, cash flow and benefits from our restructuring, including timing of the foregoing, our preliminary unaudited financial results as of and for the fiscal year 2022, our anticipated timeline to achieving operating cash flow breakeven, our expected revenue growth rate, our ability to refinance our existing indebtedness, our financial outlook for 2023, our expectations regarding market demand and technology advancements in our markets, including conversational AI, our category leadership, market acceptance of our products, our bookings backlog and ability to convert into revenue, and our ability to achieve growth and performance objectives, are necessarily based upon estimates and assumptions that, while considered reasonable by us and our management, are inherently uncertain. As a result, readers are cautioned not to place undue reliance on these forward-looking statements. Actual results may differ materially from those indicated by these forward-looking statements as a result of risks and uncertainties impacting SoundHound’s business including, but not limited to, adequacy of our capital resources for our expected financial goals, including revenue growth and operating cash flow breakeven; continued adoption of our current and future products, our ability to shift emphasis from our current licensing business and increase our focus on SoundHound for Restaurants; our inability to predict or measure supply chain disruptions at our customers resulting from the COVID-19 pandemic and other causes; the effects of inflationary conditions, economic uncertainty, recessionary risks and exchange rate fluctuations, the potential future revenue associated with our AI platform products and services; our rate of growth; our ability to reduce costs and improve our operating efficiency while maintaining revenue growth; our ability to predict direct and indirect customer demand for our existing and future products and to secure adequate manufacturing capacity; our ability to hire, retain and motivate employees; the effects of competition, including price competition within our industry segment; technological, regulatory and legal developments that uniquely or disproportionately impact our industry; developments in the economy and financial markets and those other factors described in our risk</w:t>
      </w:r>
    </w:p>
    <w:p>
      <w:pPr>
        <w:sectPr>
          <w:pgSz w:w="11900" w:h="16838" w:orient="portrait"/>
          <w:cols w:equalWidth="0" w:num="1">
            <w:col w:w="11200"/>
          </w:cols>
          <w:pgMar w:left="320" w:top="1435" w:right="379" w:bottom="1440" w:gutter="0" w:footer="0" w:header="0"/>
        </w:sectPr>
      </w:pPr>
    </w:p>
    <w:bookmarkStart w:id="54" w:name="page55"/>
    <w:bookmarkEnd w:id="54"/>
    <w:p>
      <w:pPr>
        <w:jc w:val="both"/>
        <w:spacing w:after="0" w:line="225" w:lineRule="auto"/>
        <w:rPr>
          <w:sz w:val="20"/>
          <w:szCs w:val="20"/>
          <w:color w:val="auto"/>
        </w:rPr>
      </w:pPr>
      <w:r>
        <w:rPr>
          <w:rFonts w:ascii="Times New Roman" w:cs="Times New Roman" w:eastAsia="Times New Roman" w:hAnsi="Times New Roman"/>
          <w:sz w:val="22"/>
          <w:szCs w:val="22"/>
          <w:color w:val="253238"/>
        </w:rPr>
        <w:t>factors set forth in our filings with the Securities and Exchange Commission from time to time, including our Quarterly Reports on Form 10-Q and Current Reports on Form 8-K. We do not intend to update or alter our forward-looking statements, whether as a result of new information, future events or otherwise, except as required by applicable law.</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Legends</w:t>
      </w:r>
    </w:p>
    <w:p>
      <w:pPr>
        <w:spacing w:after="0" w:line="183" w:lineRule="exact"/>
        <w:rPr>
          <w:sz w:val="20"/>
          <w:szCs w:val="20"/>
          <w:color w:val="auto"/>
        </w:rPr>
      </w:pPr>
    </w:p>
    <w:p>
      <w:pPr>
        <w:jc w:val="both"/>
        <w:ind w:right="140"/>
        <w:spacing w:after="0" w:line="217" w:lineRule="auto"/>
        <w:rPr>
          <w:sz w:val="20"/>
          <w:szCs w:val="20"/>
          <w:color w:val="auto"/>
        </w:rPr>
      </w:pPr>
      <w:r>
        <w:rPr>
          <w:rFonts w:ascii="Times New Roman" w:cs="Times New Roman" w:eastAsia="Times New Roman" w:hAnsi="Times New Roman"/>
          <w:sz w:val="22"/>
          <w:szCs w:val="22"/>
          <w:color w:val="auto"/>
        </w:rPr>
        <w:t>The offer and sale of the foregoing securities in the private placement was made in a transaction not involving a public offering and have not been registered under the Securities Act of 1933, as amended (the "Securities Act"), or applicable state securities laws. Accordingly, the securities in the private placement may not be reoffered or resold in the United States except pursuant to an effective registration statement or an applicable exemption from the registration requirements of the Securities Act and such applicable state securities laws.</w:t>
      </w:r>
    </w:p>
    <w:p>
      <w:pPr>
        <w:spacing w:after="0" w:line="152" w:lineRule="exact"/>
        <w:rPr>
          <w:sz w:val="20"/>
          <w:szCs w:val="20"/>
          <w:color w:val="auto"/>
        </w:rPr>
      </w:pPr>
    </w:p>
    <w:p>
      <w:pPr>
        <w:ind w:right="300"/>
        <w:spacing w:after="0" w:line="225" w:lineRule="auto"/>
        <w:rPr>
          <w:sz w:val="20"/>
          <w:szCs w:val="20"/>
          <w:color w:val="auto"/>
        </w:rPr>
      </w:pPr>
      <w:r>
        <w:rPr>
          <w:rFonts w:ascii="Times New Roman" w:cs="Times New Roman" w:eastAsia="Times New Roman" w:hAnsi="Times New Roman"/>
          <w:sz w:val="22"/>
          <w:szCs w:val="22"/>
          <w:color w:val="auto"/>
        </w:rPr>
        <w:t>This press release does not constitute an offer to sell or the solicitation of an offer to buy any securities, nor shall there be any sale of the securities in any state in which such offer, solicitation or sale would be unlawful prior to the registration or qualification under the securities laws of such state.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53238"/>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53238"/>
        </w:rPr>
        <w:t>Contacts:</w:t>
      </w:r>
    </w:p>
    <w:p>
      <w:pPr>
        <w:spacing w:after="0" w:line="204" w:lineRule="auto"/>
        <w:rPr>
          <w:sz w:val="20"/>
          <w:szCs w:val="20"/>
          <w:color w:val="auto"/>
        </w:rPr>
      </w:pPr>
      <w:r>
        <w:rPr>
          <w:rFonts w:ascii="Times New Roman" w:cs="Times New Roman" w:eastAsia="Times New Roman" w:hAnsi="Times New Roman"/>
          <w:sz w:val="22"/>
          <w:szCs w:val="22"/>
          <w:color w:val="253238"/>
        </w:rPr>
        <w:t>Scott Smith</w:t>
      </w:r>
    </w:p>
    <w:p>
      <w:pPr>
        <w:spacing w:after="0" w:line="205" w:lineRule="auto"/>
        <w:rPr>
          <w:sz w:val="20"/>
          <w:szCs w:val="20"/>
          <w:color w:val="auto"/>
        </w:rPr>
      </w:pPr>
      <w:r>
        <w:rPr>
          <w:rFonts w:ascii="Times New Roman" w:cs="Times New Roman" w:eastAsia="Times New Roman" w:hAnsi="Times New Roman"/>
          <w:sz w:val="22"/>
          <w:szCs w:val="22"/>
          <w:color w:val="253238"/>
        </w:rPr>
        <w:t>408-724-1498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5C4D7D"/>
        </w:rPr>
        <w:t>IR@SoundHound.com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53238"/>
        </w:rPr>
        <w:t>Fiona McEvoy</w:t>
      </w:r>
    </w:p>
    <w:p>
      <w:pPr>
        <w:ind w:right="9120" w:firstLine="8"/>
        <w:spacing w:after="0" w:line="235" w:lineRule="auto"/>
        <w:tabs>
          <w:tab w:leader="none" w:pos="522" w:val="left"/>
        </w:tabs>
        <w:numPr>
          <w:ilvl w:val="0"/>
          <w:numId w:val="43"/>
        </w:numPr>
        <w:rPr>
          <w:rFonts w:ascii="Times New Roman" w:cs="Times New Roman" w:eastAsia="Times New Roman" w:hAnsi="Times New Roman"/>
          <w:sz w:val="21"/>
          <w:szCs w:val="21"/>
          <w:color w:val="253238"/>
        </w:rPr>
      </w:pPr>
      <w:r>
        <w:rPr>
          <w:rFonts w:ascii="Times New Roman" w:cs="Times New Roman" w:eastAsia="Times New Roman" w:hAnsi="Times New Roman"/>
          <w:sz w:val="21"/>
          <w:szCs w:val="21"/>
          <w:color w:val="253238"/>
        </w:rPr>
        <w:t>610-6590 PR@SoundHound.com</w:t>
      </w:r>
    </w:p>
    <w:p>
      <w:pPr>
        <w:spacing w:after="0" w:line="200" w:lineRule="exact"/>
        <w:rPr>
          <w:sz w:val="20"/>
          <w:szCs w:val="20"/>
          <w:color w:val="auto"/>
        </w:rPr>
      </w:pPr>
    </w:p>
    <w:p>
      <w:pPr>
        <w:spacing w:after="0" w:line="257" w:lineRule="exact"/>
        <w:rPr>
          <w:sz w:val="20"/>
          <w:szCs w:val="20"/>
          <w:color w:val="auto"/>
        </w:rPr>
      </w:pPr>
    </w:p>
    <w:p>
      <w:pPr>
        <w:ind w:right="80" w:firstLine="8"/>
        <w:spacing w:after="0" w:line="267" w:lineRule="auto"/>
        <w:tabs>
          <w:tab w:leader="none" w:pos="103" w:val="left"/>
        </w:tabs>
        <w:numPr>
          <w:ilvl w:val="0"/>
          <w:numId w:val="44"/>
        </w:numPr>
        <w:rPr>
          <w:rFonts w:ascii="Times New Roman" w:cs="Times New Roman" w:eastAsia="Times New Roman" w:hAnsi="Times New Roman"/>
          <w:sz w:val="23"/>
          <w:szCs w:val="23"/>
          <w:color w:val="666666"/>
          <w:vertAlign w:val="superscript"/>
        </w:rPr>
      </w:pPr>
      <w:r>
        <w:rPr>
          <w:rFonts w:ascii="Times New Roman" w:cs="Times New Roman" w:eastAsia="Times New Roman" w:hAnsi="Times New Roman"/>
          <w:sz w:val="18"/>
          <w:szCs w:val="18"/>
          <w:color w:val="666666"/>
        </w:rPr>
        <w:t>These preliminary unaudited financial and other results are subject to revision in connection with the Company’s financial closing procedures, including the Company’s audit committee’s reviews, and finalization of the Company’s consolidated financial statements for the year ended December 31, 2022. During the preparation of the Company’s consolidated financial statements and related notes and the completion of the audit for the year ended December 31, 2022, additional adjustments to the preliminary estimated financial information presented above may be identified. Actual results for the periods reported may differ from these preliminary results.</w:t>
      </w:r>
    </w:p>
    <w:sectPr>
      <w:pgSz w:w="11900" w:h="16838" w:orient="portrait"/>
      <w:cols w:equalWidth="0" w:num="1">
        <w:col w:w="11160"/>
      </w:cols>
      <w:pgMar w:left="320" w:top="139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o"/>
      <w:numFmt w:val="bullet"/>
      <w:start w:val="1"/>
    </w:lvl>
  </w:abstractNum>
  <w:abstractNum w:abstractNumId="1">
    <w:nsid w:val="2D1D5AE9"/>
    <w:multiLevelType w:val="hybridMultilevel"/>
    <w:lvl w:ilvl="0">
      <w:lvlJc w:val="left"/>
      <w:lvlText w:val="%1."/>
      <w:numFmt w:val="decimal"/>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2"/>
    </w:lvl>
  </w:abstractNum>
  <w:abstractNum w:abstractNumId="5">
    <w:nsid w:val="79838CB2"/>
    <w:multiLevelType w:val="hybridMultilevel"/>
    <w:lvl w:ilvl="0">
      <w:lvlJc w:val="left"/>
      <w:lvlText w:val="%1."/>
      <w:numFmt w:val="decimal"/>
      <w:start w:val="3"/>
    </w:lvl>
  </w:abstractNum>
  <w:abstractNum w:abstractNumId="6">
    <w:nsid w:val="4353D0CD"/>
    <w:multiLevelType w:val="hybridMultilevel"/>
    <w:lvl w:ilvl="0">
      <w:lvlJc w:val="left"/>
      <w:lvlText w:val="%1."/>
      <w:numFmt w:val="decimal"/>
      <w:start w:val="4"/>
    </w:lvl>
  </w:abstractNum>
  <w:abstractNum w:abstractNumId="7">
    <w:nsid w:val="B03E0C6"/>
    <w:multiLevelType w:val="hybridMultilevel"/>
    <w:lvl w:ilvl="0">
      <w:lvlJc w:val="left"/>
      <w:lvlText w:val="(%1)"/>
      <w:numFmt w:val="lowerLetter"/>
      <w:start w:val="1"/>
    </w:lvl>
    <w:lvl w:ilvl="1">
      <w:lvlJc w:val="left"/>
      <w:lvlText w:val="(%2)"/>
      <w:numFmt w:val="lowerRoman"/>
      <w:start w:val="1"/>
    </w:lvl>
  </w:abstractNum>
  <w:abstractNum w:abstractNumId="8">
    <w:nsid w:val="189A769B"/>
    <w:multiLevelType w:val="hybridMultilevel"/>
    <w:lvl w:ilvl="0">
      <w:lvlJc w:val="left"/>
      <w:lvlText w:val="(%1)"/>
      <w:numFmt w:val="lowerLetter"/>
      <w:start w:val="2"/>
    </w:lvl>
  </w:abstractNum>
  <w:abstractNum w:abstractNumId="9">
    <w:nsid w:val="54E49EB4"/>
    <w:multiLevelType w:val="hybridMultilevel"/>
    <w:lvl w:ilvl="0">
      <w:lvlJc w:val="left"/>
      <w:lvlText w:val="(%1)"/>
      <w:numFmt w:val="lowerLetter"/>
      <w:start w:val="1"/>
    </w:lvl>
  </w:abstractNum>
  <w:abstractNum w:abstractNumId="10">
    <w:nsid w:val="71F32454"/>
    <w:multiLevelType w:val="hybridMultilevel"/>
    <w:lvl w:ilvl="0">
      <w:lvlJc w:val="left"/>
      <w:lvlText w:val="%1."/>
      <w:numFmt w:val="decimal"/>
      <w:start w:val="5"/>
    </w:lvl>
  </w:abstractNum>
  <w:abstractNum w:abstractNumId="11">
    <w:nsid w:val="2CA88611"/>
    <w:multiLevelType w:val="hybridMultilevel"/>
    <w:lvl w:ilvl="0">
      <w:lvlJc w:val="left"/>
      <w:lvlText w:val="%1."/>
      <w:numFmt w:val="decimal"/>
      <w:start w:val="8"/>
    </w:lvl>
  </w:abstractNum>
  <w:abstractNum w:abstractNumId="12">
    <w:nsid w:val="836C40E"/>
    <w:multiLevelType w:val="hybridMultilevel"/>
    <w:lvl w:ilvl="0">
      <w:lvlJc w:val="left"/>
      <w:lvlText w:val="%1"/>
      <w:numFmt w:val="decimal"/>
      <w:start w:val="1"/>
    </w:lvl>
    <w:lvl w:ilvl="1">
      <w:lvlJc w:val="left"/>
      <w:lvlText w:val="%2."/>
      <w:numFmt w:val="decimal"/>
      <w:start w:val="9"/>
    </w:lvl>
  </w:abstractNum>
  <w:abstractNum w:abstractNumId="13">
    <w:nsid w:val="2901D82"/>
    <w:multiLevelType w:val="hybridMultilevel"/>
    <w:lvl w:ilvl="0">
      <w:lvlJc w:val="left"/>
      <w:lvlText w:val="(%1)"/>
      <w:numFmt w:val="decimal"/>
      <w:start w:val="5"/>
    </w:lvl>
    <w:lvl w:ilvl="1">
      <w:lvlJc w:val="left"/>
      <w:lvlText w:val="%2"/>
      <w:numFmt w:val="decimal"/>
      <w:start w:val="1"/>
    </w:lvl>
  </w:abstractNum>
  <w:abstractNum w:abstractNumId="14">
    <w:nsid w:val="3A95F874"/>
    <w:multiLevelType w:val="hybridMultilevel"/>
    <w:lvl w:ilvl="0">
      <w:lvlJc w:val="left"/>
      <w:lvlText w:val="%1."/>
      <w:numFmt w:val="decimal"/>
      <w:start w:val="10"/>
    </w:lvl>
  </w:abstractNum>
  <w:abstractNum w:abstractNumId="15">
    <w:nsid w:val="8138641"/>
    <w:multiLevelType w:val="hybridMultilevel"/>
    <w:lvl w:ilvl="0">
      <w:lvlJc w:val="left"/>
      <w:lvlText w:val="%1."/>
      <w:numFmt w:val="decimal"/>
      <w:start w:val="1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4"/>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decimal"/>
      <w:start w:val="2"/>
    </w:lvl>
  </w:abstractNum>
  <w:abstractNum w:abstractNumId="20">
    <w:nsid w:val="22221A70"/>
    <w:multiLevelType w:val="hybridMultilevel"/>
    <w:lvl w:ilvl="0">
      <w:lvlJc w:val="left"/>
      <w:lvlText w:val="%1"/>
      <w:numFmt w:val="decimal"/>
      <w:start w:val="1"/>
    </w:lvl>
    <w:lvl w:ilvl="1">
      <w:lvlJc w:val="left"/>
      <w:lvlText w:val="%2."/>
      <w:numFmt w:val="lowerLetter"/>
      <w:start w:val="1"/>
    </w:lvl>
  </w:abstractNum>
  <w:abstractNum w:abstractNumId="21">
    <w:nsid w:val="4516DDE9"/>
    <w:multiLevelType w:val="hybridMultilevel"/>
    <w:lvl w:ilvl="0">
      <w:lvlJc w:val="left"/>
      <w:lvlText w:val="%1."/>
      <w:numFmt w:val="decimal"/>
      <w:start w:val="3"/>
    </w:lvl>
    <w:lvl w:ilvl="1">
      <w:lvlJc w:val="left"/>
      <w:lvlText w:val="%2"/>
      <w:numFmt w:val="lowerLetter"/>
      <w:start w:val="1"/>
    </w:lvl>
  </w:abstractNum>
  <w:abstractNum w:abstractNumId="22">
    <w:nsid w:val="3006C83E"/>
    <w:multiLevelType w:val="hybridMultilevel"/>
    <w:lvl w:ilvl="0">
      <w:lvlJc w:val="left"/>
      <w:lvlText w:val="%1."/>
      <w:numFmt w:val="lowerLetter"/>
      <w:start w:val="1"/>
    </w:lvl>
  </w:abstractNum>
  <w:abstractNum w:abstractNumId="23">
    <w:nsid w:val="614FD4A1"/>
    <w:multiLevelType w:val="hybridMultilevel"/>
    <w:lvl w:ilvl="0">
      <w:lvlJc w:val="left"/>
      <w:lvlText w:val="%1."/>
      <w:numFmt w:val="lowerLetter"/>
      <w:start w:val="3"/>
    </w:lvl>
  </w:abstractNum>
  <w:abstractNum w:abstractNumId="24">
    <w:nsid w:val="419AC241"/>
    <w:multiLevelType w:val="hybridMultilevel"/>
    <w:lvl w:ilvl="0">
      <w:lvlJc w:val="left"/>
      <w:lvlText w:val="%1."/>
      <w:numFmt w:val="lowerLetter"/>
      <w:start w:val="1"/>
    </w:lvl>
  </w:abstractNum>
  <w:abstractNum w:abstractNumId="25">
    <w:nsid w:val="5577F8E1"/>
    <w:multiLevelType w:val="hybridMultilevel"/>
    <w:lvl w:ilvl="0">
      <w:lvlJc w:val="left"/>
      <w:lvlText w:val="%1."/>
      <w:numFmt w:val="lowerLetter"/>
      <w:start w:val="1"/>
    </w:lvl>
  </w:abstractNum>
  <w:abstractNum w:abstractNumId="26">
    <w:nsid w:val="440BADFC"/>
    <w:multiLevelType w:val="hybridMultilevel"/>
    <w:lvl w:ilvl="0">
      <w:lvlJc w:val="left"/>
      <w:lvlText w:val="%1."/>
      <w:numFmt w:val="lowerLetter"/>
      <w:start w:val="1"/>
    </w:lvl>
  </w:abstractNum>
  <w:abstractNum w:abstractNumId="27">
    <w:nsid w:val="5072367"/>
    <w:multiLevelType w:val="hybridMultilevel"/>
    <w:lvl w:ilvl="0">
      <w:lvlJc w:val="left"/>
      <w:lvlText w:val="%1."/>
      <w:numFmt w:val="lowerLetter"/>
      <w:start w:val="1"/>
    </w:lvl>
  </w:abstractNum>
  <w:abstractNum w:abstractNumId="28">
    <w:nsid w:val="3804823E"/>
    <w:multiLevelType w:val="hybridMultilevel"/>
    <w:lvl w:ilvl="0">
      <w:lvlJc w:val="left"/>
      <w:lvlText w:val="%1."/>
      <w:numFmt w:val="decimal"/>
      <w:start w:val="4"/>
    </w:lvl>
  </w:abstractNum>
  <w:abstractNum w:abstractNumId="29">
    <w:nsid w:val="77465F01"/>
    <w:multiLevelType w:val="hybridMultilevel"/>
    <w:lvl w:ilvl="0">
      <w:lvlJc w:val="left"/>
      <w:lvlText w:val="%1."/>
      <w:numFmt w:val="decimal"/>
      <w:start w:val="5"/>
    </w:lvl>
    <w:lvl w:ilvl="1">
      <w:lvlJc w:val="left"/>
      <w:lvlText w:val="%2."/>
      <w:numFmt w:val="lowerLetter"/>
      <w:start w:val="1"/>
    </w:lvl>
  </w:abstractNum>
  <w:abstractNum w:abstractNumId="30">
    <w:nsid w:val="7724C67E"/>
    <w:multiLevelType w:val="hybridMultilevel"/>
    <w:lvl w:ilvl="0">
      <w:lvlJc w:val="left"/>
      <w:lvlText w:val="%1."/>
      <w:numFmt w:val="decimal"/>
      <w:start w:val="7"/>
    </w:lvl>
  </w:abstractNum>
  <w:abstractNum w:abstractNumId="31">
    <w:nsid w:val="5C482A97"/>
    <w:multiLevelType w:val="hybridMultilevel"/>
    <w:lvl w:ilvl="0">
      <w:lvlJc w:val="left"/>
      <w:lvlText w:val="(%1)"/>
      <w:numFmt w:val="lowerLetter"/>
      <w:start w:val="3"/>
    </w:lvl>
  </w:abstractNum>
  <w:abstractNum w:abstractNumId="32">
    <w:nsid w:val="2463B9EA"/>
    <w:multiLevelType w:val="hybridMultilevel"/>
    <w:lvl w:ilvl="0">
      <w:lvlJc w:val="left"/>
      <w:lvlText w:val="%1."/>
      <w:numFmt w:val="upperLetter"/>
      <w:start w:val="1"/>
    </w:lvl>
  </w:abstractNum>
  <w:abstractNum w:abstractNumId="33">
    <w:nsid w:val="5E884ADC"/>
    <w:multiLevelType w:val="hybridMultilevel"/>
    <w:lvl w:ilvl="0">
      <w:lvlJc w:val="left"/>
      <w:lvlText w:val="***"/>
      <w:numFmt w:val="bullet"/>
      <w:start w:val="1"/>
    </w:lvl>
    <w:lvl w:ilvl="1">
      <w:lvlJc w:val="left"/>
      <w:lvlText w:val="%2"/>
      <w:numFmt w:val="upperLetter"/>
      <w:start w:val="1"/>
    </w:lvl>
    <w:lvl w:ilvl="2">
      <w:lvlJc w:val="left"/>
      <w:lvlText w:val="%3."/>
      <w:numFmt w:val="decimal"/>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1."/>
      <w:numFmt w:val="upperLetter"/>
      <w:start w:val="3"/>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lvl w:ilvl="1">
      <w:lvlJc w:val="left"/>
      <w:lvlText w:val="☐"/>
      <w:numFmt w:val="bullet"/>
      <w:start w:val="1"/>
    </w:lvl>
    <w:lvl w:ilvl="2">
      <w:lvlJc w:val="left"/>
      <w:lvlText w:val="(%3)"/>
      <w:numFmt w:val="lowerLetter"/>
      <w:start w:val="4"/>
    </w:lvl>
  </w:abstractNum>
  <w:abstractNum w:abstractNumId="38">
    <w:nsid w:val="3855585C"/>
    <w:multiLevelType w:val="hybridMultilevel"/>
    <w:lvl w:ilvl="0">
      <w:lvlJc w:val="left"/>
      <w:lvlText w:val="☐"/>
      <w:numFmt w:val="bullet"/>
      <w:start w:val="1"/>
    </w:lvl>
    <w:lvl w:ilvl="1">
      <w:lvlJc w:val="left"/>
      <w:lvlText w:val="☐"/>
      <w:numFmt w:val="bullet"/>
      <w:start w:val="1"/>
    </w:lvl>
    <w:lvl w:ilvl="2">
      <w:lvlJc w:val="left"/>
      <w:lvlText w:val="(%3)"/>
      <w:numFmt w:val="lowerLetter"/>
      <w:start w:val="9"/>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1)"/>
      <w:numFmt w:val="decimal"/>
      <w:start w:val="415"/>
    </w:lvl>
  </w:abstractNum>
  <w:abstractNum w:abstractNumId="43">
    <w:nsid w:val="725A06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2023-01-24T08:07:03Z</dcterms:created>
  <dcterms:modified xsi:type="dcterms:W3CDTF">2023-01-24T08:07:03Z</dcterms:modified>
</cp:coreProperties>
</file>