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48"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660" w:right="940" w:hanging="2712"/>
        <w:spacing w:after="0" w:line="382" w:lineRule="auto"/>
        <w:tabs>
          <w:tab w:leader="none" w:pos="11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3"/>
          </w:tcPr>
          <w:p>
            <w:pPr>
              <w:ind w:left="140"/>
              <w:spacing w:after="0"/>
              <w:rPr>
                <w:sz w:val="20"/>
                <w:szCs w:val="20"/>
                <w:color w:val="auto"/>
              </w:rPr>
            </w:pPr>
            <w:r>
              <w:rPr>
                <w:rFonts w:ascii="Arial" w:cs="Arial" w:eastAsia="Arial" w:hAnsi="Arial"/>
                <w:sz w:val="18"/>
                <w:szCs w:val="18"/>
                <w:b w:val="1"/>
                <w:bCs w:val="1"/>
                <w:color w:val="auto"/>
              </w:rPr>
              <w:t>For the transition period from</w:t>
            </w:r>
          </w:p>
        </w:tc>
        <w:tc>
          <w:tcPr>
            <w:tcW w:w="4260" w:type="dxa"/>
            <w:vAlign w:val="bottom"/>
            <w:gridSpan w:val="3"/>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Commission File No. 001-40193</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8"/>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7"/>
          </w:tcPr>
          <w:p>
            <w:pPr>
              <w:jc w:val="center"/>
              <w:ind w:right="3530"/>
              <w:spacing w:after="0"/>
              <w:rPr>
                <w:sz w:val="20"/>
                <w:szCs w:val="20"/>
                <w:color w:val="auto"/>
              </w:rPr>
            </w:pPr>
            <w:r>
              <w:rPr>
                <w:rFonts w:ascii="Arial" w:cs="Arial" w:eastAsia="Arial" w:hAnsi="Arial"/>
                <w:sz w:val="18"/>
                <w:szCs w:val="18"/>
                <w:b w:val="1"/>
                <w:bCs w:val="1"/>
                <w:color w:val="auto"/>
                <w:w w:val="98"/>
              </w:rPr>
              <w:t>ARCHIMEDES TECH SPAC PARTNERS CO.</w:t>
            </w:r>
          </w:p>
        </w:tc>
      </w:tr>
      <w:tr>
        <w:trPr>
          <w:trHeight w:val="230"/>
        </w:trPr>
        <w:tc>
          <w:tcPr>
            <w:tcW w:w="3620" w:type="dxa"/>
            <w:vAlign w:val="bottom"/>
          </w:tcPr>
          <w:p>
            <w:pPr>
              <w:spacing w:after="0"/>
              <w:rPr>
                <w:sz w:val="20"/>
                <w:szCs w:val="20"/>
                <w:color w:val="auto"/>
              </w:rPr>
            </w:pPr>
          </w:p>
        </w:tc>
        <w:tc>
          <w:tcPr>
            <w:tcW w:w="7620" w:type="dxa"/>
            <w:vAlign w:val="bottom"/>
            <w:gridSpan w:val="7"/>
          </w:tcPr>
          <w:p>
            <w:pPr>
              <w:jc w:val="center"/>
              <w:ind w:right="35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44"/>
        </w:trPr>
        <w:tc>
          <w:tcPr>
            <w:tcW w:w="36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1"/>
              </w:rPr>
              <w:t>Delaware</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3"/>
          </w:tcPr>
          <w:p>
            <w:pPr>
              <w:jc w:val="center"/>
              <w:ind w:right="1150"/>
              <w:spacing w:after="0"/>
              <w:rPr>
                <w:sz w:val="20"/>
                <w:szCs w:val="20"/>
                <w:color w:val="auto"/>
              </w:rPr>
            </w:pPr>
            <w:r>
              <w:rPr>
                <w:rFonts w:ascii="Arial" w:cs="Arial" w:eastAsia="Arial" w:hAnsi="Arial"/>
                <w:sz w:val="18"/>
                <w:szCs w:val="18"/>
                <w:b w:val="1"/>
                <w:bCs w:val="1"/>
                <w:color w:val="auto"/>
                <w:w w:val="89"/>
              </w:rPr>
              <w:t>86-1286799</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6980" w:type="dxa"/>
            <w:vAlign w:val="bottom"/>
            <w:gridSpan w:val="5"/>
          </w:tcPr>
          <w:p>
            <w:pPr>
              <w:jc w:val="center"/>
              <w:ind w:right="1460"/>
              <w:spacing w:after="0"/>
              <w:rPr>
                <w:sz w:val="20"/>
                <w:szCs w:val="20"/>
                <w:color w:val="auto"/>
              </w:rPr>
            </w:pPr>
            <w:r>
              <w:rPr>
                <w:rFonts w:ascii="Arial" w:cs="Arial" w:eastAsia="Arial" w:hAnsi="Arial"/>
                <w:sz w:val="18"/>
                <w:szCs w:val="18"/>
                <w:color w:val="auto"/>
                <w:w w:val="92"/>
              </w:rPr>
              <w:t>incorporation or organization)</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58"/>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7"/>
          </w:tcPr>
          <w:p>
            <w:pPr>
              <w:jc w:val="center"/>
              <w:ind w:right="3510"/>
              <w:spacing w:after="0"/>
              <w:rPr>
                <w:sz w:val="20"/>
                <w:szCs w:val="20"/>
                <w:color w:val="auto"/>
              </w:rPr>
            </w:pPr>
            <w:r>
              <w:rPr>
                <w:rFonts w:ascii="Arial" w:cs="Arial" w:eastAsia="Arial" w:hAnsi="Arial"/>
                <w:sz w:val="18"/>
                <w:szCs w:val="18"/>
                <w:b w:val="1"/>
                <w:bCs w:val="1"/>
                <w:color w:val="auto"/>
                <w:w w:val="91"/>
              </w:rPr>
              <w:t>2093 Philadelphia Pike #1968, Claymont, DE 19703</w:t>
            </w:r>
          </w:p>
        </w:tc>
      </w:tr>
      <w:tr>
        <w:trPr>
          <w:trHeight w:val="230"/>
        </w:trPr>
        <w:tc>
          <w:tcPr>
            <w:tcW w:w="11240" w:type="dxa"/>
            <w:vAlign w:val="bottom"/>
            <w:gridSpan w:val="8"/>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44"/>
        </w:trPr>
        <w:tc>
          <w:tcPr>
            <w:tcW w:w="3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0"/>
              </w:rPr>
              <w:t>(650) 560-4753</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7620" w:type="dxa"/>
            <w:vAlign w:val="bottom"/>
            <w:gridSpan w:val="7"/>
          </w:tcPr>
          <w:p>
            <w:pPr>
              <w:jc w:val="center"/>
              <w:ind w:right="35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2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rPr>
              <w:t>N/A</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0"/>
        </w:trPr>
        <w:tc>
          <w:tcPr>
            <w:tcW w:w="11240" w:type="dxa"/>
            <w:vAlign w:val="bottom"/>
            <w:gridSpan w:val="8"/>
          </w:tcPr>
          <w:p>
            <w:pPr>
              <w:jc w:val="center"/>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337"/>
        </w:trPr>
        <w:tc>
          <w:tcPr>
            <w:tcW w:w="6980" w:type="dxa"/>
            <w:vAlign w:val="bottom"/>
            <w:gridSpan w:val="5"/>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3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1"/>
              </w:rPr>
              <w:t>Trading Symbol(s)</w:t>
            </w: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subunit and one-</w:t>
            </w:r>
          </w:p>
        </w:tc>
        <w:tc>
          <w:tcPr>
            <w:tcW w:w="2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jc w:val="center"/>
              <w:ind w:left="370"/>
              <w:spacing w:after="0" w:line="201" w:lineRule="exact"/>
              <w:rPr>
                <w:sz w:val="20"/>
                <w:szCs w:val="20"/>
                <w:color w:val="auto"/>
              </w:rPr>
            </w:pPr>
            <w:r>
              <w:rPr>
                <w:rFonts w:ascii="Arial" w:cs="Arial" w:eastAsia="Arial" w:hAnsi="Arial"/>
                <w:sz w:val="18"/>
                <w:szCs w:val="18"/>
                <w:color w:val="auto"/>
                <w:w w:val="93"/>
              </w:rPr>
              <w:t>ATSPU</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 of one warrant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Subunits included as part of the units, each</w:t>
            </w:r>
          </w:p>
        </w:tc>
        <w:tc>
          <w:tcPr>
            <w:tcW w:w="2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jc w:val="center"/>
              <w:ind w:left="370"/>
              <w:spacing w:after="0" w:line="201" w:lineRule="exact"/>
              <w:rPr>
                <w:sz w:val="20"/>
                <w:szCs w:val="20"/>
                <w:color w:val="auto"/>
              </w:rPr>
            </w:pPr>
            <w:r>
              <w:rPr>
                <w:rFonts w:ascii="Arial" w:cs="Arial" w:eastAsia="Arial" w:hAnsi="Arial"/>
                <w:sz w:val="18"/>
                <w:szCs w:val="18"/>
                <w:color w:val="auto"/>
                <w:w w:val="89"/>
              </w:rPr>
              <w:t>ATSPT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consisting of one share of common stock,</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$0.0001 par value, and one-quarter of one</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warrant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shd w:val="clear" w:color="auto" w:fill="CCECFF"/>
          </w:tcPr>
          <w:p>
            <w:pPr>
              <w:spacing w:after="0"/>
              <w:rPr>
                <w:sz w:val="18"/>
                <w:szCs w:val="18"/>
                <w:color w:val="auto"/>
              </w:rPr>
            </w:pPr>
          </w:p>
        </w:tc>
        <w:tc>
          <w:tcPr>
            <w:tcW w:w="3140" w:type="dxa"/>
            <w:vAlign w:val="bottom"/>
            <w:gridSpan w:val="3"/>
            <w:shd w:val="clear" w:color="auto" w:fill="CCECFF"/>
          </w:tcPr>
          <w:p>
            <w:pPr>
              <w:jc w:val="center"/>
              <w:ind w:left="350"/>
              <w:spacing w:after="0"/>
              <w:rPr>
                <w:sz w:val="20"/>
                <w:szCs w:val="20"/>
                <w:color w:val="auto"/>
              </w:rPr>
            </w:pPr>
            <w:r>
              <w:rPr>
                <w:rFonts w:ascii="Arial" w:cs="Arial" w:eastAsia="Arial" w:hAnsi="Arial"/>
                <w:sz w:val="18"/>
                <w:szCs w:val="18"/>
                <w:color w:val="auto"/>
                <w:w w:val="89"/>
              </w:rPr>
              <w:t>ATSP</w:t>
            </w:r>
          </w:p>
        </w:tc>
        <w:tc>
          <w:tcPr>
            <w:tcW w:w="4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Redeemable warrants</w:t>
            </w:r>
          </w:p>
        </w:tc>
        <w:tc>
          <w:tcPr>
            <w:tcW w:w="22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3"/>
              </w:rPr>
              <w:t>ATSPW</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70"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151" w:lineRule="exact"/>
        <w:rPr>
          <w:sz w:val="24"/>
          <w:szCs w:val="24"/>
          <w:color w:val="auto"/>
        </w:rPr>
      </w:pPr>
    </w:p>
    <w:p>
      <w:pPr>
        <w:sectPr>
          <w:pgSz w:w="11900" w:h="16838" w:orient="portrait"/>
          <w:cols w:equalWidth="0" w:num="2">
            <w:col w:w="4360" w:space="720"/>
            <w:col w:w="6160"/>
          </w:cols>
          <w:pgMar w:left="320" w:top="513" w:right="339" w:bottom="1440" w:gutter="0" w:footer="0" w:header="0"/>
          <w:type w:val="continuous"/>
        </w:sect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As of November 15, 2021, there were 17,461,000 shares of the Company’s common stock, including shares of common stock underlying the units and subunits,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300" w:type="dxa"/>
            <w:vAlign w:val="bottom"/>
            <w:gridSpan w:val="23"/>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rPr>
                <w:sz w:val="17"/>
                <w:szCs w:val="17"/>
                <w:color w:val="auto"/>
              </w:rPr>
            </w:pP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September 30, 2021 (unaudited) and December 31,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1040" w:type="dxa"/>
            <w:vAlign w:val="bottom"/>
            <w:shd w:val="clear" w:color="auto" w:fill="CCEEFF"/>
          </w:tcPr>
          <w:p>
            <w:pPr>
              <w:spacing w:after="0"/>
              <w:rPr>
                <w:sz w:val="15"/>
                <w:szCs w:val="15"/>
                <w:color w:val="auto"/>
              </w:rPr>
            </w:pPr>
          </w:p>
        </w:tc>
        <w:tc>
          <w:tcPr>
            <w:tcW w:w="9260" w:type="dxa"/>
            <w:vAlign w:val="bottom"/>
            <w:gridSpan w:val="22"/>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Statements of Operations for the three and nine months ended September 30, 2021 and for the period</w:t>
              </w:r>
            </w:hyperlink>
          </w:p>
        </w:tc>
        <w:tc>
          <w:tcPr>
            <w:tcW w:w="940" w:type="dxa"/>
            <w:vAlign w:val="bottom"/>
            <w:shd w:val="clear" w:color="auto" w:fill="CCEEFF"/>
          </w:tcPr>
          <w:p>
            <w:pPr>
              <w:spacing w:after="0"/>
              <w:rPr>
                <w:sz w:val="15"/>
                <w:szCs w:val="15"/>
                <w:color w:val="auto"/>
              </w:rPr>
            </w:pPr>
          </w:p>
        </w:tc>
      </w:tr>
      <w:tr>
        <w:trPr>
          <w:trHeight w:val="217"/>
        </w:trPr>
        <w:tc>
          <w:tcPr>
            <w:tcW w:w="1040" w:type="dxa"/>
            <w:vAlign w:val="bottom"/>
            <w:tcBorders>
              <w:top w:val="single" w:sz="8" w:color="CCEEFF"/>
            </w:tcBorders>
            <w:shd w:val="clear" w:color="auto" w:fill="CCEEFF"/>
          </w:tcPr>
          <w:p>
            <w:pPr>
              <w:spacing w:after="0"/>
              <w:rPr>
                <w:sz w:val="18"/>
                <w:szCs w:val="18"/>
                <w:color w:val="auto"/>
              </w:rPr>
            </w:pPr>
          </w:p>
        </w:tc>
        <w:tc>
          <w:tcPr>
            <w:tcW w:w="890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from September 15, 2020 (inception) through September 30, 2020</w:t>
              </w:r>
            </w:hyperlink>
          </w:p>
        </w:tc>
        <w:tc>
          <w:tcPr>
            <w:tcW w:w="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104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Changes in Stockholders’ Equity for the three and nine months ended September 30,</w:t>
              </w:r>
            </w:hyperlink>
          </w:p>
        </w:tc>
        <w:tc>
          <w:tcPr>
            <w:tcW w:w="50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6"/>
        </w:trPr>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00" w:type="dxa"/>
            <w:vAlign w:val="bottom"/>
            <w:gridSpan w:val="20"/>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for the period from September 15, 2020 (inception) through September 30, 2020</w:t>
              </w:r>
            </w:hyperlink>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spacing w:after="0"/>
              <w:rPr>
                <w:sz w:val="15"/>
                <w:szCs w:val="15"/>
                <w:color w:val="auto"/>
              </w:rPr>
            </w:pPr>
          </w:p>
        </w:tc>
        <w:tc>
          <w:tcPr>
            <w:tcW w:w="85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 of Cash Flows for the nine months ended September 30, 2021 and for the period from</w:t>
              </w:r>
            </w:hyperlink>
          </w:p>
        </w:tc>
        <w:tc>
          <w:tcPr>
            <w:tcW w:w="680" w:type="dxa"/>
            <w:vAlign w:val="bottom"/>
            <w:tcBorders>
              <w:bottom w:val="single" w:sz="8" w:color="CCEEFF"/>
            </w:tcBorders>
            <w:gridSpan w:val="3"/>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7"/>
        </w:trPr>
        <w:tc>
          <w:tcPr>
            <w:tcW w:w="1040" w:type="dxa"/>
            <w:vAlign w:val="bottom"/>
            <w:shd w:val="clear" w:color="auto" w:fill="CCEEFF"/>
          </w:tcPr>
          <w:p>
            <w:pPr>
              <w:spacing w:after="0"/>
              <w:rPr>
                <w:sz w:val="18"/>
                <w:szCs w:val="18"/>
                <w:color w:val="auto"/>
              </w:rPr>
            </w:pPr>
          </w:p>
        </w:tc>
        <w:tc>
          <w:tcPr>
            <w:tcW w:w="9260" w:type="dxa"/>
            <w:vAlign w:val="bottom"/>
            <w:gridSpan w:val="2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15, 2020 (inception) through September 30, 2020</w:t>
              </w:r>
            </w:hyperlink>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rPr>
                <w:sz w:val="17"/>
                <w:szCs w:val="17"/>
                <w:color w:val="auto"/>
              </w:rPr>
            </w:pP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2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2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8660" w:type="dxa"/>
            <w:vAlign w:val="bottom"/>
            <w:tcBorders>
              <w:bottom w:val="single" w:sz="8" w:color="CCEEFF"/>
            </w:tcBorders>
            <w:gridSpan w:val="19"/>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1030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0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ARCHIMEDES TECH SPAC PARTNERS CO.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628,652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134,478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133,007,230</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133,770,360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161,359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Common stock subject to possible redemption, 13,300,000 shares and 0 shares at redemption value as of September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30, 2021 and December 31, 2020, respectively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133,007,230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Common stock, $0.0001 par value; 100,000,000 shares authorized; 4,161,000 shares and 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outstanding (excluding 13,300,000 shares and 0 shares subject to possible redemption) as of September 30, 2021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December 31, 2020,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821,700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(346,364)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133,770,360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jc w:val="center"/>
              <w:ind w:left="2370"/>
              <w:spacing w:after="0"/>
              <w:rPr>
                <w:sz w:val="20"/>
                <w:szCs w:val="20"/>
                <w:color w:val="auto"/>
              </w:rPr>
            </w:pPr>
            <w:r>
              <w:rPr>
                <w:rFonts w:ascii="Arial" w:cs="Arial" w:eastAsia="Arial" w:hAnsi="Arial"/>
                <w:sz w:val="18"/>
                <w:szCs w:val="18"/>
                <w:color w:val="auto"/>
                <w:w w:val="89"/>
              </w:rPr>
              <w:t>The accompanying notes are an integral part of these condensed financial statements.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tcPr>
          <w:p>
            <w:pPr>
              <w:jc w:val="center"/>
              <w:ind w:left="24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1"/>
              </w:rPr>
              <w:t>For the</w:t>
            </w:r>
          </w:p>
        </w:tc>
        <w:tc>
          <w:tcPr>
            <w:tcW w:w="180" w:type="dxa"/>
            <w:vAlign w:val="bottom"/>
          </w:tcPr>
          <w:p>
            <w:pPr>
              <w:spacing w:after="0"/>
              <w:rPr>
                <w:sz w:val="18"/>
                <w:szCs w:val="18"/>
                <w:color w:val="auto"/>
              </w:rPr>
            </w:pPr>
          </w:p>
        </w:tc>
        <w:tc>
          <w:tcPr>
            <w:tcW w:w="11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15,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2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02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229,484</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(229,484)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(461,826)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3,352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Unrealized gain on change in fair value of warrants</w:t>
            </w:r>
          </w:p>
        </w:tc>
        <w:tc>
          <w:tcPr>
            <w:tcW w:w="200" w:type="dxa"/>
            <w:vAlign w:val="bottom"/>
          </w:tcPr>
          <w:p>
            <w:pPr>
              <w:spacing w:after="0"/>
              <w:rPr>
                <w:sz w:val="20"/>
                <w:szCs w:val="20"/>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35,057</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108,948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1"/>
              <w:spacing w:after="0" w:line="256" w:lineRule="exact"/>
              <w:rPr>
                <w:sz w:val="20"/>
                <w:szCs w:val="20"/>
                <w:color w:val="auto"/>
              </w:rPr>
            </w:pPr>
            <w:r>
              <w:rPr>
                <w:rFonts w:ascii="Arial" w:cs="Arial" w:eastAsia="Arial" w:hAnsi="Arial"/>
                <w:sz w:val="16"/>
                <w:szCs w:val="16"/>
                <w:color w:val="auto"/>
              </w:rPr>
              <w:t>(191,075</w:t>
            </w:r>
            <w:r>
              <w:rPr>
                <w:rFonts w:ascii="Arial" w:cs="Arial" w:eastAsia="Arial" w:hAnsi="Arial"/>
                <w:sz w:val="29"/>
                <w:szCs w:val="29"/>
                <w:color w:val="auto"/>
                <w:vertAlign w:val="superscript"/>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(345,648</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(716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 common stock subject to redemption</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13,300,000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9,675,824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Basic and diluted net (loss) income per share attributable to common stock subject to redemption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4,161,000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3,891,044</w:t>
            </w:r>
          </w:p>
        </w:tc>
        <w:tc>
          <w:tcPr>
            <w:tcW w:w="1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attributable to common stockholders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Sale of 12,000,000 Units through IPO</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12,000,000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w w:val="95"/>
              </w:rPr>
              <w:t>119,998,800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w w:val="97"/>
              </w:rPr>
              <w:t>120,000,000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 of 1,300,000 Units through over-allotment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12,999,870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 of 416,000 Private Units in private placement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416,000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4,159,958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to initial stockholders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3,450,000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24,655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fee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(2,660,000)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(2,660,000)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(428,847)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(428,847)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(270,307)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2,886,166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2,886,166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(154,573)</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(154,573)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(124,412,583)</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(124,413,913)</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(11,472,253)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(11,472,253)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(interest earned on trust account)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(3,878)</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4,161,000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825,052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(155,289)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670,179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(191,075)</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(191,075)</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(interest earned on trust account)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4,161,000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821,700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b w:val="1"/>
                <w:bCs w:val="1"/>
                <w:color w:val="auto"/>
              </w:rPr>
              <w:t>(346,364</w:t>
            </w:r>
            <w:r>
              <w:rPr>
                <w:rFonts w:ascii="Arial" w:cs="Arial" w:eastAsia="Arial" w:hAnsi="Arial"/>
                <w:sz w:val="29"/>
                <w:szCs w:val="29"/>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475,752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15, 2020 (inception)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b w:val="1"/>
                <w:bCs w:val="1"/>
                <w:color w:val="auto"/>
              </w:rPr>
              <w:t>(716</w:t>
            </w:r>
            <w:r>
              <w:rPr>
                <w:rFonts w:ascii="Arial" w:cs="Arial" w:eastAsia="Arial" w:hAnsi="Arial"/>
                <w:sz w:val="29"/>
                <w:szCs w:val="29"/>
                <w:b w:val="1"/>
                <w:bCs w:val="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3"/>
          </w:tcPr>
          <w:p>
            <w:pPr>
              <w:jc w:val="right"/>
              <w:ind w:right="40"/>
              <w:spacing w:after="0" w:line="256" w:lineRule="exact"/>
              <w:rPr>
                <w:sz w:val="20"/>
                <w:szCs w:val="20"/>
                <w:color w:val="auto"/>
              </w:rPr>
            </w:pPr>
            <w:r>
              <w:rPr>
                <w:rFonts w:ascii="Arial" w:cs="Arial" w:eastAsia="Arial" w:hAnsi="Arial"/>
                <w:sz w:val="16"/>
                <w:szCs w:val="16"/>
                <w:b w:val="1"/>
                <w:bCs w:val="1"/>
                <w:color w:val="auto"/>
              </w:rPr>
              <w:t>(716</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(345,648)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change in fair value of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(108,948)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(134,478)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126,019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Investment held in Trust Account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(133,000,000)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(133,000,000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IPO and over-allotment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133,000,000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(2,660,000)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4,160,000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 to promissory note to related party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initial stockholders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(425,347)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134,099,653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628,652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Cash, beginning of the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628,652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124,413,913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Reclassification of offering costs related to Public Shares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(2,886,166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11,472,253</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Subsequent measurement of common stock subject to redemption (interest earned on trust account)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Forfeiture of founder shares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Initial classification of warrant liability</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the Company had not commenced any revenue-generating operations. All activity for the period from September 15, 2020 (inception) through September 30,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“initial stockholders” refer to the Company’s stockholders prior to the IPO, excluding the holders of the Representative Shares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$2,825,347 consisting of $2,400,000 of underwriting discount and $425,347 of other offering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(the “Over-allotment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 Company had cash outside the Trust Account of $628,652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September 30, 2021, none of the amount on deposit in the Trust Account was available to be withdrawn as described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anticipates that the $628,652 outside of the Trust account as of September 30,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Revision of Prior Period Financial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recent guidance to Special Purpose Acquisition Companies by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and Form 10-Q filing on July 27, 2021 containing financial statements as of March 31, 2021.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not material to any prior 8-K and 10-Q reports, but that correcting the cumulative impact of such errors would be significant to our financial statements for the three months and nine months ended September 30, 2021. Accordingly, the Company has corrected such immaterial errors by adjusting its prior financial statements and classified all Public Subunits as temporary equity. The Company will also correct previously reported financial information for such immaterial errors in future filings, as applicable. The following summarizes the effect of the revision on each financial statement line item.</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Impact of the Revision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revision on the audited balance sheet as of March 15, 2021 and unaudited interim condensed financial statements as of and for the three months ended March 31, 2021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As Previously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As Revised</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at March 15, 2021</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116,095,120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3,904,880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120,000,000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5,004,068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(4,158,254)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845,814</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March 31,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128,744,590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4,255,935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133,000,525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5,084,297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(4,255,892)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828,405</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March 31,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 common stock subject to redemption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2,059,408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2,306,667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3,856,614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(514,481)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3,342,133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Cash Flows for the three months ended March 31,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115,841,700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8,572,213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124,413,913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12,902,890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(12,902,365)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(2,886,166)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(2,886,166)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11,472,253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11,472,253</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1"/>
              </w:rPr>
              <w:t>Subsequent measurement of common stock subject to redemption (interest earned on trust account)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three and nine months ended September 30, 2021 are not necessarily indicative of the results that may be expected through December 31, 2021.</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Form 8-K and the final prospectus filed by the Company with the SEC on March 19, 2021 and March 12, 2021, respectively.</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unaudited condensed financial statement in conformity with US GAAP requires management to make estimates and assumptions that affect the reported amounts of assets and liabilities and disclosure of contingent assets and liabilities at the date of the unaudited condensed financial statement.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has $628,652 of cash held outside of the Trust Account as of September 30, 2021 and no cash held outside of the Trust Account as of December 31, 2020. The Company did not have any cash equivalents as of September 30, 2021 and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2021, the Company had $133,007,230 in the Trust Account which may be utilized for Business Combination. As of September 30, 2021, the assets held in the Trust Account were invested in Treasury Securities consisting of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5560" w:right="2260" w:hanging="5228"/>
        <w:spacing w:after="0" w:line="6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September 30, 2021 due to the short maturities of such instruments.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warrant liability is based on a valuation model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is classified as Level 3. See Note 7 for additional information on assets and liabilities measured at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September 30, 2021 and December 31, 2020,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 for the Public Shares and 24% for the founder non-redeemable shares for the three months ended September 30, 2021, and a ratio of 71% for the Public Shares and 29% for the founder non-redeemable shares for the nine months ended September 30, 2021, reflective of the respective participation rights.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earnings per share presented in the condensed statements of operations is based on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three</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For the nine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7"/>
              </w:rPr>
              <w:t>months ended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months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(345,648)</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Accretion of temporary equity to redemption value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(3,352)</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5"/>
              </w:rPr>
              <w:t>(11,479,483)</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including accretion of temporary equity to redemption value</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(11,825,131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9" w:lineRule="exact"/>
        <w:rPr>
          <w:sz w:val="20"/>
          <w:szCs w:val="20"/>
          <w:color w:val="auto"/>
        </w:rPr>
      </w:pPr>
    </w:p>
    <w:p>
      <w:pPr>
        <w:ind w:left="180" w:right="635"/>
        <w:spacing w:after="0" w:line="272" w:lineRule="auto"/>
        <w:rPr>
          <w:sz w:val="20"/>
          <w:szCs w:val="20"/>
          <w:color w:val="auto"/>
        </w:rPr>
      </w:pPr>
      <w:r>
        <w:rPr>
          <w:rFonts w:ascii="Arial" w:cs="Arial" w:eastAsia="Arial" w:hAnsi="Arial"/>
          <w:sz w:val="17"/>
          <w:szCs w:val="17"/>
          <w:color w:val="auto"/>
        </w:rPr>
        <w:t>Allocation of net loss including accretion of temporary equity Accretion of temporary equity to redemption value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Allocation of net income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Weighted-average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29"/>
        </w:trPr>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For the three months ended</w:t>
            </w: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41"/>
        </w:trPr>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 2021</w:t>
            </w: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2021</w:t>
            </w:r>
          </w:p>
        </w:tc>
      </w:tr>
      <w:tr>
        <w:trPr>
          <w:trHeight w:val="198"/>
        </w:trPr>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Non-</w:t>
            </w:r>
          </w:p>
        </w:tc>
      </w:tr>
      <w:tr>
        <w:trPr>
          <w:trHeight w:val="241"/>
        </w:trPr>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Redeemable</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redeemable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Redeemable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redeemable</w:t>
            </w:r>
          </w:p>
        </w:tc>
      </w:tr>
    </w:tbl>
    <w:p>
      <w:pPr>
        <w:spacing w:after="0" w:line="200" w:lineRule="exact"/>
        <w:rPr>
          <w:sz w:val="20"/>
          <w:szCs w:val="20"/>
          <w:color w:val="auto"/>
        </w:rPr>
      </w:pPr>
    </w:p>
    <w:p>
      <w:pPr>
        <w:spacing w:after="0" w:line="218" w:lineRule="exact"/>
        <w:rPr>
          <w:sz w:val="20"/>
          <w:szCs w:val="20"/>
          <w:color w:val="auto"/>
        </w:rPr>
      </w:pPr>
    </w:p>
    <w:p>
      <w:pPr>
        <w:ind w:left="485" w:hanging="485"/>
        <w:spacing w:after="0"/>
        <w:tabs>
          <w:tab w:leader="none" w:pos="485" w:val="left"/>
        </w:tabs>
        <w:numPr>
          <w:ilvl w:val="0"/>
          <w:numId w:val="4"/>
        </w:numPr>
        <w:rPr>
          <w:rFonts w:ascii="Arial" w:cs="Arial" w:eastAsia="Arial" w:hAnsi="Arial"/>
          <w:sz w:val="18"/>
          <w:szCs w:val="18"/>
          <w:color w:val="auto"/>
        </w:rPr>
      </w:pPr>
      <w:r>
        <w:rPr>
          <w:rFonts w:ascii="Arial" w:cs="Arial" w:eastAsia="Arial" w:hAnsi="Arial"/>
          <w:sz w:val="18"/>
          <w:szCs w:val="18"/>
          <w:color w:val="auto"/>
        </w:rPr>
        <w:t>(148,095)  $(46,332)  $   (8,433,626)  $   (3,391,505)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tbl>
      <w:tblPr>
        <w:tblLayout w:type="fixed"/>
        <w:tblInd w:w="5"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3,352</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11,479,483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(144,743</w:t>
            </w:r>
          </w:p>
        </w:tc>
        <w:tc>
          <w:tcPr>
            <w:tcW w:w="26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(46,332</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3,045,857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(3,391,505</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4"/>
        </w:trPr>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13,300,000</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4,161,000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9,675,824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3,891,044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-753745</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-410845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-136525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55" w:space="720"/>
            <w:col w:w="5265"/>
          </w:cols>
          <w:pgMar w:left="320" w:top="773" w:right="339" w:bottom="1440" w:gutter="0" w:footer="0" w:header="0"/>
          <w:type w:val="continuous"/>
        </w:sectPr>
      </w:pPr>
    </w:p>
    <w:p>
      <w:pPr>
        <w:spacing w:after="0" w:line="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$2,825,347 have been charged to stockholders’ equity (consisting of $2,400,000 of underwriting discount and $425,347 of other offering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2021,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were deemed to be de minimis as of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condensed financial statements. The condensed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Entity’s Own Equity (Subtopic 815-40): Accounting for Convertible Instruments and Contracts in an Entity’s Own Equity </w:t>
      </w:r>
      <w:r>
        <w:rPr>
          <w:rFonts w:ascii="Arial" w:cs="Arial" w:eastAsia="Arial" w:hAnsi="Arial"/>
          <w:sz w:val="18"/>
          <w:szCs w:val="18"/>
          <w:color w:val="auto"/>
        </w:rPr>
        <w:t>(“ASU 2020-06”),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 as of September 30, 2021.</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IPO (the “Promissory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loans were non-interest bearing, unsecured and were due at the earlier of March 31, 2021 or the closing of the IPO.</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September 30, 2021, no such Working Capital Loans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As of September 30, 2021, the Company has recorded $30,000 and 67,097, respectively, for the three months ended September 30, 2021 and for the period from March 10, 2021 through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Recurring Fair Value Measurements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September 30, 2021 and indicates the fair value hierarchy of the valuation techniques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Prices In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59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Mutual Fund held in Trust Account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133,007,230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133,007,230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59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133,007,230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133,007,230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161,359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161,359</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161,359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161,359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estimated fair value of the warrant liability on March 15, 2021 and September 30,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March 15,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15,</w:t>
            </w:r>
          </w:p>
        </w:tc>
      </w:tr>
      <w:tr>
        <w:trPr>
          <w:trHeight w:val="241"/>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w:t>
            </w:r>
          </w:p>
        </w:tc>
        <w:tc>
          <w:tcPr>
            <w:tcW w:w="6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 price</w:t>
            </w:r>
          </w:p>
        </w:tc>
        <w:tc>
          <w:tcPr>
            <w:tcW w:w="6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Exercise price</w:t>
            </w:r>
          </w:p>
        </w:tc>
        <w:tc>
          <w:tcPr>
            <w:tcW w:w="6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533"/>
        </w:trPr>
        <w:tc>
          <w:tcPr>
            <w:tcW w:w="35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jc w:val="right"/>
              <w:ind w:right="40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September 30, 2021: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Input</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the changes in the fair value of the warrant liability for the nine months ended September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Initial fair value of warrant liability upon issuance at IPO</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(108,948)</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September 30,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161,359</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 Commitments and Contingencies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Registration Rights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Legal Services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September 30, 2021, the Company had paid a total of $50,000 of retainer fees to Loeb.</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 </w:t>
      </w:r>
      <w:r>
        <w:rPr>
          <w:rFonts w:ascii="Arial" w:cs="Arial" w:eastAsia="Arial" w:hAnsi="Arial"/>
          <w:sz w:val="18"/>
          <w:szCs w:val="18"/>
          <w:color w:val="auto"/>
        </w:rPr>
        <w:t>The Company is authorized to issue 1,000,000 shares of preferred stock at par value of $0.0001 per share. As of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shares of preferred stock issued or outstanding.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Common Stock — </w:t>
      </w:r>
      <w:r>
        <w:rPr>
          <w:rFonts w:ascii="Arial" w:cs="Arial" w:eastAsia="Arial" w:hAnsi="Arial"/>
          <w:sz w:val="16"/>
          <w:szCs w:val="16"/>
          <w:color w:val="auto"/>
        </w:rPr>
        <w:t>The Company is authorized to issue 100,000,000 shares of common stock with a par value of $0.0001 per share. At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there were 4,161,000 shares of common stock issued and outstanding, excluding 13,300,000 shares of common stock subject to possible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was issued. The Company did not identify any subsequent events that would have required adjustment or disclosure in the unaudited condensed financial statements.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to the “Company,” “Archimedes Tech SPAC Partners Co.” “our,” “us” or “we” refer to Archimedes Tech SPAC Partners Co.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activity through September 30, 2021 relates to our formation, IPO, which was consummated on March 15, 2021, and search for a prospective initial business combination target.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have not commenced any operations. All activity for the period from September 15, 2020 (inception) through September 30,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September 30, 2021, we had a net loss of $191,075, which was comprised of operating costs of $229,484, interest income of $3,352 from marketable securities held in our Trust Account, and unrealized gain on change in fair value of warrants of $35,057.</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September 30, 2021, we had a net loss of $345,648, which was comprised of operating costs of $461,826, interest income of $7,230 from marketable securities held in our Trust Account, and unrealized gain on change in fair value of warrants of $108,948.</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September 15, 2020 (inception) through September 30, 2020, we had a net loss of $716, which was comprised of operating costs of $716.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both"/>
        <w:spacing w:after="0" w:line="311" w:lineRule="auto"/>
        <w:rPr>
          <w:sz w:val="20"/>
          <w:szCs w:val="20"/>
          <w:color w:val="auto"/>
        </w:rPr>
      </w:pPr>
      <w:r>
        <w:rPr>
          <w:rFonts w:ascii="Arial" w:cs="Arial" w:eastAsia="Arial" w:hAnsi="Arial"/>
          <w:sz w:val="16"/>
          <w:szCs w:val="16"/>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$628,652 of cash held outside of the Trust Account for our working capital needs.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anticipate that the $628,652 outside of the Trust account as of September 30, 2021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loss per common share is computed by dividing net loss by the weighted average number of common stock outstanding for each of the periods. The calculation of diluted loss per common share does not consider the effect of the warrants issued in connection with the (i) IPO, (ii) exercise of overallotment and (iii) Private Placement since the exercise price of the warrants is higher than the market price. The warrants are exercisable to purchase 6,858,000 shares of common stock in the aggregate.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we were not subject to any market or interest rate risk. The net proceeds held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during the period covered by this report, our disclosure controls and procedures were effective and, accordingly, provided reasonable assurance that the information required to be disclosed by us in reports filed under the Exchange Act is recorded, processed, summarized and reported within the time periods specified in the SEC’s rules and forms.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most recently completed fiscal quarter ended September 30, 2021, we have enhanced our internal controls over financial reporting relating to redeemable equity instruments by continuing to recognize all Public Shares as temporary equity. We believe our efforts are effective in identifying and appropriately applying applicable accounting requirements but we believe we will need additional time to monitor and assess our efforts to evaluate their ultimate effectiveness. There have been no changes in our internal controls over financial reporting, except as previously noted, that has materially affected, or is reasonably likely to affect, our internal control over financial reporting.</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 required for smaller reporting companies. However, as of the date of this Quarterly Report, other than as described below, there have been no material changes to the risk factors disclosed in our final prospectus for our IPO filed with the SEC on March 12, 2021. Factors that could cause our actual results to differ materially from those in this Quarterly Report are any of the risks described in our final prospectus for our IPO filed with the SEC on March 12, 2021.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sales of equity securities during the period covered by this Quarterly Report that were not registered under the Securities Act and were not previously reported in a Quarterly Report on Form 10-Q or a Current Report on Form 8-K filed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right="9820" w:firstLine="8"/>
        <w:spacing w:after="0" w:line="342"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3040"/>
              <w:spacing w:after="0"/>
              <w:rPr>
                <w:sz w:val="20"/>
                <w:szCs w:val="20"/>
                <w:color w:val="auto"/>
              </w:rPr>
            </w:pPr>
            <w:r>
              <w:rPr>
                <w:rFonts w:ascii="Arial" w:cs="Arial" w:eastAsia="Arial" w:hAnsi="Arial"/>
                <w:sz w:val="18"/>
                <w:szCs w:val="18"/>
                <w:b w:val="1"/>
                <w:bCs w:val="1"/>
                <w:color w:val="auto"/>
              </w:rPr>
              <w:t>ARCHIMEDES TECH SPAC PARTNERS CO.</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3620" w:type="dxa"/>
            <w:vAlign w:val="bottom"/>
          </w:tcPr>
          <w:p>
            <w:pPr>
              <w:ind w:left="30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3700" w:type="dxa"/>
            <w:vAlign w:val="bottom"/>
          </w:tcPr>
          <w:p>
            <w:pPr>
              <w:spacing w:after="0"/>
              <w:rPr>
                <w:sz w:val="17"/>
                <w:szCs w:val="17"/>
                <w:color w:val="auto"/>
              </w:rPr>
            </w:pPr>
          </w:p>
        </w:tc>
        <w:tc>
          <w:tcPr>
            <w:tcW w:w="3620" w:type="dxa"/>
            <w:vAlign w:val="bottom"/>
          </w:tcPr>
          <w:p>
            <w:pPr>
              <w:ind w:left="30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16"/>
        </w:trPr>
        <w:tc>
          <w:tcPr>
            <w:tcW w:w="3700" w:type="dxa"/>
            <w:vAlign w:val="bottom"/>
          </w:tcPr>
          <w:p>
            <w:pPr>
              <w:spacing w:after="0"/>
              <w:rPr>
                <w:sz w:val="18"/>
                <w:szCs w:val="18"/>
                <w:color w:val="auto"/>
              </w:rPr>
            </w:pPr>
          </w:p>
        </w:tc>
        <w:tc>
          <w:tcPr>
            <w:tcW w:w="3620" w:type="dxa"/>
            <w:vAlign w:val="bottom"/>
          </w:tcPr>
          <w:p>
            <w:pPr>
              <w:ind w:left="30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3620" w:type="dxa"/>
            <w:vAlign w:val="bottom"/>
          </w:tcPr>
          <w:p>
            <w:pPr>
              <w:ind w:left="30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Long Long</w:t>
            </w:r>
          </w:p>
        </w:tc>
      </w:tr>
      <w:tr>
        <w:trPr>
          <w:trHeight w:val="202"/>
        </w:trPr>
        <w:tc>
          <w:tcPr>
            <w:tcW w:w="3700" w:type="dxa"/>
            <w:vAlign w:val="bottom"/>
          </w:tcPr>
          <w:p>
            <w:pPr>
              <w:spacing w:after="0"/>
              <w:rPr>
                <w:sz w:val="17"/>
                <w:szCs w:val="17"/>
                <w:color w:val="auto"/>
              </w:rPr>
            </w:pPr>
          </w:p>
        </w:tc>
        <w:tc>
          <w:tcPr>
            <w:tcW w:w="3620" w:type="dxa"/>
            <w:vAlign w:val="bottom"/>
          </w:tcPr>
          <w:p>
            <w:pPr>
              <w:ind w:left="30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Long Long</w:t>
            </w:r>
          </w:p>
        </w:tc>
      </w:tr>
      <w:tr>
        <w:trPr>
          <w:trHeight w:val="216"/>
        </w:trPr>
        <w:tc>
          <w:tcPr>
            <w:tcW w:w="3700" w:type="dxa"/>
            <w:vAlign w:val="bottom"/>
          </w:tcPr>
          <w:p>
            <w:pPr>
              <w:spacing w:after="0"/>
              <w:rPr>
                <w:sz w:val="18"/>
                <w:szCs w:val="18"/>
                <w:color w:val="auto"/>
              </w:rPr>
            </w:pPr>
          </w:p>
        </w:tc>
        <w:tc>
          <w:tcPr>
            <w:tcW w:w="3620" w:type="dxa"/>
            <w:vAlign w:val="bottom"/>
          </w:tcPr>
          <w:p>
            <w:pPr>
              <w:ind w:left="30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55"/>
        </w:trPr>
        <w:tc>
          <w:tcPr>
            <w:tcW w:w="3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22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4" w:name="page25"/>
    <w:bookmarkEnd w:id="24"/>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N. Cannon,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Archimedes Tech SPAC Partners Co.;</w:t>
      </w:r>
    </w:p>
    <w:p>
      <w:pPr>
        <w:spacing w:after="0" w:line="225" w:lineRule="exact"/>
        <w:rPr>
          <w:sz w:val="20"/>
          <w:szCs w:val="20"/>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Long Long,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Archimedes Tech SPAC Partners Co.;</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Long Long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Archimedes Tech SPAC Partners Co. (the “Company”) on Form 10-Q for the quarterly period ended September 30, 2021, as filed with the Securities and Exchange Commission (the “Report”), I, Stephen N. Cannon, Chief Executive Officer of the Company, certify, pursuant to 18 U.S.C. §1350, as adopted pursuant to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140" w:firstLine="332"/>
        <w:spacing w:after="0" w:line="500"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15,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Archimedes Tech SPAC Partners Co. (the “Company”) on Form 10-Q for the quarterly period ended September 30, 2021, as filed with the Securities and Exchange Commission (the “Report”), I, Long Long, Chief Financial Officer of the Company, certify, pursuant to 18 U.S.C. §1350, as adopted pursuant to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140" w:firstLine="332"/>
        <w:spacing w:after="0" w:line="500"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15,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Long Long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4"/>
      <w:numFmt w:val="bullet"/>
      <w:start w:val="1"/>
    </w:lvl>
    <w:lvl w:ilvl="1">
      <w:lvlJc w:val="left"/>
      <w:lvlText w:val="%2)"/>
      <w:numFmt w:val="lowerLetter"/>
      <w:start w:val="1"/>
    </w:lvl>
  </w:abstractNum>
  <w:abstractNum w:abstractNumId="10">
    <w:nsid w:val="41A7C4C9"/>
    <w:multiLevelType w:val="hybridMultilevel"/>
    <w:lvl w:ilvl="0">
      <w:lvlJc w:val="left"/>
      <w:lvlText w:val="5"/>
      <w:numFmt w:val="bullet"/>
      <w:start w:val="1"/>
    </w:lvl>
    <w:lvl w:ilvl="1">
      <w:lvlJc w:val="left"/>
      <w:lvlText w:val="%2)"/>
      <w:numFmt w:val="lowerLetter"/>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4"/>
      <w:numFmt w:val="bullet"/>
      <w:start w:val="1"/>
    </w:lvl>
    <w:lvl w:ilvl="1">
      <w:lvlJc w:val="left"/>
      <w:lvlText w:val="%2)"/>
      <w:numFmt w:val="lowerLetter"/>
      <w:start w:val="1"/>
    </w:lvl>
  </w:abstractNum>
  <w:abstractNum w:abstractNumId="15">
    <w:nsid w:val="431BD7B7"/>
    <w:multiLevelType w:val="hybridMultilevel"/>
    <w:lvl w:ilvl="0">
      <w:lvlJc w:val="left"/>
      <w:lvlText w:val="5"/>
      <w:numFmt w:val="bullet"/>
      <w:start w:val="1"/>
    </w:lvl>
    <w:lvl w:ilvl="1">
      <w:lvlJc w:val="left"/>
      <w:lvlText w:val="%2)"/>
      <w:numFmt w:val="lowerLetter"/>
      <w:start w:val="1"/>
    </w:lvl>
  </w:abstractNum>
  <w:abstractNum w:abstractNumId="16">
    <w:nsid w:val="3F2DBA31"/>
    <w:multiLevelType w:val="hybridMultilevel"/>
    <w:lvl w:ilvl="0">
      <w:lvlJc w:val="left"/>
      <w:lvlText w:val="1"/>
      <w:numFmt w:val="bullet"/>
      <w:start w:val="1"/>
    </w:lvl>
  </w:abstractNum>
  <w:abstractNum w:abstractNumId="17">
    <w:nsid w:val="7C83E458"/>
    <w:multiLevelType w:val="hybridMultilevel"/>
    <w:lvl w:ilvl="0">
      <w:lvlJc w:val="left"/>
      <w:lvlText w:val="2"/>
      <w:numFmt w:val="bullet"/>
      <w:start w:val="1"/>
    </w:lvl>
  </w:abstractNum>
  <w:abstractNum w:abstractNumId="18">
    <w:nsid w:val="257130A3"/>
    <w:multiLevelType w:val="hybridMultilevel"/>
    <w:lvl w:ilvl="0">
      <w:lvlJc w:val="left"/>
      <w:lvlText w:val="1"/>
      <w:numFmt w:val="bullet"/>
      <w:start w:val="1"/>
    </w:lvl>
  </w:abstractNum>
  <w:abstractNum w:abstractNumId="19">
    <w:nsid w:val="62BBD9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2021-11-15T16:23:02Z</dcterms:created>
  <dcterms:modified xsi:type="dcterms:W3CDTF">2021-11-15T16:23:02Z</dcterms:modified>
</cp:coreProperties>
</file>