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12b-25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NOTIFICATION OF LATE FILING</w:t>
      </w:r>
    </w:p>
    <w:p>
      <w:pPr>
        <w:spacing w:after="0" w:line="188" w:lineRule="exact"/>
        <w:rPr>
          <w:sz w:val="24"/>
          <w:szCs w:val="24"/>
          <w:color w:val="auto"/>
        </w:rPr>
      </w:pPr>
    </w:p>
    <w:p>
      <w:pPr>
        <w:ind w:left="1120"/>
        <w:spacing w:after="0" w:line="207" w:lineRule="exact"/>
        <w:rPr>
          <w:sz w:val="20"/>
          <w:szCs w:val="20"/>
          <w:color w:val="auto"/>
        </w:rPr>
      </w:pPr>
      <w:r>
        <w:rPr>
          <w:rFonts w:ascii="Times New Roman" w:cs="Times New Roman" w:eastAsia="Times New Roman" w:hAnsi="Times New Roman"/>
          <w:sz w:val="18"/>
          <w:szCs w:val="18"/>
          <w:color w:val="auto"/>
        </w:rPr>
        <w:t xml:space="preserve">(Check One):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10-K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11-K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10-Q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10-D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N-SAR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N-CSR</w:t>
      </w:r>
    </w:p>
    <w:p>
      <w:pPr>
        <w:spacing w:after="0" w:line="266"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Period Ended: December 31, 2024</w:t>
      </w:r>
    </w:p>
    <w:p>
      <w:pPr>
        <w:spacing w:after="0" w:line="225" w:lineRule="exact"/>
        <w:rPr>
          <w:sz w:val="24"/>
          <w:szCs w:val="24"/>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10-K</w:t>
      </w:r>
    </w:p>
    <w:p>
      <w:pPr>
        <w:spacing w:after="0" w:line="29" w:lineRule="exact"/>
        <w:rPr>
          <w:rFonts w:ascii="MS PGothic" w:cs="MS PGothic" w:eastAsia="MS PGothic" w:hAnsi="MS PGothic"/>
          <w:sz w:val="18"/>
          <w:szCs w:val="18"/>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20-F</w:t>
      </w:r>
    </w:p>
    <w:p>
      <w:pPr>
        <w:spacing w:after="0" w:line="9" w:lineRule="exact"/>
        <w:rPr>
          <w:rFonts w:ascii="MS PGothic" w:cs="MS PGothic" w:eastAsia="MS PGothic" w:hAnsi="MS PGothic"/>
          <w:sz w:val="18"/>
          <w:szCs w:val="18"/>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11-K</w:t>
      </w:r>
    </w:p>
    <w:p>
      <w:pPr>
        <w:spacing w:after="0" w:line="9" w:lineRule="exact"/>
        <w:rPr>
          <w:rFonts w:ascii="MS PGothic" w:cs="MS PGothic" w:eastAsia="MS PGothic" w:hAnsi="MS PGothic"/>
          <w:sz w:val="18"/>
          <w:szCs w:val="18"/>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10-K</w:t>
      </w:r>
    </w:p>
    <w:p>
      <w:pPr>
        <w:spacing w:after="0" w:line="9" w:lineRule="exact"/>
        <w:rPr>
          <w:rFonts w:ascii="MS PGothic" w:cs="MS PGothic" w:eastAsia="MS PGothic" w:hAnsi="MS PGothic"/>
          <w:sz w:val="18"/>
          <w:szCs w:val="18"/>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N-SAR</w:t>
      </w:r>
    </w:p>
    <w:p>
      <w:pPr>
        <w:spacing w:after="0" w:line="205"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Transition Period Ended: _____________________________________</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Read Instructions (on back page) Before Preparing Form. Please Print or Type.</w:t>
      </w:r>
    </w:p>
    <w:p>
      <w:pPr>
        <w:spacing w:after="0" w:line="225" w:lineRule="exact"/>
        <w:rPr>
          <w:sz w:val="24"/>
          <w:szCs w:val="24"/>
          <w:color w:val="auto"/>
        </w:rPr>
      </w:pPr>
    </w:p>
    <w:p>
      <w:pPr>
        <w:jc w:val="center"/>
        <w:ind w:left="380"/>
        <w:spacing w:after="0" w:line="282" w:lineRule="auto"/>
        <w:rPr>
          <w:sz w:val="20"/>
          <w:szCs w:val="20"/>
          <w:color w:val="auto"/>
        </w:rPr>
      </w:pPr>
      <w:r>
        <w:rPr>
          <w:rFonts w:ascii="Times New Roman" w:cs="Times New Roman" w:eastAsia="Times New Roman" w:hAnsi="Times New Roman"/>
          <w:sz w:val="18"/>
          <w:szCs w:val="18"/>
          <w:color w:val="auto"/>
        </w:rPr>
        <w:t>NOTHING IN THIS FORM SHALL BE CONSTRUED TO IMPLY THAT THE COMMISSION HAS VERIFIED ANY INFORMATION CONTAINED HEREIN.</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the notification relates to a portion of the filing checked above, identify the Item(s) to which the notification relates:</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REGISTRANT INFORMATION</w:t>
      </w:r>
    </w:p>
    <w:p>
      <w:pPr>
        <w:sectPr>
          <w:pgSz w:w="11900" w:h="16838" w:orient="portrait"/>
          <w:cols w:equalWidth="0" w:num="1">
            <w:col w:w="11240"/>
          </w:cols>
          <w:pgMar w:left="320" w:top="522" w:right="339" w:bottom="1440" w:gutter="0" w:footer="0" w:header="0"/>
        </w:sectPr>
      </w:pP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Full name of Registrant:</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SoundHound AI, Inc.</w:t>
      </w:r>
    </w:p>
    <w:p>
      <w:pPr>
        <w:spacing w:after="0" w:line="200" w:lineRule="exact"/>
        <w:rPr>
          <w:sz w:val="24"/>
          <w:szCs w:val="24"/>
          <w:color w:val="auto"/>
        </w:rPr>
      </w:pPr>
    </w:p>
    <w:p>
      <w:pPr>
        <w:sectPr>
          <w:pgSz w:w="11900" w:h="16838" w:orient="portrait"/>
          <w:cols w:equalWidth="0" w:num="2">
            <w:col w:w="4680" w:space="720"/>
            <w:col w:w="5840"/>
          </w:cols>
          <w:pgMar w:left="320" w:top="522" w:right="339" w:bottom="1440" w:gutter="0" w:footer="0" w:header="0"/>
          <w:type w:val="continuous"/>
        </w:sectPr>
      </w:pP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City State and ZIP Code:</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5400 Betsy Ross Drive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Santa Clara, CA 95054</w:t>
      </w:r>
    </w:p>
    <w:p>
      <w:pPr>
        <w:spacing w:after="0" w:line="200" w:lineRule="exact"/>
        <w:rPr>
          <w:sz w:val="24"/>
          <w:szCs w:val="24"/>
          <w:color w:val="auto"/>
        </w:rPr>
      </w:pPr>
    </w:p>
    <w:p>
      <w:pPr>
        <w:sectPr>
          <w:pgSz w:w="11900" w:h="16838" w:orient="portrait"/>
          <w:cols w:equalWidth="0" w:num="2">
            <w:col w:w="4680" w:space="720"/>
            <w:col w:w="5840"/>
          </w:cols>
          <w:pgMar w:left="320" w:top="522" w:right="339" w:bottom="1440" w:gutter="0" w:footer="0" w:header="0"/>
          <w:type w:val="continuous"/>
        </w:sectPr>
      </w:pP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 — RULES 12b-25(b) AND (c)</w:t>
      </w:r>
    </w:p>
    <w:p>
      <w:pPr>
        <w:sectPr>
          <w:pgSz w:w="11900" w:h="16838" w:orient="portrait"/>
          <w:cols w:equalWidth="0" w:num="1">
            <w:col w:w="11240"/>
          </w:cols>
          <w:pgMar w:left="320" w:top="522" w:right="339" w:bottom="1440" w:gutter="0" w:footer="0" w:header="0"/>
          <w:type w:val="continuous"/>
        </w:sectPr>
      </w:pPr>
    </w:p>
    <w:p>
      <w:pPr>
        <w:spacing w:after="0" w:line="24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62" w:lineRule="exact"/>
        <w:rPr>
          <w:sz w:val="24"/>
          <w:szCs w:val="24"/>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reasons described in reasonable detail in Part III of this form could not be eliminated without unreasonable effort or expense;</w:t>
      </w:r>
    </w:p>
    <w:p>
      <w:pPr>
        <w:spacing w:after="0" w:line="27" w:lineRule="exact"/>
        <w:rPr>
          <w:rFonts w:ascii="Times New Roman" w:cs="Times New Roman" w:eastAsia="Times New Roman" w:hAnsi="Times New Roman"/>
          <w:sz w:val="18"/>
          <w:szCs w:val="18"/>
          <w:color w:val="auto"/>
        </w:rPr>
      </w:pPr>
    </w:p>
    <w:p>
      <w:pPr>
        <w:ind w:left="660" w:hanging="652"/>
        <w:spacing w:after="0" w:line="250" w:lineRule="auto"/>
        <w:tabs>
          <w:tab w:leader="none" w:pos="336"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(b) The subject annual report, semi-annual report, transition report on Form 10-K, Form 20-F, Form 11-K, Form N-CEN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1" w:lineRule="exact"/>
        <w:rPr>
          <w:rFonts w:ascii="MS PGothic" w:cs="MS PGothic" w:eastAsia="MS PGothic" w:hAnsi="MS PGothic"/>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accountant's statement or other exhibit required by Rule 12(b)-25(c) has been attached if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PART III — NARRATIVE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 below in reasonable detail the reasons why the Form 10-K could not be filed within the prescribed time period.</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previously disclosed, on January 3, 2024, SoundHound AI, Inc. (the “Company”) completed the acquisition of Synq3, Inc. in a cash and stock transaction (the “SYNQ3 Acquisition”), and on August 7, 2024, the Company completed the acquisition of Amelia Holdings, Inc. in a cash and stock transaction (together with the SYNQ3 Acquisition, the “Acquisitions”). Due to the complexity of accounting for the Acquisitions, the Company requires additional time to prepare the financial statements and the accompanying notes disclosed in the Company’s Annual Report on Form 10-K for the fiscal year ended December 31, 2024 (the “Form 10-K”). Accordingly, the Company has determined that it is unable to file the Form 10-K without unreasonable effort or expense. As previously disclosed, the Company has identified material weaknesses in its internal control over financial reporting. These material weaknesses continue to exist as of December 31, 2024. The Company expects to file its Form 10-K within the fifteen-day period provided under Rule 12b-25, no later than by March 18, 2025.</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February 27, 2025, the Company issued a press release announcing its financial results for the quarter and year ended December 31, 2024, which included a comparison to its results of operations from the corresponding periods in the last fiscal year.</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PART IV — OTHER INFORMATION</w:t>
            </w:r>
          </w:p>
        </w:tc>
        <w:tc>
          <w:tcPr>
            <w:tcW w:w="4380" w:type="dxa"/>
            <w:vAlign w:val="bottom"/>
          </w:tcPr>
          <w:p>
            <w:pPr>
              <w:spacing w:after="0"/>
              <w:rPr>
                <w:sz w:val="20"/>
                <w:szCs w:val="20"/>
                <w:color w:val="auto"/>
              </w:rPr>
            </w:pPr>
          </w:p>
        </w:tc>
      </w:tr>
      <w:tr>
        <w:trPr>
          <w:trHeight w:val="432"/>
        </w:trPr>
        <w:tc>
          <w:tcPr>
            <w:tcW w:w="6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  Name and telephone number of person to contact in regard to this notification:</w:t>
            </w:r>
          </w:p>
        </w:tc>
        <w:tc>
          <w:tcPr>
            <w:tcW w:w="4380" w:type="dxa"/>
            <w:vAlign w:val="bottom"/>
          </w:tcPr>
          <w:p>
            <w:pPr>
              <w:spacing w:after="0"/>
              <w:rPr>
                <w:sz w:val="24"/>
                <w:szCs w:val="24"/>
                <w:color w:val="auto"/>
              </w:rPr>
            </w:pPr>
          </w:p>
        </w:tc>
      </w:tr>
      <w:tr>
        <w:trPr>
          <w:trHeight w:val="452"/>
        </w:trPr>
        <w:tc>
          <w:tcPr>
            <w:tcW w:w="6860" w:type="dxa"/>
            <w:vAlign w:val="bottom"/>
            <w:gridSpan w:val="3"/>
          </w:tcPr>
          <w:p>
            <w:pPr>
              <w:jc w:val="center"/>
              <w:ind w:right="1340"/>
              <w:spacing w:after="0"/>
              <w:rPr>
                <w:sz w:val="20"/>
                <w:szCs w:val="20"/>
                <w:color w:val="auto"/>
              </w:rPr>
            </w:pPr>
            <w:r>
              <w:rPr>
                <w:rFonts w:ascii="Times New Roman" w:cs="Times New Roman" w:eastAsia="Times New Roman" w:hAnsi="Times New Roman"/>
                <w:sz w:val="18"/>
                <w:szCs w:val="18"/>
                <w:color w:val="auto"/>
                <w:w w:val="98"/>
              </w:rPr>
              <w:t>Dr. Keyvan Mohajer</w:t>
            </w:r>
          </w:p>
        </w:tc>
        <w:tc>
          <w:tcPr>
            <w:tcW w:w="4380" w:type="dxa"/>
            <w:vAlign w:val="bottom"/>
          </w:tcPr>
          <w:p>
            <w:pPr>
              <w:jc w:val="right"/>
              <w:ind w:right="2090"/>
              <w:spacing w:after="0"/>
              <w:rPr>
                <w:sz w:val="20"/>
                <w:szCs w:val="20"/>
                <w:color w:val="auto"/>
              </w:rPr>
            </w:pPr>
            <w:r>
              <w:rPr>
                <w:rFonts w:ascii="Times New Roman" w:cs="Times New Roman" w:eastAsia="Times New Roman" w:hAnsi="Times New Roman"/>
                <w:sz w:val="18"/>
                <w:szCs w:val="18"/>
                <w:color w:val="auto"/>
              </w:rPr>
              <w:t>(408) 441-3200</w:t>
            </w:r>
          </w:p>
        </w:tc>
      </w:tr>
      <w:tr>
        <w:trPr>
          <w:trHeight w:val="238"/>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22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4380" w:type="dxa"/>
            <w:vAlign w:val="bottom"/>
            <w:tcBorders>
              <w:top w:val="single" w:sz="8" w:color="auto"/>
            </w:tcBorders>
          </w:tcPr>
          <w:p>
            <w:pPr>
              <w:jc w:val="center"/>
              <w:ind w:right="1030"/>
              <w:spacing w:after="0"/>
              <w:rPr>
                <w:sz w:val="20"/>
                <w:szCs w:val="20"/>
                <w:color w:val="auto"/>
              </w:rPr>
            </w:pPr>
            <w:r>
              <w:rPr>
                <w:rFonts w:ascii="Times New Roman" w:cs="Times New Roman" w:eastAsia="Times New Roman" w:hAnsi="Times New Roman"/>
                <w:sz w:val="18"/>
                <w:szCs w:val="18"/>
                <w:b w:val="1"/>
                <w:bCs w:val="1"/>
                <w:color w:val="auto"/>
                <w:w w:val="98"/>
              </w:rPr>
              <w:t>Telephone Number</w:t>
            </w:r>
          </w:p>
        </w:tc>
      </w:tr>
    </w:tbl>
    <w:p>
      <w:pPr>
        <w:spacing w:after="0" w:line="175" w:lineRule="exact"/>
        <w:rPr>
          <w:sz w:val="20"/>
          <w:szCs w:val="20"/>
          <w:color w:val="auto"/>
        </w:rPr>
      </w:pPr>
    </w:p>
    <w:p>
      <w:pPr>
        <w:jc w:val="both"/>
        <w:ind w:left="340" w:hanging="332"/>
        <w:spacing w:after="0" w:line="26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w:t>
      </w:r>
    </w:p>
    <w:p>
      <w:pPr>
        <w:spacing w:after="0" w:line="135" w:lineRule="exact"/>
        <w:rPr>
          <w:rFonts w:ascii="Times New Roman" w:cs="Times New Roman" w:eastAsia="Times New Roman" w:hAnsi="Times New Roman"/>
          <w:sz w:val="18"/>
          <w:szCs w:val="18"/>
          <w:color w:val="auto"/>
        </w:rPr>
      </w:pPr>
    </w:p>
    <w:p>
      <w:pPr>
        <w:ind w:left="10460" w:hanging="206"/>
        <w:spacing w:after="0" w:line="207" w:lineRule="exact"/>
        <w:tabs>
          <w:tab w:leader="none" w:pos="10460" w:val="left"/>
        </w:tabs>
        <w:numPr>
          <w:ilvl w:val="1"/>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65" w:lineRule="exact"/>
        <w:rPr>
          <w:rFonts w:ascii="MS PGothic" w:cs="MS PGothic" w:eastAsia="MS PGothic" w:hAnsi="MS PGothic"/>
          <w:sz w:val="18"/>
          <w:szCs w:val="18"/>
          <w:color w:val="auto"/>
        </w:rPr>
      </w:pPr>
    </w:p>
    <w:p>
      <w:pPr>
        <w:ind w:left="340" w:hanging="332"/>
        <w:spacing w:after="0" w:line="261"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ind w:left="10460" w:hanging="205"/>
        <w:spacing w:after="0" w:line="207" w:lineRule="exact"/>
        <w:tabs>
          <w:tab w:leader="none" w:pos="10460" w:val="left"/>
        </w:tabs>
        <w:numPr>
          <w:ilvl w:val="1"/>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07" w:lineRule="exact"/>
        <w:rPr>
          <w:sz w:val="20"/>
          <w:szCs w:val="20"/>
          <w:color w:val="auto"/>
        </w:rPr>
      </w:pPr>
    </w:p>
    <w:p>
      <w:pPr>
        <w:ind w:left="340" w:right="20"/>
        <w:spacing w:after="0" w:line="282" w:lineRule="auto"/>
        <w:rPr>
          <w:sz w:val="20"/>
          <w:szCs w:val="20"/>
          <w:color w:val="auto"/>
        </w:rPr>
      </w:pPr>
      <w:r>
        <w:rPr>
          <w:rFonts w:ascii="Times New Roman" w:cs="Times New Roman" w:eastAsia="Times New Roman" w:hAnsi="Times New Roman"/>
          <w:sz w:val="18"/>
          <w:szCs w:val="18"/>
          <w:color w:val="auto"/>
        </w:rPr>
        <w:t>If so, attach an explanation of the anticipated change, both narratively and quantitatively, and, if appropriate, state the reasons why a reasonable estimate of the results cannot be made.</w:t>
      </w:r>
    </w:p>
    <w:p>
      <w:pPr>
        <w:spacing w:after="0" w:line="16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On February 27, 2025, the Company issued a press release announcing its financial results for the quarter and year ended December 31, 2024, which included a comparison to its results of operations from the corresponding periods in the last fiscal year.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340"/>
        <w:spacing w:after="0"/>
        <w:rPr>
          <w:sz w:val="20"/>
          <w:szCs w:val="20"/>
          <w:color w:val="auto"/>
        </w:rPr>
      </w:pPr>
      <w:r>
        <w:rPr>
          <w:rFonts w:ascii="Times New Roman" w:cs="Times New Roman" w:eastAsia="Times New Roman" w:hAnsi="Times New Roman"/>
          <w:sz w:val="18"/>
          <w:szCs w:val="18"/>
          <w:color w:val="auto"/>
        </w:rPr>
        <w:t>SoundHound AI,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17145</wp:posOffset>
            </wp:positionV>
            <wp:extent cx="335153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2"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Charter)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caused this notification to be signed on its behalf by the undersigned hereunto duly authorized.</w:t>
      </w:r>
    </w:p>
    <w:p>
      <w:pPr>
        <w:spacing w:after="0" w:line="223"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March 4, 2025</w:t>
      </w:r>
      <w:r>
        <w:rPr>
          <w:sz w:val="20"/>
          <w:szCs w:val="20"/>
          <w:color w:val="auto"/>
        </w:rPr>
        <w:tab/>
      </w:r>
      <w:r>
        <w:rPr>
          <w:rFonts w:ascii="Times New Roman" w:cs="Times New Roman" w:eastAsia="Times New Roman" w:hAnsi="Times New Roman"/>
          <w:sz w:val="17"/>
          <w:szCs w:val="17"/>
          <w:i w:val="1"/>
          <w:iCs w:val="1"/>
          <w:color w:val="auto"/>
        </w:rPr>
        <w:t xml:space="preserve">/s/ </w:t>
      </w:r>
      <w:r>
        <w:rPr>
          <w:rFonts w:ascii="Times New Roman" w:cs="Times New Roman" w:eastAsia="Times New Roman" w:hAnsi="Times New Roman"/>
          <w:sz w:val="17"/>
          <w:szCs w:val="17"/>
          <w:color w:val="auto"/>
        </w:rPr>
        <w:t>Dr.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18415</wp:posOffset>
            </wp:positionV>
            <wp:extent cx="284607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Dr. Keyvan Mohajer</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3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lvl w:ilvl="1">
      <w:lvlJc w:val="left"/>
      <w:lvlText w:val="(%2)"/>
      <w:numFmt w:val="lowerLetter"/>
      <w:start w:val="1"/>
    </w:lvl>
  </w:abstractNum>
  <w:abstractNum w:abstractNumId="2">
    <w:nsid w:val="2AE8944A"/>
    <w:multiLevelType w:val="hybridMultilevel"/>
    <w:lvl w:ilvl="0">
      <w:lvlJc w:val="left"/>
      <w:lvlText w:val="☒"/>
      <w:numFmt w:val="bullet"/>
      <w:start w:val="1"/>
    </w:lvl>
    <w:lvl w:ilvl="1">
      <w:lvlJc w:val="left"/>
      <w:lvlText w:val="(%2)"/>
      <w:numFmt w:val="lowerLetter"/>
      <w:start w:val="3"/>
    </w:lvl>
  </w:abstractNum>
  <w:abstractNum w:abstractNumId="3">
    <w:nsid w:val="625558EC"/>
    <w:multiLevelType w:val="hybridMultilevel"/>
    <w:lvl w:ilvl="0">
      <w:lvlJc w:val="left"/>
      <w:lvlText w:val="(%1)"/>
      <w:numFmt w:val="decimal"/>
      <w:start w:val="2"/>
    </w:lvl>
    <w:lvl w:ilvl="1">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2025-03-04T05:33:13Z</dcterms:created>
  <dcterms:modified xsi:type="dcterms:W3CDTF">2025-03-04T05:33:13Z</dcterms:modified>
</cp:coreProperties>
</file>