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MARCUS LAWRENCE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2105 WOODSIDE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WOODSIDE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94062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17,899</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91,937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 grant of restricted stock units under the SoundHound AI, Inc. 2022 Incentive Award Plan (the "Plan"). These restricted stock units vest in four approximately equal quarterly installments.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MARCUS</w:t>
      </w:r>
      <w:r>
        <w:rPr>
          <w:sz w:val="20"/>
          <w:szCs w:val="20"/>
          <w:color w:val="auto"/>
        </w:rPr>
        <w:tab/>
      </w:r>
      <w:r>
        <w:rPr>
          <w:rFonts w:ascii="Times New Roman" w:cs="Times New Roman" w:eastAsia="Times New Roman" w:hAnsi="Times New Roman"/>
          <w:sz w:val="17"/>
          <w:szCs w:val="17"/>
          <w:color w:val="0000FF"/>
        </w:rPr>
        <w:t>05/28/2025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LAWRENCE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37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MARCUS LAWRENCE - CIK # 0001248294</w:t>
      </w:r>
    </w:p>
    <w:p>
      <w:pPr>
        <w:spacing w:after="0" w:line="207"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22 day of April,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48294"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2025-05-28T16:42:10Z</dcterms:created>
  <dcterms:modified xsi:type="dcterms:W3CDTF">2025-05-28T16:42:10Z</dcterms:modified>
</cp:coreProperties>
</file>