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529590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554355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1"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79"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(Mark One)</w:t>
      </w:r>
    </w:p>
    <w:p>
      <w:pPr>
        <w:spacing w:after="0" w:line="215" w:lineRule="exact"/>
        <w:rPr>
          <w:sz w:val="24"/>
          <w:szCs w:val="24"/>
          <w:color w:val="auto"/>
        </w:rPr>
      </w:pPr>
    </w:p>
    <w:p>
      <w:pPr>
        <w:jc w:val="center"/>
        <w:spacing w:after="0" w:line="453"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b w:val="1"/>
          <w:bCs w:val="1"/>
          <w:color w:val="auto"/>
        </w:rPr>
        <w:t>For the quarterly period ended March 31, 2024</w:t>
      </w:r>
    </w:p>
    <w:p>
      <w:pPr>
        <w:jc w:val="cente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7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from________to________</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001-40193</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48"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80" w:type="dxa"/>
            <w:vAlign w:val="bottom"/>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tcPr>
          <w:p>
            <w:pPr>
              <w:jc w:val="center"/>
              <w:ind w:right="1912"/>
              <w:spacing w:after="0"/>
              <w:rPr>
                <w:sz w:val="20"/>
                <w:szCs w:val="20"/>
                <w:color w:val="auto"/>
              </w:rPr>
            </w:pPr>
            <w:r>
              <w:rPr>
                <w:rFonts w:ascii="Times New Roman" w:cs="Times New Roman" w:eastAsia="Times New Roman" w:hAnsi="Times New Roman"/>
                <w:sz w:val="18"/>
                <w:szCs w:val="18"/>
                <w:b w:val="1"/>
                <w:bCs w:val="1"/>
                <w:color w:val="auto"/>
                <w:w w:val="98"/>
              </w:rPr>
              <w:t>86-1286799</w:t>
            </w:r>
          </w:p>
        </w:tc>
      </w:tr>
      <w:tr>
        <w:trPr>
          <w:trHeight w:val="220"/>
        </w:trPr>
        <w:tc>
          <w:tcPr>
            <w:tcW w:w="766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8"/>
              </w:rPr>
              <w:t>(State or other jurisdiction of</w:t>
            </w:r>
          </w:p>
        </w:tc>
        <w:tc>
          <w:tcPr>
            <w:tcW w:w="3580" w:type="dxa"/>
            <w:vAlign w:val="bottom"/>
          </w:tcPr>
          <w:p>
            <w:pPr>
              <w:jc w:val="center"/>
              <w:ind w:right="1912"/>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1"/>
        </w:trPr>
        <w:tc>
          <w:tcPr>
            <w:tcW w:w="7660" w:type="dxa"/>
            <w:vAlign w:val="bottom"/>
            <w:gridSpan w:val="3"/>
          </w:tcPr>
          <w:p>
            <w:pPr>
              <w:jc w:val="center"/>
              <w:ind w:right="2040"/>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3580" w:type="dxa"/>
            <w:vAlign w:val="bottom"/>
          </w:tcPr>
          <w:p>
            <w:pPr>
              <w:jc w:val="center"/>
              <w:ind w:right="185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563"/>
        </w:trPr>
        <w:tc>
          <w:tcPr>
            <w:tcW w:w="7660" w:type="dxa"/>
            <w:vAlign w:val="bottom"/>
            <w:tcBorders>
              <w:bottom w:val="single" w:sz="8" w:color="auto"/>
            </w:tcBorders>
            <w:gridSpan w:val="3"/>
          </w:tcPr>
          <w:p>
            <w:pPr>
              <w:jc w:val="center"/>
              <w:ind w:left="3512"/>
              <w:spacing w:after="0"/>
              <w:rPr>
                <w:sz w:val="20"/>
                <w:szCs w:val="20"/>
                <w:color w:val="auto"/>
              </w:rPr>
            </w:pPr>
            <w:r>
              <w:rPr>
                <w:rFonts w:ascii="Times New Roman" w:cs="Times New Roman" w:eastAsia="Times New Roman" w:hAnsi="Times New Roman"/>
                <w:sz w:val="18"/>
                <w:szCs w:val="18"/>
                <w:b w:val="1"/>
                <w:bCs w:val="1"/>
                <w:color w:val="auto"/>
                <w:w w:val="98"/>
              </w:rPr>
              <w:t>5400 Betsy Ross Drive, Santa Clara, CA 95054</w:t>
            </w:r>
          </w:p>
        </w:tc>
        <w:tc>
          <w:tcPr>
            <w:tcW w:w="3580" w:type="dxa"/>
            <w:vAlign w:val="bottom"/>
            <w:tcBorders>
              <w:bottom w:val="single" w:sz="8" w:color="auto"/>
            </w:tcBorders>
          </w:tcPr>
          <w:p>
            <w:pPr>
              <w:spacing w:after="0"/>
              <w:rPr>
                <w:sz w:val="24"/>
                <w:szCs w:val="24"/>
                <w:color w:val="auto"/>
              </w:rPr>
            </w:pPr>
          </w:p>
        </w:tc>
      </w:tr>
      <w:tr>
        <w:trPr>
          <w:trHeight w:val="239"/>
        </w:trPr>
        <w:tc>
          <w:tcPr>
            <w:tcW w:w="7660" w:type="dxa"/>
            <w:vAlign w:val="bottom"/>
            <w:gridSpan w:val="3"/>
          </w:tcPr>
          <w:p>
            <w:pPr>
              <w:jc w:val="center"/>
              <w:ind w:left="3512"/>
              <w:spacing w:after="0"/>
              <w:rPr>
                <w:sz w:val="20"/>
                <w:szCs w:val="20"/>
                <w:color w:val="auto"/>
              </w:rPr>
            </w:pPr>
            <w:r>
              <w:rPr>
                <w:rFonts w:ascii="Times New Roman" w:cs="Times New Roman" w:eastAsia="Times New Roman" w:hAnsi="Times New Roman"/>
                <w:sz w:val="18"/>
                <w:szCs w:val="18"/>
                <w:color w:val="auto"/>
                <w:w w:val="97"/>
              </w:rPr>
              <w:t>(Address of principal executive offices) (Zip Code)</w:t>
            </w:r>
          </w:p>
        </w:tc>
        <w:tc>
          <w:tcPr>
            <w:tcW w:w="3580" w:type="dxa"/>
            <w:vAlign w:val="bottom"/>
          </w:tcPr>
          <w:p>
            <w:pPr>
              <w:spacing w:after="0"/>
              <w:rPr>
                <w:sz w:val="20"/>
                <w:szCs w:val="20"/>
                <w:color w:val="auto"/>
              </w:rPr>
            </w:pPr>
          </w:p>
        </w:tc>
      </w:tr>
      <w:tr>
        <w:trPr>
          <w:trHeight w:val="563"/>
        </w:trPr>
        <w:tc>
          <w:tcPr>
            <w:tcW w:w="7660" w:type="dxa"/>
            <w:vAlign w:val="bottom"/>
            <w:tcBorders>
              <w:bottom w:val="single" w:sz="8" w:color="auto"/>
            </w:tcBorders>
            <w:gridSpan w:val="3"/>
          </w:tcPr>
          <w:p>
            <w:pPr>
              <w:jc w:val="center"/>
              <w:ind w:left="3512"/>
              <w:spacing w:after="0"/>
              <w:rPr>
                <w:sz w:val="20"/>
                <w:szCs w:val="20"/>
                <w:color w:val="auto"/>
              </w:rPr>
            </w:pPr>
            <w:r>
              <w:rPr>
                <w:rFonts w:ascii="Times New Roman" w:cs="Times New Roman" w:eastAsia="Times New Roman" w:hAnsi="Times New Roman"/>
                <w:sz w:val="18"/>
                <w:szCs w:val="18"/>
                <w:b w:val="1"/>
                <w:bCs w:val="1"/>
                <w:color w:val="auto"/>
                <w:w w:val="97"/>
              </w:rPr>
              <w:t>(408) 441-3200</w:t>
            </w:r>
          </w:p>
        </w:tc>
        <w:tc>
          <w:tcPr>
            <w:tcW w:w="3580" w:type="dxa"/>
            <w:vAlign w:val="bottom"/>
            <w:tcBorders>
              <w:bottom w:val="single" w:sz="8" w:color="auto"/>
            </w:tcBorders>
          </w:tcPr>
          <w:p>
            <w:pPr>
              <w:spacing w:after="0"/>
              <w:rPr>
                <w:sz w:val="24"/>
                <w:szCs w:val="24"/>
                <w:color w:val="auto"/>
              </w:rPr>
            </w:pPr>
          </w:p>
        </w:tc>
      </w:tr>
      <w:tr>
        <w:trPr>
          <w:trHeight w:val="239"/>
        </w:trPr>
        <w:tc>
          <w:tcPr>
            <w:tcW w:w="7660" w:type="dxa"/>
            <w:vAlign w:val="bottom"/>
            <w:gridSpan w:val="3"/>
          </w:tcPr>
          <w:p>
            <w:pPr>
              <w:jc w:val="center"/>
              <w:ind w:left="3512"/>
              <w:spacing w:after="0"/>
              <w:rPr>
                <w:sz w:val="20"/>
                <w:szCs w:val="20"/>
                <w:color w:val="auto"/>
              </w:rPr>
            </w:pPr>
            <w:r>
              <w:rPr>
                <w:rFonts w:ascii="Times New Roman" w:cs="Times New Roman" w:eastAsia="Times New Roman" w:hAnsi="Times New Roman"/>
                <w:sz w:val="18"/>
                <w:szCs w:val="18"/>
                <w:color w:val="auto"/>
                <w:w w:val="97"/>
              </w:rPr>
              <w:t>(Registrant’s telephone number, including area code)</w:t>
            </w:r>
          </w:p>
        </w:tc>
        <w:tc>
          <w:tcPr>
            <w:tcW w:w="3580" w:type="dxa"/>
            <w:vAlign w:val="bottom"/>
          </w:tcPr>
          <w:p>
            <w:pPr>
              <w:spacing w:after="0"/>
              <w:rPr>
                <w:sz w:val="20"/>
                <w:szCs w:val="20"/>
                <w:color w:val="auto"/>
              </w:rPr>
            </w:pPr>
          </w:p>
        </w:tc>
      </w:tr>
    </w:tbl>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83"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48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37"/>
        </w:trPr>
        <w:tc>
          <w:tcPr>
            <w:tcW w:w="480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274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5"/>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45"/>
        </w:trPr>
        <w:tc>
          <w:tcPr>
            <w:tcW w:w="3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tcPr>
          <w:p>
            <w:pPr>
              <w:spacing w:after="0"/>
              <w:rPr>
                <w:sz w:val="21"/>
                <w:szCs w:val="21"/>
                <w:color w:val="auto"/>
              </w:rPr>
            </w:pPr>
          </w:p>
        </w:tc>
      </w:tr>
      <w:tr>
        <w:trPr>
          <w:trHeight w:val="220"/>
        </w:trPr>
        <w:tc>
          <w:tcPr>
            <w:tcW w:w="4800" w:type="dxa"/>
            <w:vAlign w:val="bottom"/>
            <w:gridSpan w:val="3"/>
            <w:shd w:val="clear" w:color="auto" w:fill="CCEEFF"/>
          </w:tcPr>
          <w:p>
            <w:pPr>
              <w:jc w:val="center"/>
              <w:ind w:right="1140"/>
              <w:spacing w:after="0"/>
              <w:rPr>
                <w:sz w:val="20"/>
                <w:szCs w:val="20"/>
                <w:color w:val="auto"/>
              </w:rPr>
            </w:pPr>
            <w:r>
              <w:rPr>
                <w:rFonts w:ascii="Times New Roman" w:cs="Times New Roman" w:eastAsia="Times New Roman" w:hAnsi="Times New Roman"/>
                <w:sz w:val="18"/>
                <w:szCs w:val="18"/>
                <w:color w:val="auto"/>
                <w:w w:val="98"/>
              </w:rPr>
              <w:t>Class A Common Stock, par value $0.0001 per</w:t>
            </w:r>
          </w:p>
        </w:tc>
        <w:tc>
          <w:tcPr>
            <w:tcW w:w="2740" w:type="dxa"/>
            <w:vAlign w:val="bottom"/>
            <w:gridSpan w:val="2"/>
            <w:shd w:val="clear" w:color="auto" w:fill="CCEEFF"/>
          </w:tcPr>
          <w:p>
            <w:pPr>
              <w:jc w:val="center"/>
              <w:ind w:right="1140"/>
              <w:spacing w:after="0"/>
              <w:rPr>
                <w:sz w:val="20"/>
                <w:szCs w:val="20"/>
                <w:color w:val="auto"/>
              </w:rPr>
            </w:pPr>
            <w:r>
              <w:rPr>
                <w:rFonts w:ascii="Times New Roman" w:cs="Times New Roman" w:eastAsia="Times New Roman" w:hAnsi="Times New Roman"/>
                <w:sz w:val="18"/>
                <w:szCs w:val="18"/>
                <w:color w:val="auto"/>
                <w:w w:val="97"/>
              </w:rPr>
              <w:t>SOUN</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The Nasdaq Stock Market LLC</w:t>
            </w:r>
          </w:p>
        </w:tc>
      </w:tr>
      <w:tr>
        <w:trPr>
          <w:trHeight w:val="237"/>
        </w:trPr>
        <w:tc>
          <w:tcPr>
            <w:tcW w:w="4800" w:type="dxa"/>
            <w:vAlign w:val="bottom"/>
            <w:tcBorders>
              <w:bottom w:val="single" w:sz="8" w:color="CCEEFF"/>
            </w:tcBorders>
            <w:gridSpan w:val="3"/>
            <w:shd w:val="clear" w:color="auto" w:fill="CCEEFF"/>
          </w:tcPr>
          <w:p>
            <w:pPr>
              <w:jc w:val="center"/>
              <w:ind w:right="1140"/>
              <w:spacing w:after="0"/>
              <w:rPr>
                <w:sz w:val="20"/>
                <w:szCs w:val="20"/>
                <w:color w:val="auto"/>
              </w:rPr>
            </w:pPr>
            <w:r>
              <w:rPr>
                <w:rFonts w:ascii="Times New Roman" w:cs="Times New Roman" w:eastAsia="Times New Roman" w:hAnsi="Times New Roman"/>
                <w:sz w:val="18"/>
                <w:szCs w:val="18"/>
                <w:color w:val="auto"/>
                <w:w w:val="99"/>
              </w:rPr>
              <w:t>share</w:t>
            </w:r>
          </w:p>
        </w:tc>
        <w:tc>
          <w:tcPr>
            <w:tcW w:w="2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spacing w:after="0"/>
              <w:rPr>
                <w:sz w:val="20"/>
                <w:szCs w:val="20"/>
                <w:color w:val="auto"/>
              </w:rPr>
            </w:pPr>
          </w:p>
        </w:tc>
      </w:tr>
      <w:tr>
        <w:trPr>
          <w:trHeight w:val="265"/>
        </w:trPr>
        <w:tc>
          <w:tcPr>
            <w:tcW w:w="3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r>
      <w:tr>
        <w:trPr>
          <w:trHeight w:val="239"/>
        </w:trPr>
        <w:tc>
          <w:tcPr>
            <w:tcW w:w="4800" w:type="dxa"/>
            <w:vAlign w:val="bottom"/>
            <w:gridSpan w:val="3"/>
            <w:shd w:val="clear" w:color="auto" w:fill="CCEEFF"/>
          </w:tcPr>
          <w:p>
            <w:pPr>
              <w:jc w:val="center"/>
              <w:ind w:right="1140"/>
              <w:spacing w:after="0"/>
              <w:rPr>
                <w:sz w:val="20"/>
                <w:szCs w:val="20"/>
                <w:color w:val="auto"/>
              </w:rPr>
            </w:pPr>
            <w:r>
              <w:rPr>
                <w:rFonts w:ascii="Times New Roman" w:cs="Times New Roman" w:eastAsia="Times New Roman" w:hAnsi="Times New Roman"/>
                <w:sz w:val="18"/>
                <w:szCs w:val="18"/>
                <w:color w:val="auto"/>
                <w:w w:val="96"/>
              </w:rPr>
              <w:t>Redeemable Warrants</w:t>
            </w:r>
          </w:p>
        </w:tc>
        <w:tc>
          <w:tcPr>
            <w:tcW w:w="2740" w:type="dxa"/>
            <w:vAlign w:val="bottom"/>
            <w:gridSpan w:val="2"/>
            <w:shd w:val="clear" w:color="auto" w:fill="CCEEFF"/>
          </w:tcPr>
          <w:p>
            <w:pPr>
              <w:jc w:val="center"/>
              <w:ind w:right="1140"/>
              <w:spacing w:after="0"/>
              <w:rPr>
                <w:sz w:val="20"/>
                <w:szCs w:val="20"/>
                <w:color w:val="auto"/>
              </w:rPr>
            </w:pPr>
            <w:r>
              <w:rPr>
                <w:rFonts w:ascii="Times New Roman" w:cs="Times New Roman" w:eastAsia="Times New Roman" w:hAnsi="Times New Roman"/>
                <w:sz w:val="18"/>
                <w:szCs w:val="18"/>
                <w:color w:val="auto"/>
                <w:w w:val="96"/>
              </w:rPr>
              <w:t>SOUNW</w:t>
            </w: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The Nasdaq Stock Market LLC</w:t>
            </w:r>
          </w:p>
        </w:tc>
      </w:tr>
      <w:tr>
        <w:trPr>
          <w:trHeight w:val="25"/>
        </w:trPr>
        <w:tc>
          <w:tcPr>
            <w:tcW w:w="3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r>
    </w:tbl>
    <w:p>
      <w:pPr>
        <w:spacing w:after="0" w:line="247" w:lineRule="exact"/>
        <w:rPr>
          <w:sz w:val="24"/>
          <w:szCs w:val="24"/>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8" w:lineRule="exact"/>
        <w:rPr>
          <w:sz w:val="24"/>
          <w:szCs w:val="24"/>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51" w:lineRule="exact"/>
        <w:rPr>
          <w:sz w:val="24"/>
          <w:szCs w:val="24"/>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31" w:right="339" w:bottom="0" w:gutter="0" w:footer="0" w:header="0"/>
        </w:sectPr>
      </w:pPr>
    </w:p>
    <w:p>
      <w:pPr>
        <w:spacing w:after="0" w:line="205"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69" w:lineRule="exact"/>
        <w:rPr>
          <w:sz w:val="24"/>
          <w:szCs w:val="24"/>
          <w:color w:val="auto"/>
        </w:rPr>
      </w:pPr>
    </w:p>
    <w:p>
      <w:pPr>
        <w:sectPr>
          <w:pgSz w:w="11900" w:h="16838" w:orient="portrait"/>
          <w:cols w:equalWidth="0" w:num="4">
            <w:col w:w="220" w:space="140"/>
            <w:col w:w="4560" w:space="720"/>
            <w:col w:w="160" w:space="180"/>
            <w:col w:w="5260"/>
          </w:cols>
          <w:pgMar w:left="320" w:top="331" w:right="339" w:bottom="0" w:gutter="0" w:footer="0" w:header="0"/>
          <w:type w:val="continuous"/>
        </w:sectPr>
      </w:pPr>
    </w:p>
    <w:p>
      <w:pPr>
        <w:spacing w:after="0" w:line="18" w:lineRule="exact"/>
        <w:rPr>
          <w:sz w:val="24"/>
          <w:szCs w:val="24"/>
          <w:color w:val="auto"/>
        </w:rPr>
      </w:pPr>
    </w:p>
    <w:p>
      <w:pPr>
        <w:ind w:left="2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69" w:lineRule="exact"/>
        <w:rPr>
          <w:sz w:val="24"/>
          <w:szCs w:val="24"/>
          <w:color w:val="auto"/>
        </w:rPr>
      </w:pPr>
    </w:p>
    <w:p>
      <w:pPr>
        <w:sectPr>
          <w:pgSz w:w="11900" w:h="16838" w:orient="portrait"/>
          <w:cols w:equalWidth="0" w:num="4">
            <w:col w:w="180" w:space="180"/>
            <w:col w:w="4560" w:space="720"/>
            <w:col w:w="160" w:space="180"/>
            <w:col w:w="5260"/>
          </w:cols>
          <w:pgMar w:left="320" w:top="331" w:right="339" w:bottom="0" w:gutter="0" w:footer="0" w:header="0"/>
          <w:type w:val="continuous"/>
        </w:sectPr>
      </w:pPr>
    </w:p>
    <w:p>
      <w:pPr>
        <w:spacing w:after="0" w:line="18" w:lineRule="exact"/>
        <w:rPr>
          <w:sz w:val="24"/>
          <w:szCs w:val="24"/>
          <w:color w:val="auto"/>
        </w:rPr>
      </w:pPr>
    </w:p>
    <w:p>
      <w:pPr>
        <w:ind w:left="564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11" w:lineRule="exact"/>
        <w:rPr>
          <w:sz w:val="24"/>
          <w:szCs w:val="24"/>
          <w:color w:val="auto"/>
        </w:rPr>
      </w:pPr>
    </w:p>
    <w:p>
      <w:pPr>
        <w:sectPr>
          <w:pgSz w:w="11900" w:h="16838" w:orient="portrait"/>
          <w:cols w:equalWidth="0" w:num="2">
            <w:col w:w="5800" w:space="180"/>
            <w:col w:w="5260"/>
          </w:cols>
          <w:pgMar w:left="320" w:top="331" w:right="339" w:bottom="0" w:gutter="0" w:footer="0" w:header="0"/>
          <w:type w:val="continuous"/>
        </w:sectPr>
      </w:pPr>
    </w:p>
    <w:p>
      <w:pPr>
        <w:spacing w:after="0" w:line="96" w:lineRule="exact"/>
        <w:rPr>
          <w:sz w:val="24"/>
          <w:szCs w:val="24"/>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2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ectPr>
          <w:pgSz w:w="11900" w:h="16838" w:orient="portrait"/>
          <w:cols w:equalWidth="0" w:num="1">
            <w:col w:w="11240"/>
          </w:cols>
          <w:pgMar w:left="320" w:top="331" w:right="339" w:bottom="0" w:gutter="0" w:footer="0" w:header="0"/>
          <w:type w:val="continuous"/>
        </w:sectPr>
      </w:pPr>
    </w:p>
    <w:bookmarkStart w:id="1" w:name="page2"/>
    <w:bookmarkEnd w:id="1"/>
    <w:p>
      <w:pPr>
        <w:ind w:firstLine="636"/>
        <w:spacing w:after="0" w:line="274" w:lineRule="auto"/>
        <w:rPr>
          <w:sz w:val="20"/>
          <w:szCs w:val="20"/>
          <w:color w:val="auto"/>
        </w:rPr>
      </w:pPr>
      <w:r>
        <w:rPr>
          <w:rFonts w:ascii="Times New Roman" w:cs="Times New Roman" w:eastAsia="Times New Roman" w:hAnsi="Times New Roman"/>
          <w:sz w:val="18"/>
          <w:szCs w:val="18"/>
          <w:color w:val="auto"/>
        </w:rPr>
        <w:t>As of May 7, 2024, there were 296,434,620 shares of the Company’s Class A Common Stock, $0.0001 par value per share, issued and outstanding, and 32,735,408 shares of the Company’s Class B Common Stock,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775970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123825</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149225</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shd w:val="clear" w:color="auto" w:fill="CCEEFF"/>
          </w:tcPr>
          <w:p>
            <w:pPr>
              <w:spacing w:after="0"/>
              <w:rPr>
                <w:sz w:val="22"/>
                <w:szCs w:val="22"/>
                <w:color w:val="auto"/>
              </w:rPr>
            </w:pPr>
          </w:p>
        </w:tc>
        <w:tc>
          <w:tcPr>
            <w:tcW w:w="1046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76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rPr>
              <w:t>1</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76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rPr>
              <w:t>1</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64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2024 (unaudited) and December 31, 2023</w:t>
            </w:r>
          </w:p>
        </w:tc>
        <w:tc>
          <w:tcPr>
            <w:tcW w:w="76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rPr>
              <w:t>1</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2060" w:type="dxa"/>
            <w:vAlign w:val="bottom"/>
            <w:tcBorders>
              <w:top w:val="single" w:sz="8" w:color="0000FF"/>
            </w:tcBorders>
          </w:tcPr>
          <w:p>
            <w:pPr>
              <w:spacing w:after="0"/>
              <w:rPr>
                <w:sz w:val="23"/>
                <w:szCs w:val="23"/>
                <w:color w:val="auto"/>
              </w:rPr>
            </w:pPr>
          </w:p>
        </w:tc>
        <w:tc>
          <w:tcPr>
            <w:tcW w:w="680" w:type="dxa"/>
            <w:vAlign w:val="bottom"/>
            <w:tcBorders>
              <w:top w:val="single" w:sz="8" w:color="0000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199"/>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40" w:type="dxa"/>
            <w:vAlign w:val="bottom"/>
            <w:gridSpan w:val="20"/>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months ended March 31, 2024 and 2023</w:t>
            </w:r>
          </w:p>
        </w:tc>
        <w:tc>
          <w:tcPr>
            <w:tcW w:w="760" w:type="dxa"/>
            <w:vAlign w:val="bottom"/>
            <w:shd w:val="clear" w:color="auto" w:fill="CCEEFF"/>
          </w:tcPr>
          <w:p>
            <w:pPr>
              <w:spacing w:after="0"/>
              <w:rPr>
                <w:sz w:val="17"/>
                <w:szCs w:val="17"/>
                <w:color w:val="auto"/>
              </w:rPr>
            </w:pPr>
          </w:p>
        </w:tc>
      </w:tr>
      <w:tr>
        <w:trPr>
          <w:trHeight w:val="238"/>
        </w:trPr>
        <w:tc>
          <w:tcPr>
            <w:tcW w:w="2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0000FF"/>
            </w:tcBorders>
            <w:shd w:val="clear" w:color="auto" w:fill="CCEEFF"/>
          </w:tcPr>
          <w:p>
            <w:pPr>
              <w:spacing w:after="0"/>
              <w:rPr>
                <w:sz w:val="20"/>
                <w:szCs w:val="20"/>
                <w:color w:val="auto"/>
              </w:rPr>
            </w:pPr>
          </w:p>
        </w:tc>
        <w:tc>
          <w:tcPr>
            <w:tcW w:w="9160" w:type="dxa"/>
            <w:vAlign w:val="bottom"/>
            <w:tcBorders>
              <w:top w:val="single" w:sz="8" w:color="0000FF"/>
            </w:tcBorders>
            <w:gridSpan w:val="18"/>
            <w:shd w:val="clear" w:color="auto" w:fill="CCEEFF"/>
          </w:tcPr>
          <w:p>
            <w:pPr>
              <w:ind w:left="100"/>
              <w:spacing w:after="0" w:line="192" w:lineRule="exact"/>
              <w:rPr>
                <w:sz w:val="20"/>
                <w:szCs w:val="20"/>
                <w:color w:val="auto"/>
              </w:rPr>
            </w:pPr>
            <w:r>
              <w:rPr>
                <w:rFonts w:ascii="Times New Roman" w:cs="Times New Roman" w:eastAsia="Times New Roman" w:hAnsi="Times New Roman"/>
                <w:sz w:val="18"/>
                <w:szCs w:val="18"/>
                <w:color w:val="0000FF"/>
              </w:rPr>
              <w:t>(unaudited)</w:t>
            </w:r>
          </w:p>
        </w:tc>
        <w:tc>
          <w:tcPr>
            <w:tcW w:w="22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rPr>
              <w:t>2</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199"/>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40" w:type="dxa"/>
            <w:vAlign w:val="bottom"/>
            <w:gridSpan w:val="20"/>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(Deficit) for the three months ended March 31, 2024 and 2023</w:t>
            </w:r>
          </w:p>
        </w:tc>
        <w:tc>
          <w:tcPr>
            <w:tcW w:w="760" w:type="dxa"/>
            <w:vAlign w:val="bottom"/>
            <w:shd w:val="clear" w:color="auto" w:fill="CCEEFF"/>
          </w:tcPr>
          <w:p>
            <w:pPr>
              <w:spacing w:after="0"/>
              <w:rPr>
                <w:sz w:val="17"/>
                <w:szCs w:val="17"/>
                <w:color w:val="auto"/>
              </w:rPr>
            </w:pPr>
          </w:p>
        </w:tc>
      </w:tr>
      <w:tr>
        <w:trPr>
          <w:trHeight w:val="238"/>
        </w:trPr>
        <w:tc>
          <w:tcPr>
            <w:tcW w:w="2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0000FF"/>
            </w:tcBorders>
            <w:shd w:val="clear" w:color="auto" w:fill="CCEEFF"/>
          </w:tcPr>
          <w:p>
            <w:pPr>
              <w:spacing w:after="0"/>
              <w:rPr>
                <w:sz w:val="20"/>
                <w:szCs w:val="20"/>
                <w:color w:val="auto"/>
              </w:rPr>
            </w:pPr>
          </w:p>
        </w:tc>
        <w:tc>
          <w:tcPr>
            <w:tcW w:w="8700" w:type="dxa"/>
            <w:vAlign w:val="bottom"/>
            <w:tcBorders>
              <w:top w:val="single" w:sz="8" w:color="0000FF"/>
            </w:tcBorders>
            <w:gridSpan w:val="17"/>
            <w:shd w:val="clear" w:color="auto" w:fill="CCEEFF"/>
          </w:tcPr>
          <w:p>
            <w:pPr>
              <w:ind w:left="100"/>
              <w:spacing w:after="0" w:line="192" w:lineRule="exact"/>
              <w:rPr>
                <w:sz w:val="20"/>
                <w:szCs w:val="20"/>
                <w:color w:val="auto"/>
              </w:rPr>
            </w:pPr>
            <w:r>
              <w:rPr>
                <w:rFonts w:ascii="Times New Roman" w:cs="Times New Roman" w:eastAsia="Times New Roman" w:hAnsi="Times New Roman"/>
                <w:sz w:val="18"/>
                <w:szCs w:val="18"/>
                <w:color w:val="0000FF"/>
              </w:rPr>
              <w:t>(unaudited)</w:t>
            </w:r>
          </w:p>
        </w:tc>
        <w:tc>
          <w:tcPr>
            <w:tcW w:w="680" w:type="dxa"/>
            <w:vAlign w:val="bottom"/>
            <w:tcBorders>
              <w:top w:val="single" w:sz="8" w:color="CCEEFF"/>
            </w:tcBorders>
            <w:gridSpan w:val="2"/>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jc w:val="center"/>
              <w:ind w:right="52"/>
              <w:spacing w:after="0" w:line="192" w:lineRule="exact"/>
              <w:rPr>
                <w:sz w:val="20"/>
                <w:szCs w:val="20"/>
                <w:color w:val="auto"/>
              </w:rPr>
            </w:pPr>
            <w:r>
              <w:rPr>
                <w:rFonts w:ascii="Times New Roman" w:cs="Times New Roman" w:eastAsia="Times New Roman" w:hAnsi="Times New Roman"/>
                <w:sz w:val="18"/>
                <w:szCs w:val="18"/>
                <w:color w:val="auto"/>
              </w:rPr>
              <w:t>3</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64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2024 and 2023 (unaudited)</w:t>
            </w:r>
          </w:p>
        </w:tc>
        <w:tc>
          <w:tcPr>
            <w:tcW w:w="76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rPr>
              <w:t>4</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2060" w:type="dxa"/>
            <w:vAlign w:val="bottom"/>
            <w:tcBorders>
              <w:top w:val="single" w:sz="8" w:color="0000FF"/>
            </w:tcBorders>
          </w:tcPr>
          <w:p>
            <w:pPr>
              <w:spacing w:after="0"/>
              <w:rPr>
                <w:sz w:val="23"/>
                <w:szCs w:val="23"/>
                <w:color w:val="auto"/>
              </w:rPr>
            </w:pPr>
          </w:p>
        </w:tc>
        <w:tc>
          <w:tcPr>
            <w:tcW w:w="680" w:type="dxa"/>
            <w:vAlign w:val="bottom"/>
            <w:tcBorders>
              <w:top w:val="single" w:sz="8" w:color="0000FF"/>
            </w:tcBorders>
          </w:tcPr>
          <w:p>
            <w:pPr>
              <w:spacing w:after="0"/>
              <w:rPr>
                <w:sz w:val="23"/>
                <w:szCs w:val="23"/>
                <w:color w:val="auto"/>
              </w:rPr>
            </w:pPr>
          </w:p>
        </w:tc>
        <w:tc>
          <w:tcPr>
            <w:tcW w:w="1280" w:type="dxa"/>
            <w:vAlign w:val="bottom"/>
            <w:tcBorders>
              <w:top w:val="single" w:sz="8" w:color="0000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64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6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rPr>
              <w:t>6</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9"/>
              </w:rPr>
              <w:t>35</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2060" w:type="dxa"/>
            <w:vAlign w:val="bottom"/>
            <w:tcBorders>
              <w:top w:val="single" w:sz="8" w:color="0000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6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9"/>
              </w:rPr>
              <w:t>50</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Controls and Procedures</w:t>
            </w:r>
          </w:p>
        </w:tc>
        <w:tc>
          <w:tcPr>
            <w:tcW w:w="76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9"/>
              </w:rPr>
              <w:t>50</w:t>
            </w:r>
          </w:p>
        </w:tc>
      </w:tr>
      <w:tr>
        <w:trPr>
          <w:trHeight w:val="265"/>
        </w:trPr>
        <w:tc>
          <w:tcPr>
            <w:tcW w:w="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gridSpan w:val="2"/>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10460" w:type="dxa"/>
            <w:vAlign w:val="bottom"/>
            <w:gridSpan w:val="22"/>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0000FF"/>
              </w:rPr>
              <w:t>PART II. OTHER INFORMATION</w:t>
            </w:r>
          </w:p>
        </w:tc>
        <w:tc>
          <w:tcPr>
            <w:tcW w:w="76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9"/>
              </w:rPr>
              <w:t>53</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Legal Proceedings</w:t>
            </w:r>
          </w:p>
        </w:tc>
        <w:tc>
          <w:tcPr>
            <w:tcW w:w="76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9"/>
              </w:rPr>
              <w:t>53</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1A.</w:t>
            </w:r>
          </w:p>
        </w:tc>
        <w:tc>
          <w:tcPr>
            <w:tcW w:w="964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Risk Factors</w:t>
            </w:r>
          </w:p>
        </w:tc>
        <w:tc>
          <w:tcPr>
            <w:tcW w:w="76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9"/>
              </w:rPr>
              <w:t>53</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6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9"/>
              </w:rPr>
              <w:t>55</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6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9"/>
              </w:rPr>
              <w:t>55</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Mine Safety Disclosures</w:t>
            </w:r>
          </w:p>
        </w:tc>
        <w:tc>
          <w:tcPr>
            <w:tcW w:w="76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9"/>
              </w:rPr>
              <w:t>55</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5.</w:t>
            </w:r>
          </w:p>
        </w:tc>
        <w:tc>
          <w:tcPr>
            <w:tcW w:w="964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Other Information</w:t>
            </w:r>
          </w:p>
        </w:tc>
        <w:tc>
          <w:tcPr>
            <w:tcW w:w="76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9"/>
              </w:rPr>
              <w:t>55</w:t>
            </w:r>
          </w:p>
        </w:tc>
      </w:tr>
      <w:tr>
        <w:trPr>
          <w:trHeight w:val="265"/>
        </w:trPr>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45"/>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Item 6.</w:t>
            </w:r>
          </w:p>
        </w:tc>
        <w:tc>
          <w:tcPr>
            <w:tcW w:w="9640" w:type="dxa"/>
            <w:vAlign w:val="bottom"/>
            <w:gridSpan w:val="21"/>
            <w:shd w:val="clear" w:color="auto" w:fill="CCEEFF"/>
          </w:tcPr>
          <w:p>
            <w:pPr>
              <w:ind w:left="200"/>
              <w:spacing w:after="0" w:line="199" w:lineRule="exact"/>
              <w:rPr>
                <w:sz w:val="20"/>
                <w:szCs w:val="20"/>
                <w:color w:val="auto"/>
              </w:rPr>
            </w:pPr>
            <w:r>
              <w:rPr>
                <w:rFonts w:ascii="Times New Roman" w:cs="Times New Roman" w:eastAsia="Times New Roman" w:hAnsi="Times New Roman"/>
                <w:sz w:val="18"/>
                <w:szCs w:val="18"/>
                <w:color w:val="0000FF"/>
              </w:rPr>
              <w:t>Exhibits</w:t>
            </w:r>
          </w:p>
        </w:tc>
        <w:tc>
          <w:tcPr>
            <w:tcW w:w="76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9"/>
              </w:rPr>
              <w:t>56</w:t>
            </w:r>
          </w:p>
        </w:tc>
      </w:tr>
      <w:tr>
        <w:trPr>
          <w:trHeight w:val="265"/>
        </w:trPr>
        <w:tc>
          <w:tcPr>
            <w:tcW w:w="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gridSpan w:val="2"/>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06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199"/>
        </w:trPr>
        <w:tc>
          <w:tcPr>
            <w:tcW w:w="20" w:type="dxa"/>
            <w:vAlign w:val="bottom"/>
            <w:shd w:val="clear" w:color="auto" w:fill="CCEEFF"/>
          </w:tcPr>
          <w:p>
            <w:pPr>
              <w:spacing w:after="0"/>
              <w:rPr>
                <w:sz w:val="17"/>
                <w:szCs w:val="17"/>
                <w:color w:val="auto"/>
              </w:rPr>
            </w:pPr>
          </w:p>
        </w:tc>
        <w:tc>
          <w:tcPr>
            <w:tcW w:w="10460" w:type="dxa"/>
            <w:vAlign w:val="bottom"/>
            <w:gridSpan w:val="22"/>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0000FF"/>
              </w:rPr>
              <w:t>SIGNATURES</w:t>
            </w:r>
          </w:p>
        </w:tc>
        <w:tc>
          <w:tcPr>
            <w:tcW w:w="760" w:type="dxa"/>
            <w:vAlign w:val="bottom"/>
            <w:shd w:val="clear" w:color="auto" w:fill="CCEEFF"/>
          </w:tcPr>
          <w:p>
            <w:pPr>
              <w:jc w:val="center"/>
              <w:ind w:right="52"/>
              <w:spacing w:after="0" w:line="199" w:lineRule="exact"/>
              <w:rPr>
                <w:sz w:val="20"/>
                <w:szCs w:val="20"/>
                <w:color w:val="auto"/>
              </w:rPr>
            </w:pPr>
            <w:r>
              <w:rPr>
                <w:rFonts w:ascii="Times New Roman" w:cs="Times New Roman" w:eastAsia="Times New Roman" w:hAnsi="Times New Roman"/>
                <w:sz w:val="18"/>
                <w:szCs w:val="18"/>
                <w:color w:val="auto"/>
                <w:w w:val="99"/>
              </w:rPr>
              <w:t>57</w:t>
            </w:r>
          </w:p>
        </w:tc>
      </w:tr>
      <w:tr>
        <w:trPr>
          <w:trHeight w:val="46"/>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98425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9"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This Quarterly Report on Form 10-Q (this “report”) of SoundHound AI, Inc. (“we,” “us,” “our,” “SoundHound,” or the “Company”) contains “forward-looking statements” (as defined in Section 27A of the Securities Act of 1933, as amended, and Section 21E of the Securities Exchange Act of 1934, as amended) that reflect our current expectations and views of future events. The forward-looking statements are contained principally in the section of this report entitled “Management’s Discussion and Analysis of Financial Condition and Results of Operations.” You can identify some of these forward-looking statements by words or phrases such as “may,” “will,” “expect,” “anticipate,” “aim,” “estimate,” “intend,” “plan,” “believe,” “is/are likely to,” “potential,” “continue” or other similar expressions. These forward-looking statements include, but are not limited to, statements concerning our expected financial performance, our ability to implement our business strategy and anticipated business and operations, including our ability to improve our Generative AI Foundation Model, expand our customer partnerships and roll out our AI drive thru service, roll out our Dynamic Interaction, Chat AI for Automotive, and expand the number of platforms on which our voice AI technology will be available, the potential utility of and market for our products and services, and our ability to achieve revenue from our bookings backlog. We have based these forward-looking statements largely on our current expectations and projections about future events that we believe may affect our financial condition, results of operations, business strategy and financial needs.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Accordingly, readers are cautioned that significant known and unknown risks, uncertainties and other important factors may cause our actual results, performance or achievements to be materially different from those expressed or implied by the forward-looking statements. Some factors that could cause actual results to differ include:</w:t>
      </w:r>
    </w:p>
    <w:p>
      <w:pPr>
        <w:spacing w:after="0" w:line="179" w:lineRule="exact"/>
        <w:rPr>
          <w:sz w:val="20"/>
          <w:szCs w:val="20"/>
          <w:color w:val="auto"/>
        </w:rPr>
      </w:pPr>
    </w:p>
    <w:p>
      <w:pPr>
        <w:ind w:left="960" w:hanging="318"/>
        <w:spacing w:after="0"/>
        <w:tabs>
          <w:tab w:leader="none" w:pos="9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execute our business strategy, including launching new product offerings and expanding information and technology capabilities;</w:t>
      </w:r>
    </w:p>
    <w:p>
      <w:pPr>
        <w:spacing w:after="0" w:line="228" w:lineRule="exact"/>
        <w:rPr>
          <w:rFonts w:ascii="Times New Roman" w:cs="Times New Roman" w:eastAsia="Times New Roman" w:hAnsi="Times New Roman"/>
          <w:sz w:val="17"/>
          <w:szCs w:val="17"/>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customers and retain existing customers;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impact of our growth initiatives on our future financial performance;</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and trade secrets;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as necessary, including equity or debt financing, on terms that are acceptable to us, if at all, particularly in light of inflationary pressures and resulting increases in the cost of borrowing;</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our operations and business;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or maintain a qualified workforce, particularly following our recent restructuring efforts;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product service failures that could lead our customers to use competitors’ services;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 including with respect to our AI technology;</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uncertainty of our estimates of market opportunity and forecasts of market growth;</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common stock on the Nasdaq Global Market;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and</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titled “Risk Factors” herein and in our Annual Report on Form 10-K which was filed with the Securities and Exchange Commission on March 1, 2024.</w:t>
      </w:r>
    </w:p>
    <w:p>
      <w:pPr>
        <w:spacing w:after="0" w:line="16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You should thoroughly read this report and the documents that we refer to with the understanding that our actual future results may be materially different from, and worse than, what we expect. We qualify all of our forward-looking statements by these cautionary statements.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completely and with the understanding that our actual future results may be materially different from what we expect.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8180" w:type="dxa"/>
            <w:vAlign w:val="bottom"/>
          </w:tcPr>
          <w:p>
            <w:pPr>
              <w:spacing w:after="0"/>
              <w:rPr>
                <w:sz w:val="11"/>
                <w:szCs w:val="11"/>
                <w:color w:val="auto"/>
              </w:rPr>
            </w:pPr>
          </w:p>
        </w:tc>
        <w:tc>
          <w:tcPr>
            <w:tcW w:w="1040" w:type="dxa"/>
            <w:vAlign w:val="bottom"/>
          </w:tcPr>
          <w:p>
            <w:pPr>
              <w:jc w:val="center"/>
              <w:ind w:left="407"/>
              <w:spacing w:after="0"/>
              <w:rPr>
                <w:sz w:val="20"/>
                <w:szCs w:val="20"/>
                <w:color w:val="auto"/>
              </w:rPr>
            </w:pPr>
            <w:r>
              <w:rPr>
                <w:rFonts w:ascii="Times New Roman" w:cs="Times New Roman" w:eastAsia="Times New Roman" w:hAnsi="Times New Roman"/>
                <w:sz w:val="11"/>
                <w:szCs w:val="11"/>
                <w:b w:val="1"/>
                <w:bCs w:val="1"/>
                <w:color w:val="auto"/>
                <w:w w:val="95"/>
              </w:rPr>
              <w:t>March 31,</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387"/>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0"/>
        </w:trPr>
        <w:tc>
          <w:tcPr>
            <w:tcW w:w="8180" w:type="dxa"/>
            <w:vAlign w:val="bottom"/>
          </w:tcPr>
          <w:p>
            <w:pPr>
              <w:spacing w:after="0"/>
              <w:rPr>
                <w:sz w:val="12"/>
                <w:szCs w:val="12"/>
                <w:color w:val="auto"/>
              </w:rPr>
            </w:pPr>
          </w:p>
        </w:tc>
        <w:tc>
          <w:tcPr>
            <w:tcW w:w="1040" w:type="dxa"/>
            <w:vAlign w:val="bottom"/>
          </w:tcPr>
          <w:p>
            <w:pPr>
              <w:jc w:val="center"/>
              <w:ind w:left="387"/>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87"/>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8180" w:type="dxa"/>
            <w:vAlign w:val="bottom"/>
          </w:tcPr>
          <w:p>
            <w:pPr>
              <w:spacing w:after="0"/>
              <w:rPr>
                <w:sz w:val="12"/>
                <w:szCs w:val="12"/>
                <w:color w:val="auto"/>
              </w:rPr>
            </w:pPr>
          </w:p>
        </w:tc>
        <w:tc>
          <w:tcPr>
            <w:tcW w:w="1040" w:type="dxa"/>
            <w:vAlign w:val="bottom"/>
          </w:tcPr>
          <w:p>
            <w:pPr>
              <w:jc w:val="center"/>
              <w:ind w:left="387"/>
              <w:spacing w:after="0"/>
              <w:rPr>
                <w:sz w:val="20"/>
                <w:szCs w:val="20"/>
                <w:color w:val="auto"/>
              </w:rPr>
            </w:pPr>
            <w:r>
              <w:rPr>
                <w:rFonts w:ascii="Times New Roman" w:cs="Times New Roman" w:eastAsia="Times New Roman" w:hAnsi="Times New Roman"/>
                <w:sz w:val="11"/>
                <w:szCs w:val="11"/>
                <w:b w:val="1"/>
                <w:bCs w:val="1"/>
                <w:color w:val="auto"/>
                <w:w w:val="98"/>
              </w:rPr>
              <w:t>(Unaudited)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390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040" w:type="dxa"/>
            <w:vAlign w:val="bottom"/>
          </w:tcPr>
          <w:p>
            <w:pPr>
              <w:jc w:val="right"/>
              <w:ind w:right="907"/>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211,744</w:t>
            </w:r>
          </w:p>
        </w:tc>
        <w:tc>
          <w:tcPr>
            <w:tcW w:w="100" w:type="dxa"/>
            <w:vAlign w:val="bottom"/>
          </w:tcPr>
          <w:p>
            <w:pPr>
              <w:spacing w:after="0"/>
              <w:rPr>
                <w:sz w:val="13"/>
                <w:szCs w:val="13"/>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95,260</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Accounts receivable, net of allowances of $234 and $203 as of March 31, 2024 and December 31, 2023, respectively</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6,849</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4,050</w:t>
            </w:r>
          </w:p>
        </w:tc>
        <w:tc>
          <w:tcPr>
            <w:tcW w:w="0" w:type="dxa"/>
            <w:vAlign w:val="bottom"/>
          </w:tcPr>
          <w:p>
            <w:pPr>
              <w:spacing w:after="0"/>
              <w:rPr>
                <w:sz w:val="1"/>
                <w:szCs w:val="1"/>
                <w:color w:val="auto"/>
              </w:rPr>
            </w:pPr>
          </w:p>
        </w:tc>
      </w:tr>
      <w:tr>
        <w:trPr>
          <w:trHeight w:val="151"/>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Contract assets and unbilled receivable, net of allowance for credit losses of $101 and $17 of March 31, 2024 and December 31, 2023, respectively</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12,104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11,780</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current assets</w:t>
            </w:r>
          </w:p>
        </w:tc>
        <w:tc>
          <w:tcPr>
            <w:tcW w:w="10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2,452</w:t>
            </w:r>
          </w:p>
        </w:tc>
        <w:tc>
          <w:tcPr>
            <w:tcW w:w="0" w:type="dxa"/>
            <w:vAlign w:val="bottom"/>
          </w:tcPr>
          <w:p>
            <w:pPr>
              <w:spacing w:after="0"/>
              <w:rPr>
                <w:sz w:val="1"/>
                <w:szCs w:val="1"/>
                <w:color w:val="auto"/>
              </w:rPr>
            </w:pPr>
          </w:p>
        </w:tc>
      </w:tr>
      <w:tr>
        <w:trPr>
          <w:trHeight w:val="144"/>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current assets</w:t>
            </w:r>
          </w:p>
        </w:tc>
        <w:tc>
          <w:tcPr>
            <w:tcW w:w="10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234,037</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113,542</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Restricted cash equivalents, non-current</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14,356</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13,775</w:t>
            </w: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Right-of-use assets</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5,210</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1,348</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1,515</w:t>
            </w: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5,760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Intangible assets, net</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11,580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tax asset</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Contract assets and unbilled receivable, non-current, net of allowance for credit losses of $176 and $177 of March 31, 2024 and December 31, 2023, respectively</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15,106</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16,492</w:t>
            </w: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non-current assets</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577</w:t>
            </w:r>
          </w:p>
        </w:tc>
        <w:tc>
          <w:tcPr>
            <w:tcW w:w="0" w:type="dxa"/>
            <w:vAlign w:val="bottom"/>
          </w:tcPr>
          <w:p>
            <w:pPr>
              <w:spacing w:after="0"/>
              <w:rPr>
                <w:sz w:val="1"/>
                <w:szCs w:val="1"/>
                <w:color w:val="auto"/>
              </w:rPr>
            </w:pPr>
          </w:p>
        </w:tc>
      </w:tr>
      <w:tr>
        <w:trPr>
          <w:trHeight w:val="34"/>
        </w:trPr>
        <w:tc>
          <w:tcPr>
            <w:tcW w:w="8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assets</w:t>
            </w:r>
          </w:p>
        </w:tc>
        <w:tc>
          <w:tcPr>
            <w:tcW w:w="1040" w:type="dxa"/>
            <w:vAlign w:val="bottom"/>
            <w:tcBorders>
              <w:bottom w:val="single" w:sz="8" w:color="auto"/>
            </w:tcBorders>
            <w:shd w:val="clear" w:color="auto" w:fill="CCEEFF"/>
          </w:tcPr>
          <w:p>
            <w:pPr>
              <w:jc w:val="right"/>
              <w:ind w:right="907"/>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287,429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151,122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180" w:type="dxa"/>
            <w:vAlign w:val="bottom"/>
            <w:tcBorders>
              <w:bottom w:val="single" w:sz="8" w:color="CCEEFF"/>
            </w:tcBorders>
            <w:shd w:val="clear" w:color="auto" w:fill="CCEEFF"/>
          </w:tcPr>
          <w:p>
            <w:pPr>
              <w:ind w:left="2940"/>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Accounts payable</w:t>
            </w:r>
          </w:p>
        </w:tc>
        <w:tc>
          <w:tcPr>
            <w:tcW w:w="1040" w:type="dxa"/>
            <w:vAlign w:val="bottom"/>
            <w:tcBorders>
              <w:bottom w:val="single" w:sz="8" w:color="CCEEFF"/>
            </w:tcBorders>
            <w:shd w:val="clear" w:color="auto" w:fill="CCEEFF"/>
          </w:tcPr>
          <w:p>
            <w:pPr>
              <w:jc w:val="right"/>
              <w:ind w:right="907"/>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2,997</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1,653</w:t>
            </w:r>
          </w:p>
        </w:tc>
        <w:tc>
          <w:tcPr>
            <w:tcW w:w="0" w:type="dxa"/>
            <w:vAlign w:val="bottom"/>
          </w:tcPr>
          <w:p>
            <w:pPr>
              <w:spacing w:after="0"/>
              <w:rPr>
                <w:sz w:val="1"/>
                <w:szCs w:val="1"/>
                <w:color w:val="auto"/>
              </w:rPr>
            </w:pPr>
          </w:p>
        </w:tc>
      </w:tr>
      <w:tr>
        <w:trPr>
          <w:trHeight w:val="151"/>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Accrued liabilities</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15,341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13,884</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2,791</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2,637</w:t>
            </w:r>
          </w:p>
        </w:tc>
        <w:tc>
          <w:tcPr>
            <w:tcW w:w="0" w:type="dxa"/>
            <w:vAlign w:val="bottom"/>
          </w:tcPr>
          <w:p>
            <w:pPr>
              <w:spacing w:after="0"/>
              <w:rPr>
                <w:sz w:val="1"/>
                <w:szCs w:val="1"/>
                <w:color w:val="auto"/>
              </w:rPr>
            </w:pPr>
          </w:p>
        </w:tc>
      </w:tr>
      <w:tr>
        <w:trPr>
          <w:trHeight w:val="151"/>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Finance lease liabilities</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121</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Income tax liability</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1,618</w:t>
            </w:r>
          </w:p>
        </w:tc>
        <w:tc>
          <w:tcPr>
            <w:tcW w:w="0" w:type="dxa"/>
            <w:vAlign w:val="bottom"/>
          </w:tcPr>
          <w:p>
            <w:pPr>
              <w:spacing w:after="0"/>
              <w:rPr>
                <w:sz w:val="1"/>
                <w:szCs w:val="1"/>
                <w:color w:val="auto"/>
              </w:rPr>
            </w:pPr>
          </w:p>
        </w:tc>
      </w:tr>
      <w:tr>
        <w:trPr>
          <w:trHeight w:val="151"/>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Deferred revenue</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4,310</w:t>
            </w:r>
          </w:p>
        </w:tc>
        <w:tc>
          <w:tcPr>
            <w:tcW w:w="0" w:type="dxa"/>
            <w:vAlign w:val="bottom"/>
          </w:tcPr>
          <w:p>
            <w:pPr>
              <w:spacing w:after="0"/>
              <w:rPr>
                <w:sz w:val="1"/>
                <w:szCs w:val="1"/>
                <w:color w:val="auto"/>
              </w:rPr>
            </w:pPr>
          </w:p>
        </w:tc>
      </w:tr>
      <w:tr>
        <w:trPr>
          <w:trHeight w:val="34"/>
        </w:trPr>
        <w:tc>
          <w:tcPr>
            <w:tcW w:w="8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10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26,483</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24,223</w:t>
            </w: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lease liabilities, net of current portion</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3,089</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revenue, net of current portion</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4,087</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4,910</w:t>
            </w: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Long-term debt</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85,543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84,312</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Contingent acquisition liabilities (Note 17)</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6,819</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tax liability, net of current portion</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2,453</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non-current liabilities</w:t>
            </w:r>
          </w:p>
        </w:tc>
        <w:tc>
          <w:tcPr>
            <w:tcW w:w="10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4,638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3,967</w:t>
            </w:r>
          </w:p>
        </w:tc>
        <w:tc>
          <w:tcPr>
            <w:tcW w:w="0" w:type="dxa"/>
            <w:vAlign w:val="bottom"/>
          </w:tcPr>
          <w:p>
            <w:pPr>
              <w:spacing w:after="0"/>
              <w:rPr>
                <w:sz w:val="1"/>
                <w:szCs w:val="1"/>
                <w:color w:val="auto"/>
              </w:rPr>
            </w:pPr>
          </w:p>
        </w:tc>
      </w:tr>
      <w:tr>
        <w:trPr>
          <w:trHeight w:val="145"/>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liabilities</w:t>
            </w:r>
          </w:p>
        </w:tc>
        <w:tc>
          <w:tcPr>
            <w:tcW w:w="10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131,950</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122,954</w:t>
            </w:r>
          </w:p>
        </w:tc>
        <w:tc>
          <w:tcPr>
            <w:tcW w:w="0" w:type="dxa"/>
            <w:vAlign w:val="bottom"/>
          </w:tcPr>
          <w:p>
            <w:pPr>
              <w:spacing w:after="0"/>
              <w:rPr>
                <w:sz w:val="1"/>
                <w:szCs w:val="1"/>
                <w:color w:val="auto"/>
              </w:rPr>
            </w:pPr>
          </w:p>
        </w:tc>
      </w:tr>
      <w:tr>
        <w:trPr>
          <w:trHeight w:val="34"/>
        </w:trPr>
        <w:tc>
          <w:tcPr>
            <w:tcW w:w="8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Commitments and contingencies (Note 7)</w:t>
            </w:r>
          </w:p>
        </w:tc>
        <w:tc>
          <w:tcPr>
            <w:tcW w:w="10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Stockholders’ equity:</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96"/>
              </w:rPr>
              <w:t>Series A Preferred Stock, $0.0001 par value; 1,000,000 shares authorized; 70,241 and 475,005 shares issued and outstanding, aggregate liquidation preference of $2,481 and $16,227 as of</w:t>
            </w:r>
          </w:p>
        </w:tc>
        <w:tc>
          <w:tcPr>
            <w:tcW w:w="10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2,097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right"/>
              <w:ind w:right="7"/>
              <w:spacing w:after="0"/>
              <w:rPr>
                <w:sz w:val="20"/>
                <w:szCs w:val="20"/>
                <w:color w:val="auto"/>
              </w:rPr>
            </w:pPr>
            <w:r>
              <w:rPr>
                <w:rFonts w:ascii="Times New Roman" w:cs="Times New Roman" w:eastAsia="Times New Roman" w:hAnsi="Times New Roman"/>
                <w:sz w:val="11"/>
                <w:szCs w:val="11"/>
                <w:color w:val="auto"/>
              </w:rPr>
              <w:t>14,187</w:t>
            </w:r>
          </w:p>
        </w:tc>
        <w:tc>
          <w:tcPr>
            <w:tcW w:w="0" w:type="dxa"/>
            <w:vAlign w:val="bottom"/>
          </w:tcPr>
          <w:p>
            <w:pPr>
              <w:spacing w:after="0"/>
              <w:rPr>
                <w:sz w:val="1"/>
                <w:szCs w:val="1"/>
                <w:color w:val="auto"/>
              </w:rPr>
            </w:pPr>
          </w:p>
        </w:tc>
      </w:tr>
      <w:tr>
        <w:trPr>
          <w:trHeight w:val="138"/>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March 31, 2024 and December 31, 2023, respectively</w:t>
            </w:r>
          </w:p>
        </w:tc>
        <w:tc>
          <w:tcPr>
            <w:tcW w:w="10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w w:val="98"/>
              </w:rPr>
              <w:t>Class A Common Stock, $0.0001 par value; 455,000,000 shares authorized; 288,822,818 and 216,943,349 shares issued and outstanding as of March 31, 2024 and December 31, 2023,</w:t>
            </w:r>
          </w:p>
        </w:tc>
        <w:tc>
          <w:tcPr>
            <w:tcW w:w="10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3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respectively</w:t>
            </w:r>
          </w:p>
        </w:tc>
        <w:tc>
          <w:tcPr>
            <w:tcW w:w="10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Class B Common Stock, $0.0001 par value; 44,000,000 shares authorized; 32,735,408 and 37,485,408 shares issued and outstanding as of March 31, 2024 and December 31, 2023,</w:t>
            </w:r>
          </w:p>
        </w:tc>
        <w:tc>
          <w:tcPr>
            <w:tcW w:w="104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right"/>
              <w:ind w:right="7"/>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38"/>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respectively</w:t>
            </w:r>
          </w:p>
        </w:tc>
        <w:tc>
          <w:tcPr>
            <w:tcW w:w="10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778,503</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606,135</w:t>
            </w:r>
          </w:p>
        </w:tc>
        <w:tc>
          <w:tcPr>
            <w:tcW w:w="0" w:type="dxa"/>
            <w:vAlign w:val="bottom"/>
          </w:tcPr>
          <w:p>
            <w:pPr>
              <w:spacing w:after="0"/>
              <w:rPr>
                <w:sz w:val="1"/>
                <w:szCs w:val="1"/>
                <w:color w:val="auto"/>
              </w:rPr>
            </w:pPr>
          </w:p>
        </w:tc>
      </w:tr>
      <w:tr>
        <w:trPr>
          <w:trHeight w:val="151"/>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Accumulated deficit</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2"/>
              </w:rPr>
              <w:t>(625,388)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(592,379)</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Accumulated other comprehensive income</w:t>
            </w:r>
          </w:p>
        </w:tc>
        <w:tc>
          <w:tcPr>
            <w:tcW w:w="10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199</w:t>
            </w:r>
          </w:p>
        </w:tc>
        <w:tc>
          <w:tcPr>
            <w:tcW w:w="0" w:type="dxa"/>
            <w:vAlign w:val="bottom"/>
          </w:tcPr>
          <w:p>
            <w:pPr>
              <w:spacing w:after="0"/>
              <w:rPr>
                <w:sz w:val="1"/>
                <w:szCs w:val="1"/>
                <w:color w:val="auto"/>
              </w:rPr>
            </w:pPr>
          </w:p>
        </w:tc>
      </w:tr>
      <w:tr>
        <w:trPr>
          <w:trHeight w:val="145"/>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0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155,479</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28,168</w:t>
            </w:r>
          </w:p>
        </w:tc>
        <w:tc>
          <w:tcPr>
            <w:tcW w:w="0" w:type="dxa"/>
            <w:vAlign w:val="bottom"/>
          </w:tcPr>
          <w:p>
            <w:pPr>
              <w:spacing w:after="0"/>
              <w:rPr>
                <w:sz w:val="1"/>
                <w:szCs w:val="1"/>
                <w:color w:val="auto"/>
              </w:rPr>
            </w:pPr>
          </w:p>
        </w:tc>
      </w:tr>
      <w:tr>
        <w:trPr>
          <w:trHeight w:val="34"/>
        </w:trPr>
        <w:tc>
          <w:tcPr>
            <w:tcW w:w="8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1040" w:type="dxa"/>
            <w:vAlign w:val="bottom"/>
            <w:tcBorders>
              <w:bottom w:val="single" w:sz="8" w:color="auto"/>
            </w:tcBorders>
            <w:shd w:val="clear" w:color="auto" w:fill="CCEEFF"/>
          </w:tcPr>
          <w:p>
            <w:pPr>
              <w:jc w:val="right"/>
              <w:ind w:right="907"/>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287,429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151,122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794"/>
        </w:trPr>
        <w:tc>
          <w:tcPr>
            <w:tcW w:w="1340" w:type="dxa"/>
            <w:vAlign w:val="bottom"/>
            <w:tcBorders>
              <w:top w:val="single" w:sz="8" w:color="0000FF"/>
            </w:tcBorders>
          </w:tcPr>
          <w:p>
            <w:pPr>
              <w:spacing w:after="0"/>
              <w:rPr>
                <w:sz w:val="24"/>
                <w:szCs w:val="24"/>
                <w:color w:val="auto"/>
              </w:rPr>
            </w:pPr>
          </w:p>
        </w:tc>
        <w:tc>
          <w:tcPr>
            <w:tcW w:w="6580" w:type="dxa"/>
            <w:vAlign w:val="bottom"/>
          </w:tcPr>
          <w:p>
            <w:pPr>
              <w:jc w:val="center"/>
              <w:ind w:left="1912"/>
              <w:spacing w:after="0"/>
              <w:rPr>
                <w:sz w:val="20"/>
                <w:szCs w:val="20"/>
                <w:color w:val="auto"/>
              </w:rPr>
            </w:pPr>
            <w:r>
              <w:rPr>
                <w:rFonts w:ascii="Times New Roman" w:cs="Times New Roman" w:eastAsia="Times New Roman" w:hAnsi="Times New Roman"/>
                <w:sz w:val="18"/>
                <w:szCs w:val="18"/>
                <w:b w:val="1"/>
                <w:bCs w:val="1"/>
                <w:color w:val="auto"/>
                <w:w w:val="98"/>
              </w:rPr>
              <w:t>SOUNDHOUND AI,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0"/>
        </w:trPr>
        <w:tc>
          <w:tcPr>
            <w:tcW w:w="1340" w:type="dxa"/>
            <w:vAlign w:val="bottom"/>
          </w:tcPr>
          <w:p>
            <w:pPr>
              <w:spacing w:after="0"/>
              <w:rPr>
                <w:sz w:val="18"/>
                <w:szCs w:val="18"/>
                <w:color w:val="auto"/>
              </w:rPr>
            </w:pPr>
          </w:p>
        </w:tc>
        <w:tc>
          <w:tcPr>
            <w:tcW w:w="86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CONDENSED CONSOLIDATED STATEMENTS OF OPERATIONS AND COMPREHENSIVE LOSS</w:t>
            </w:r>
          </w:p>
        </w:tc>
        <w:tc>
          <w:tcPr>
            <w:tcW w:w="1040" w:type="dxa"/>
            <w:vAlign w:val="bottom"/>
          </w:tcPr>
          <w:p>
            <w:pPr>
              <w:spacing w:after="0"/>
              <w:rPr>
                <w:sz w:val="18"/>
                <w:szCs w:val="18"/>
                <w:color w:val="auto"/>
              </w:rPr>
            </w:pPr>
          </w:p>
        </w:tc>
      </w:tr>
      <w:tr>
        <w:trPr>
          <w:trHeight w:val="212"/>
        </w:trPr>
        <w:tc>
          <w:tcPr>
            <w:tcW w:w="1340" w:type="dxa"/>
            <w:vAlign w:val="bottom"/>
          </w:tcPr>
          <w:p>
            <w:pPr>
              <w:spacing w:after="0"/>
              <w:rPr>
                <w:sz w:val="18"/>
                <w:szCs w:val="18"/>
                <w:color w:val="auto"/>
              </w:rPr>
            </w:pPr>
          </w:p>
        </w:tc>
        <w:tc>
          <w:tcPr>
            <w:tcW w:w="6580" w:type="dxa"/>
            <w:vAlign w:val="bottom"/>
          </w:tcPr>
          <w:p>
            <w:pPr>
              <w:jc w:val="center"/>
              <w:ind w:left="1892"/>
              <w:spacing w:after="0"/>
              <w:rPr>
                <w:sz w:val="20"/>
                <w:szCs w:val="20"/>
                <w:color w:val="auto"/>
              </w:rPr>
            </w:pPr>
            <w:r>
              <w:rPr>
                <w:rFonts w:ascii="Times New Roman" w:cs="Times New Roman" w:eastAsia="Times New Roman" w:hAnsi="Times New Roman"/>
                <w:sz w:val="18"/>
                <w:szCs w:val="18"/>
                <w:b w:val="1"/>
                <w:bCs w:val="1"/>
                <w:i w:val="1"/>
                <w:iCs w:val="1"/>
                <w:color w:val="auto"/>
                <w:w w:val="98"/>
              </w:rPr>
              <w:t>(In thousands, except share and per share data)</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5"/>
        </w:trPr>
        <w:tc>
          <w:tcPr>
            <w:tcW w:w="1340" w:type="dxa"/>
            <w:vAlign w:val="bottom"/>
          </w:tcPr>
          <w:p>
            <w:pPr>
              <w:spacing w:after="0"/>
              <w:rPr>
                <w:sz w:val="20"/>
                <w:szCs w:val="20"/>
                <w:color w:val="auto"/>
              </w:rPr>
            </w:pPr>
          </w:p>
        </w:tc>
        <w:tc>
          <w:tcPr>
            <w:tcW w:w="6580" w:type="dxa"/>
            <w:vAlign w:val="bottom"/>
          </w:tcPr>
          <w:p>
            <w:pPr>
              <w:jc w:val="center"/>
              <w:ind w:left="1892"/>
              <w:spacing w:after="0"/>
              <w:rPr>
                <w:sz w:val="20"/>
                <w:szCs w:val="20"/>
                <w:color w:val="auto"/>
              </w:rPr>
            </w:pPr>
            <w:r>
              <w:rPr>
                <w:rFonts w:ascii="Times New Roman" w:cs="Times New Roman" w:eastAsia="Times New Roman" w:hAnsi="Times New Roman"/>
                <w:sz w:val="18"/>
                <w:szCs w:val="18"/>
                <w:b w:val="1"/>
                <w:bCs w:val="1"/>
                <w:i w:val="1"/>
                <w:iCs w:val="1"/>
                <w:color w:val="auto"/>
                <w:w w:val="97"/>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6"/>
        </w:trPr>
        <w:tc>
          <w:tcPr>
            <w:tcW w:w="13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3"/>
        </w:trPr>
        <w:tc>
          <w:tcPr>
            <w:tcW w:w="134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Pr>
          <w:p>
            <w:pPr>
              <w:spacing w:after="0"/>
              <w:rPr>
                <w:sz w:val="20"/>
                <w:szCs w:val="20"/>
                <w:color w:val="auto"/>
              </w:rPr>
            </w:pPr>
          </w:p>
        </w:tc>
      </w:tr>
      <w:tr>
        <w:trPr>
          <w:trHeight w:val="26"/>
        </w:trPr>
        <w:tc>
          <w:tcPr>
            <w:tcW w:w="13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3"/>
        </w:trPr>
        <w:tc>
          <w:tcPr>
            <w:tcW w:w="134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792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r>
      <w:tr>
        <w:trPr>
          <w:trHeight w:val="219"/>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6"/>
        </w:trPr>
        <w:tc>
          <w:tcPr>
            <w:tcW w:w="79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7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240"/>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r>
      <w:tr>
        <w:trPr>
          <w:trHeight w:val="25"/>
        </w:trPr>
        <w:tc>
          <w:tcPr>
            <w:tcW w:w="79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7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r>
      <w:tr>
        <w:trPr>
          <w:trHeight w:val="240"/>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w:t>
            </w:r>
          </w:p>
        </w:tc>
      </w:tr>
      <w:tr>
        <w:trPr>
          <w:trHeight w:val="25"/>
        </w:trPr>
        <w:tc>
          <w:tcPr>
            <w:tcW w:w="79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7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79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7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r>
      <w:tr>
        <w:trPr>
          <w:trHeight w:val="233"/>
        </w:trPr>
        <w:tc>
          <w:tcPr>
            <w:tcW w:w="7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31,910</w:t>
            </w:r>
          </w:p>
        </w:tc>
      </w:tr>
      <w:tr>
        <w:trPr>
          <w:trHeight w:val="26"/>
        </w:trPr>
        <w:tc>
          <w:tcPr>
            <w:tcW w:w="792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(25,203)</w:t>
            </w:r>
          </w:p>
        </w:tc>
      </w:tr>
      <w:tr>
        <w:trPr>
          <w:trHeight w:val="245"/>
        </w:trPr>
        <w:tc>
          <w:tcPr>
            <w:tcW w:w="134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45"/>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0"/>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5"/>
        </w:trPr>
        <w:tc>
          <w:tcPr>
            <w:tcW w:w="79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7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33"/>
        </w:trPr>
        <w:tc>
          <w:tcPr>
            <w:tcW w:w="7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5"/>
        </w:trPr>
        <w:tc>
          <w:tcPr>
            <w:tcW w:w="792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(27,101)</w:t>
            </w:r>
          </w:p>
        </w:tc>
      </w:tr>
      <w:tr>
        <w:trPr>
          <w:trHeight w:val="240"/>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5"/>
        </w:trPr>
        <w:tc>
          <w:tcPr>
            <w:tcW w:w="792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(27,430)</w:t>
            </w:r>
          </w:p>
        </w:tc>
      </w:tr>
      <w:tr>
        <w:trPr>
          <w:trHeight w:val="240"/>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 Stock</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5"/>
        </w:trPr>
        <w:tc>
          <w:tcPr>
            <w:tcW w:w="792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3"/>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SoundHound common shareholders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(28,112)</w:t>
            </w:r>
          </w:p>
        </w:tc>
      </w:tr>
      <w:tr>
        <w:trPr>
          <w:trHeight w:val="20"/>
        </w:trPr>
        <w:tc>
          <w:tcPr>
            <w:tcW w:w="792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13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5"/>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0"/>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792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(27,430)</w:t>
            </w:r>
          </w:p>
        </w:tc>
      </w:tr>
      <w:tr>
        <w:trPr>
          <w:trHeight w:val="265"/>
        </w:trPr>
        <w:tc>
          <w:tcPr>
            <w:tcW w:w="792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45"/>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65"/>
        </w:trPr>
        <w:tc>
          <w:tcPr>
            <w:tcW w:w="7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3"/>
                <w:szCs w:val="23"/>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1340" w:type="dxa"/>
            <w:vAlign w:val="bottom"/>
            <w:tcBorders>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2"/>
        </w:trPr>
        <w:tc>
          <w:tcPr>
            <w:tcW w:w="1340" w:type="dxa"/>
            <w:vAlign w:val="bottom"/>
            <w:shd w:val="clear" w:color="auto" w:fill="CCEEFF"/>
          </w:tcPr>
          <w:p>
            <w:pPr>
              <w:spacing w:after="0"/>
              <w:rPr>
                <w:sz w:val="20"/>
                <w:szCs w:val="20"/>
                <w:color w:val="auto"/>
              </w:rPr>
            </w:pPr>
          </w:p>
        </w:tc>
        <w:tc>
          <w:tcPr>
            <w:tcW w:w="6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40"/>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
        </w:trPr>
        <w:tc>
          <w:tcPr>
            <w:tcW w:w="79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0"/>
        </w:trPr>
        <w:tc>
          <w:tcPr>
            <w:tcW w:w="7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286,596,559</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205,082,328</w:t>
            </w: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80"/>
          </w:cols>
          <w:pgMar w:left="320" w:top="317" w:right="5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7134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840" w:type="dxa"/>
            <w:vAlign w:val="bottom"/>
          </w:tcPr>
          <w:p>
            <w:pPr>
              <w:spacing w:after="0"/>
              <w:rPr>
                <w:sz w:val="12"/>
                <w:szCs w:val="12"/>
                <w:color w:val="auto"/>
              </w:rPr>
            </w:pPr>
          </w:p>
        </w:tc>
        <w:tc>
          <w:tcPr>
            <w:tcW w:w="1620" w:type="dxa"/>
            <w:vAlign w:val="bottom"/>
            <w:gridSpan w:val="8"/>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Series A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9"/>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Class A Common Stock</w:t>
            </w:r>
          </w:p>
        </w:tc>
        <w:tc>
          <w:tcPr>
            <w:tcW w:w="1640" w:type="dxa"/>
            <w:vAlign w:val="bottom"/>
            <w:gridSpan w:val="7"/>
            <w:vMerge w:val="restart"/>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Class B Common Stock</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2840" w:type="dxa"/>
            <w:vAlign w:val="bottom"/>
          </w:tcPr>
          <w:p>
            <w:pPr>
              <w:spacing w:after="0"/>
              <w:rPr>
                <w:sz w:val="8"/>
                <w:szCs w:val="8"/>
                <w:color w:val="auto"/>
              </w:rPr>
            </w:pPr>
          </w:p>
        </w:tc>
        <w:tc>
          <w:tcPr>
            <w:tcW w:w="1620" w:type="dxa"/>
            <w:vAlign w:val="bottom"/>
            <w:gridSpan w:val="8"/>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9"/>
            <w:vMerge w:val="continue"/>
          </w:tcPr>
          <w:p>
            <w:pPr>
              <w:spacing w:after="0"/>
              <w:rPr>
                <w:sz w:val="8"/>
                <w:szCs w:val="8"/>
                <w:color w:val="auto"/>
              </w:rPr>
            </w:pPr>
          </w:p>
        </w:tc>
        <w:tc>
          <w:tcPr>
            <w:tcW w:w="164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restart"/>
          </w:tcPr>
          <w:p>
            <w:pPr>
              <w:jc w:val="center"/>
              <w:ind w:right="180"/>
              <w:spacing w:after="0" w:line="106"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vMerge w:val="restart"/>
          </w:tcPr>
          <w:p>
            <w:pPr>
              <w:jc w:val="center"/>
              <w:ind w:right="160"/>
              <w:spacing w:after="0" w:line="106" w:lineRule="exact"/>
              <w:rPr>
                <w:sz w:val="20"/>
                <w:szCs w:val="20"/>
                <w:color w:val="auto"/>
              </w:rPr>
            </w:pPr>
            <w:r>
              <w:rPr>
                <w:rFonts w:ascii="Times New Roman" w:cs="Times New Roman" w:eastAsia="Times New Roman" w:hAnsi="Times New Roman"/>
                <w:sz w:val="12"/>
                <w:szCs w:val="12"/>
                <w:b w:val="1"/>
                <w:bCs w:val="1"/>
                <w:color w:val="auto"/>
              </w:rPr>
              <w:t>Other</w:t>
            </w: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8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160" w:type="dxa"/>
            <w:vAlign w:val="bottom"/>
          </w:tcPr>
          <w:p>
            <w:pPr>
              <w:spacing w:after="0"/>
              <w:rPr>
                <w:sz w:val="15"/>
                <w:szCs w:val="15"/>
                <w:color w:val="auto"/>
              </w:rPr>
            </w:pPr>
          </w:p>
        </w:tc>
        <w:tc>
          <w:tcPr>
            <w:tcW w:w="580" w:type="dxa"/>
            <w:vAlign w:val="bottom"/>
          </w:tcPr>
          <w:p>
            <w:pPr>
              <w:jc w:val="right"/>
              <w:ind w:right="17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0"/>
        </w:trPr>
        <w:tc>
          <w:tcPr>
            <w:tcW w:w="2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December 31, 2023</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475,005</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14,187</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216,943,349</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37,485,408</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606,135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(592,379)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28,168</w:t>
            </w:r>
          </w:p>
        </w:tc>
        <w:tc>
          <w:tcPr>
            <w:tcW w:w="0" w:type="dxa"/>
            <w:vAlign w:val="bottom"/>
          </w:tcPr>
          <w:p>
            <w:pPr>
              <w:spacing w:after="0"/>
              <w:rPr>
                <w:sz w:val="1"/>
                <w:szCs w:val="1"/>
                <w:color w:val="auto"/>
              </w:rPr>
            </w:pPr>
          </w:p>
        </w:tc>
      </w:tr>
      <w:tr>
        <w:trPr>
          <w:trHeight w:val="154"/>
        </w:trPr>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under the Sales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Agreement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37,907,219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133,835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133,839</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and deferred</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equity consideration upon acquisition of SYNQ3</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5,755,910</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10,294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10,295</w:t>
            </w:r>
          </w:p>
        </w:tc>
        <w:tc>
          <w:tcPr>
            <w:tcW w:w="0" w:type="dxa"/>
            <w:vAlign w:val="bottom"/>
          </w:tcPr>
          <w:p>
            <w:pPr>
              <w:spacing w:after="0"/>
              <w:rPr>
                <w:sz w:val="1"/>
                <w:szCs w:val="1"/>
                <w:color w:val="auto"/>
              </w:rPr>
            </w:pPr>
          </w:p>
        </w:tc>
      </w:tr>
      <w:tr>
        <w:trPr>
          <w:trHeight w:val="154"/>
        </w:trPr>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restricted shares of Class A common</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stock, subject to repurchase in connection with</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acquisition of SYNQ3</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2,033,156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for equity</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incentive awards</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5,092,348</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9,171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9,171</w:t>
            </w:r>
          </w:p>
        </w:tc>
        <w:tc>
          <w:tcPr>
            <w:tcW w:w="0" w:type="dxa"/>
            <w:vAlign w:val="bottom"/>
          </w:tcPr>
          <w:p>
            <w:pPr>
              <w:spacing w:after="0"/>
              <w:rPr>
                <w:sz w:val="1"/>
                <w:szCs w:val="1"/>
                <w:color w:val="auto"/>
              </w:rPr>
            </w:pPr>
          </w:p>
        </w:tc>
      </w:tr>
      <w:tr>
        <w:trPr>
          <w:trHeight w:val="154"/>
        </w:trPr>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upon conversion</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of Class B common shares</w:t>
            </w:r>
          </w:p>
        </w:tc>
        <w:tc>
          <w:tcPr>
            <w:tcW w:w="1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4,750,000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(4,750,000)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upon conversion</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of Series A Preferred Stock</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(404,764)</w:t>
            </w: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(12,090)</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14,070,854</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12,089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in connection</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with the cashless exercise of warrants</w:t>
            </w:r>
          </w:p>
        </w:tc>
        <w:tc>
          <w:tcPr>
            <w:tcW w:w="1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2,269,982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6,979</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6,979</w:t>
            </w:r>
          </w:p>
        </w:tc>
        <w:tc>
          <w:tcPr>
            <w:tcW w:w="0" w:type="dxa"/>
            <w:vAlign w:val="bottom"/>
          </w:tcPr>
          <w:p>
            <w:pPr>
              <w:spacing w:after="0"/>
              <w:rPr>
                <w:sz w:val="1"/>
                <w:szCs w:val="1"/>
                <w:color w:val="auto"/>
              </w:rPr>
            </w:pPr>
          </w:p>
        </w:tc>
      </w:tr>
      <w:tr>
        <w:trPr>
          <w:trHeight w:val="168"/>
        </w:trPr>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(33,009)</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0" w:type="dxa"/>
            <w:vAlign w:val="bottom"/>
          </w:tcPr>
          <w:p>
            <w:pPr>
              <w:spacing w:after="0"/>
              <w:rPr>
                <w:sz w:val="1"/>
                <w:szCs w:val="1"/>
                <w:color w:val="auto"/>
              </w:rPr>
            </w:pPr>
          </w:p>
        </w:tc>
      </w:tr>
      <w:tr>
        <w:trPr>
          <w:trHeight w:val="162"/>
        </w:trPr>
        <w:tc>
          <w:tcPr>
            <w:tcW w:w="28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March 31, 2024</w:t>
            </w: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70,241</w:t>
            </w:r>
          </w:p>
        </w:tc>
        <w:tc>
          <w:tcPr>
            <w:tcW w:w="60" w:type="dxa"/>
            <w:vAlign w:val="bottom"/>
          </w:tcPr>
          <w:p>
            <w:pPr>
              <w:spacing w:after="0"/>
              <w:rPr>
                <w:sz w:val="14"/>
                <w:szCs w:val="14"/>
                <w:color w:val="auto"/>
              </w:rPr>
            </w:pPr>
          </w:p>
        </w:tc>
        <w:tc>
          <w:tcPr>
            <w:tcW w:w="1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2,097</w:t>
            </w:r>
          </w:p>
        </w:tc>
        <w:tc>
          <w:tcPr>
            <w:tcW w:w="80" w:type="dxa"/>
            <w:vAlign w:val="bottom"/>
          </w:tcPr>
          <w:p>
            <w:pPr>
              <w:spacing w:after="0"/>
              <w:rPr>
                <w:sz w:val="14"/>
                <w:szCs w:val="14"/>
                <w:color w:val="auto"/>
              </w:rPr>
            </w:pPr>
          </w:p>
        </w:tc>
        <w:tc>
          <w:tcPr>
            <w:tcW w:w="7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288,822,818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32,735,408</w:t>
            </w: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778,503</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(625,388)</w:t>
            </w:r>
          </w:p>
        </w:tc>
        <w:tc>
          <w:tcPr>
            <w:tcW w:w="80" w:type="dxa"/>
            <w:vAlign w:val="bottom"/>
          </w:tcPr>
          <w:p>
            <w:pPr>
              <w:spacing w:after="0"/>
              <w:rPr>
                <w:sz w:val="14"/>
                <w:szCs w:val="14"/>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235</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155,479</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gridSpan w:val="13"/>
          </w:tcPr>
          <w:p>
            <w:pPr>
              <w:ind w:left="60"/>
              <w:spacing w:after="0"/>
              <w:rPr>
                <w:sz w:val="20"/>
                <w:szCs w:val="20"/>
                <w:color w:val="auto"/>
              </w:rPr>
            </w:pPr>
            <w:r>
              <w:rPr>
                <w:rFonts w:ascii="Times New Roman" w:cs="Times New Roman" w:eastAsia="Times New Roman" w:hAnsi="Times New Roman"/>
                <w:sz w:val="12"/>
                <w:szCs w:val="12"/>
                <w:b w:val="1"/>
                <w:bCs w:val="1"/>
                <w:color w:val="auto"/>
              </w:rPr>
              <w:t>Three Months Ended March 31, 2023</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7"/>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Series A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9"/>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Class A Common Stock</w:t>
            </w:r>
          </w:p>
        </w:tc>
        <w:tc>
          <w:tcPr>
            <w:tcW w:w="1640" w:type="dxa"/>
            <w:vAlign w:val="bottom"/>
            <w:gridSpan w:val="7"/>
            <w:vMerge w:val="restart"/>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Class B Common Stock</w:t>
            </w:r>
          </w:p>
        </w:tc>
        <w:tc>
          <w:tcPr>
            <w:tcW w:w="8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gridSpan w:val="7"/>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9"/>
            <w:vMerge w:val="continue"/>
          </w:tcPr>
          <w:p>
            <w:pPr>
              <w:spacing w:after="0"/>
              <w:rPr>
                <w:sz w:val="8"/>
                <w:szCs w:val="8"/>
                <w:color w:val="auto"/>
              </w:rPr>
            </w:pPr>
          </w:p>
        </w:tc>
        <w:tc>
          <w:tcPr>
            <w:tcW w:w="164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restart"/>
          </w:tcPr>
          <w:p>
            <w:pPr>
              <w:jc w:val="center"/>
              <w:ind w:right="16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80" w:type="dxa"/>
            <w:vAlign w:val="bottom"/>
          </w:tcPr>
          <w:p>
            <w:pPr>
              <w:spacing w:after="0"/>
              <w:rPr>
                <w:sz w:val="8"/>
                <w:szCs w:val="8"/>
                <w:color w:val="auto"/>
              </w:rPr>
            </w:pPr>
          </w:p>
        </w:tc>
        <w:tc>
          <w:tcPr>
            <w:tcW w:w="900" w:type="dxa"/>
            <w:vAlign w:val="bottom"/>
            <w:gridSpan w:val="2"/>
            <w:vMerge w:val="restart"/>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960" w:type="dxa"/>
            <w:vAlign w:val="bottom"/>
            <w:gridSpan w:val="3"/>
            <w:vMerge w:val="restart"/>
          </w:tcPr>
          <w:p>
            <w:pPr>
              <w:ind w:left="2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160" w:type="dxa"/>
            <w:vAlign w:val="bottom"/>
          </w:tcPr>
          <w:p>
            <w:pPr>
              <w:spacing w:after="0"/>
              <w:rPr>
                <w:sz w:val="15"/>
                <w:szCs w:val="15"/>
                <w:color w:val="auto"/>
              </w:rPr>
            </w:pPr>
          </w:p>
        </w:tc>
        <w:tc>
          <w:tcPr>
            <w:tcW w:w="580" w:type="dxa"/>
            <w:vAlign w:val="bottom"/>
          </w:tcPr>
          <w:p>
            <w:pPr>
              <w:jc w:val="right"/>
              <w:ind w:right="17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0"/>
        </w:trPr>
        <w:tc>
          <w:tcPr>
            <w:tcW w:w="2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December 31, 2022</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160,297,664</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39,735,408</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466,857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(503,442)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(36,565)</w:t>
            </w:r>
          </w:p>
        </w:tc>
        <w:tc>
          <w:tcPr>
            <w:tcW w:w="0" w:type="dxa"/>
            <w:vAlign w:val="bottom"/>
          </w:tcPr>
          <w:p>
            <w:pPr>
              <w:spacing w:after="0"/>
              <w:rPr>
                <w:sz w:val="1"/>
                <w:szCs w:val="1"/>
                <w:color w:val="auto"/>
              </w:rPr>
            </w:pPr>
          </w:p>
        </w:tc>
      </w:tr>
      <w:tr>
        <w:trPr>
          <w:trHeight w:val="154"/>
        </w:trPr>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for equity incentive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awards</w:t>
            </w:r>
          </w:p>
        </w:tc>
        <w:tc>
          <w:tcPr>
            <w:tcW w:w="120" w:type="dxa"/>
            <w:vAlign w:val="bottom"/>
          </w:tcPr>
          <w:p>
            <w:pPr>
              <w:spacing w:after="0"/>
              <w:rPr>
                <w:sz w:val="13"/>
                <w:szCs w:val="13"/>
                <w:color w:val="auto"/>
              </w:rPr>
            </w:pP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3,468,525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2,425</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Class A common stock under the ELOC</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program</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10,948,552</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30,327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30,329</w:t>
            </w:r>
          </w:p>
        </w:tc>
        <w:tc>
          <w:tcPr>
            <w:tcW w:w="0" w:type="dxa"/>
            <w:vAlign w:val="bottom"/>
          </w:tcPr>
          <w:p>
            <w:pPr>
              <w:spacing w:after="0"/>
              <w:rPr>
                <w:sz w:val="1"/>
                <w:szCs w:val="1"/>
                <w:color w:val="auto"/>
              </w:rPr>
            </w:pPr>
          </w:p>
        </w:tc>
      </w:tr>
      <w:tr>
        <w:trPr>
          <w:trHeight w:val="168"/>
        </w:trPr>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Series A Preferred Stock</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835,011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24,942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24,942</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8,249</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8,249</w:t>
            </w:r>
          </w:p>
        </w:tc>
        <w:tc>
          <w:tcPr>
            <w:tcW w:w="0" w:type="dxa"/>
            <w:vAlign w:val="bottom"/>
          </w:tcPr>
          <w:p>
            <w:pPr>
              <w:spacing w:after="0"/>
              <w:rPr>
                <w:sz w:val="1"/>
                <w:szCs w:val="1"/>
                <w:color w:val="auto"/>
              </w:rPr>
            </w:pPr>
          </w:p>
        </w:tc>
      </w:tr>
      <w:tr>
        <w:trPr>
          <w:trHeight w:val="168"/>
        </w:trPr>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20" w:type="dxa"/>
            <w:vAlign w:val="bottom"/>
          </w:tcPr>
          <w:p>
            <w:pPr>
              <w:spacing w:after="0"/>
              <w:rPr>
                <w:sz w:val="14"/>
                <w:szCs w:val="14"/>
                <w:color w:val="auto"/>
              </w:rPr>
            </w:pP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(27,430)</w:t>
            </w:r>
          </w:p>
        </w:tc>
        <w:tc>
          <w:tcPr>
            <w:tcW w:w="0" w:type="dxa"/>
            <w:vAlign w:val="bottom"/>
          </w:tcPr>
          <w:p>
            <w:pPr>
              <w:spacing w:after="0"/>
              <w:rPr>
                <w:sz w:val="1"/>
                <w:szCs w:val="1"/>
                <w:color w:val="auto"/>
              </w:rPr>
            </w:pPr>
          </w:p>
        </w:tc>
      </w:tr>
      <w:tr>
        <w:trPr>
          <w:trHeight w:val="30"/>
        </w:trPr>
        <w:tc>
          <w:tcPr>
            <w:tcW w:w="2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as of March 31, 2023</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835,011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24,942</w:t>
            </w: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174,714,741</w:t>
            </w:r>
          </w:p>
        </w:tc>
        <w:tc>
          <w:tcPr>
            <w:tcW w:w="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39,735,408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507,858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(530,872)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1,950</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2"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1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flows used in operating activities:</w:t>
            </w: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81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bottom w:val="single" w:sz="8" w:color="CCEEFF"/>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(27,430)</w:t>
            </w:r>
          </w:p>
        </w:tc>
        <w:tc>
          <w:tcPr>
            <w:tcW w:w="0" w:type="dxa"/>
            <w:vAlign w:val="bottom"/>
          </w:tcPr>
          <w:p>
            <w:pPr>
              <w:spacing w:after="0"/>
              <w:rPr>
                <w:sz w:val="1"/>
                <w:szCs w:val="1"/>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0" w:type="dxa"/>
            <w:vAlign w:val="bottom"/>
          </w:tcPr>
          <w:p>
            <w:pPr>
              <w:spacing w:after="0"/>
              <w:rPr>
                <w:sz w:val="1"/>
                <w:szCs w:val="1"/>
                <w:color w:val="auto"/>
              </w:rPr>
            </w:pP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8,249</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change in fair value of ELOC program</w:t>
            </w:r>
          </w:p>
        </w:tc>
        <w:tc>
          <w:tcPr>
            <w:tcW w:w="9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0" w:type="dxa"/>
            <w:vAlign w:val="bottom"/>
          </w:tcPr>
          <w:p>
            <w:pPr>
              <w:spacing w:after="0"/>
              <w:rPr>
                <w:sz w:val="1"/>
                <w:szCs w:val="1"/>
                <w:color w:val="auto"/>
              </w:rPr>
            </w:pP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debt issuance cost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lease amortization</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0" w:type="dxa"/>
            <w:vAlign w:val="bottom"/>
          </w:tcPr>
          <w:p>
            <w:pPr>
              <w:spacing w:after="0"/>
              <w:rPr>
                <w:sz w:val="1"/>
                <w:szCs w:val="1"/>
                <w:color w:val="auto"/>
              </w:rPr>
            </w:pP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gain/loss from remeasurement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contingent acquisition liabilities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receivable, net</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current assets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Contract assets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non-current assets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liabilities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0" w:type="dxa"/>
            <w:vAlign w:val="bottom"/>
          </w:tcPr>
          <w:p>
            <w:pPr>
              <w:spacing w:after="0"/>
              <w:rPr>
                <w:sz w:val="1"/>
                <w:szCs w:val="1"/>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revenue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(2,603)</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1"/>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(21,948)</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(14,540)</w:t>
            </w:r>
          </w:p>
        </w:tc>
        <w:tc>
          <w:tcPr>
            <w:tcW w:w="0" w:type="dxa"/>
            <w:vAlign w:val="bottom"/>
          </w:tcPr>
          <w:p>
            <w:pPr>
              <w:spacing w:after="0"/>
              <w:rPr>
                <w:sz w:val="1"/>
                <w:szCs w:val="1"/>
                <w:color w:val="auto"/>
              </w:rPr>
            </w:pPr>
          </w:p>
        </w:tc>
      </w:tr>
      <w:tr>
        <w:trPr>
          <w:trHeight w:val="38"/>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used in investing activities:</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Acquisition of SYNQ3, net of cash acquired</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9"/>
        </w:trPr>
        <w:tc>
          <w:tcPr>
            <w:tcW w:w="81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provided by financing activities: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the issuance of Series A Preferred Stock, net of issuance costs</w:t>
            </w:r>
          </w:p>
        </w:tc>
        <w:tc>
          <w:tcPr>
            <w:tcW w:w="9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24,942</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sales of Class A common stock under the ELOC program, net of issuance costs</w:t>
            </w:r>
          </w:p>
        </w:tc>
        <w:tc>
          <w:tcPr>
            <w:tcW w:w="9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28,683</w:t>
            </w:r>
          </w:p>
        </w:tc>
        <w:tc>
          <w:tcPr>
            <w:tcW w:w="0" w:type="dxa"/>
            <w:vAlign w:val="bottom"/>
          </w:tcPr>
          <w:p>
            <w:pPr>
              <w:spacing w:after="0"/>
              <w:rPr>
                <w:sz w:val="1"/>
                <w:szCs w:val="1"/>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sales of Class A common stock under the Sales Agreement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the issuance of Class A common stock upon exercise of options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0" w:type="dxa"/>
            <w:vAlign w:val="bottom"/>
          </w:tcPr>
          <w:p>
            <w:pPr>
              <w:spacing w:after="0"/>
              <w:rPr>
                <w:sz w:val="1"/>
                <w:szCs w:val="1"/>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of financing costs associated with ELOC Program</w:t>
            </w:r>
          </w:p>
        </w:tc>
        <w:tc>
          <w:tcPr>
            <w:tcW w:w="9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of financing costs associated with the Sales Agreement</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 on notes payable</w:t>
            </w:r>
          </w:p>
        </w:tc>
        <w:tc>
          <w:tcPr>
            <w:tcW w:w="9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Payments on finance leases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81"/>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142,698</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51,641</w:t>
            </w:r>
          </w:p>
        </w:tc>
        <w:tc>
          <w:tcPr>
            <w:tcW w:w="0" w:type="dxa"/>
            <w:vAlign w:val="bottom"/>
          </w:tcPr>
          <w:p>
            <w:pPr>
              <w:spacing w:after="0"/>
              <w:rPr>
                <w:sz w:val="1"/>
                <w:szCs w:val="1"/>
                <w:color w:val="auto"/>
              </w:rPr>
            </w:pPr>
          </w:p>
        </w:tc>
      </w:tr>
      <w:tr>
        <w:trPr>
          <w:trHeight w:val="38"/>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Effects of exchange rate changes on cash</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240"/>
          </w:cols>
          <w:pgMar w:left="320" w:top="331" w:right="339" w:bottom="1440" w:gutter="0" w:footer="0" w:header="0"/>
        </w:sectPr>
      </w:pPr>
    </w:p>
    <w:p>
      <w:pPr>
        <w:ind w:left="20" w:right="3160" w:firstLine="397"/>
        <w:spacing w:after="0" w:line="365" w:lineRule="auto"/>
        <w:rPr>
          <w:sz w:val="20"/>
          <w:szCs w:val="20"/>
          <w:color w:val="auto"/>
        </w:rPr>
      </w:pPr>
      <w:r>
        <w:rPr>
          <w:rFonts w:ascii="Times New Roman" w:cs="Times New Roman" w:eastAsia="Times New Roman" w:hAnsi="Times New Roman"/>
          <w:sz w:val="14"/>
          <w:szCs w:val="14"/>
          <w:color w:val="auto"/>
        </w:rPr>
        <w:t>Net change in cash, cash equivalents, and restricted cash equivalents Cash, cash equivalents, and restricted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-169545</wp:posOffset>
            </wp:positionV>
            <wp:extent cx="7134860" cy="142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117,065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37,086</w:t>
            </w:r>
          </w:p>
        </w:tc>
      </w:tr>
      <w:tr>
        <w:trPr>
          <w:trHeight w:val="225"/>
        </w:trPr>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109,035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9,475</w:t>
            </w:r>
          </w:p>
        </w:tc>
      </w:tr>
      <w:tr>
        <w:trPr>
          <w:trHeight w:val="38"/>
        </w:trPr>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1"/>
        </w:trPr>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226,100</w:t>
            </w:r>
          </w:p>
        </w:tc>
        <w:tc>
          <w:tcPr>
            <w:tcW w:w="10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46,561</w:t>
            </w:r>
          </w:p>
        </w:tc>
      </w:tr>
      <w:tr>
        <w:trPr>
          <w:trHeight w:val="38"/>
        </w:trPr>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331" w:right="339" w:bottom="1440" w:gutter="0" w:footer="0" w:header="0"/>
          <w:type w:val="continuous"/>
        </w:sectPr>
      </w:pP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ectPr>
          <w:pgSz w:w="11900" w:h="16838" w:orient="portrait"/>
          <w:cols w:equalWidth="0" w:num="1">
            <w:col w:w="11240"/>
          </w:cols>
          <w:pgMar w:left="320" w:top="3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to amounts on the condensed consolidated balance sheets:</w:t>
            </w: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211,744</w:t>
            </w:r>
          </w:p>
        </w:tc>
        <w:tc>
          <w:tcPr>
            <w:tcW w:w="100" w:type="dxa"/>
            <w:vAlign w:val="bottom"/>
          </w:tcPr>
          <w:p>
            <w:pPr>
              <w:spacing w:after="0"/>
              <w:rPr>
                <w:sz w:val="19"/>
                <w:szCs w:val="19"/>
                <w:color w:val="auto"/>
              </w:rPr>
            </w:pPr>
          </w:p>
        </w:tc>
        <w:tc>
          <w:tcPr>
            <w:tcW w:w="54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46,331</w:t>
            </w:r>
          </w:p>
        </w:tc>
        <w:tc>
          <w:tcPr>
            <w:tcW w:w="0" w:type="dxa"/>
            <w:vAlign w:val="bottom"/>
          </w:tcPr>
          <w:p>
            <w:pPr>
              <w:spacing w:after="0"/>
              <w:rPr>
                <w:sz w:val="1"/>
                <w:szCs w:val="1"/>
                <w:color w:val="auto"/>
              </w:rPr>
            </w:pPr>
          </w:p>
        </w:tc>
      </w:tr>
      <w:tr>
        <w:trPr>
          <w:trHeight w:val="24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Non-current portion of restricted cash equivalents</w:t>
            </w: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14,356</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178"/>
        </w:trPr>
        <w:tc>
          <w:tcPr>
            <w:tcW w:w="8180" w:type="dxa"/>
            <w:vAlign w:val="bottom"/>
          </w:tcPr>
          <w:p>
            <w:pPr>
              <w:ind w:left="500"/>
              <w:spacing w:after="0" w:line="178" w:lineRule="exact"/>
              <w:rPr>
                <w:sz w:val="20"/>
                <w:szCs w:val="20"/>
                <w:color w:val="auto"/>
              </w:rPr>
            </w:pPr>
            <w:r>
              <w:rPr>
                <w:rFonts w:ascii="Times New Roman" w:cs="Times New Roman" w:eastAsia="Times New Roman" w:hAnsi="Times New Roman"/>
                <w:sz w:val="16"/>
                <w:szCs w:val="16"/>
                <w:color w:val="auto"/>
              </w:rPr>
              <w:t>Total cash, cash equivalents, and restricted cash equivalents shown in the condensed consolidated statements of cash</w:t>
            </w: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1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flows</w:t>
            </w:r>
          </w:p>
        </w:tc>
        <w:tc>
          <w:tcPr>
            <w:tcW w:w="50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226,100</w:t>
            </w:r>
          </w:p>
        </w:tc>
        <w:tc>
          <w:tcPr>
            <w:tcW w:w="100" w:type="dxa"/>
            <w:vAlign w:val="bottom"/>
          </w:tcPr>
          <w:p>
            <w:pPr>
              <w:spacing w:after="0"/>
              <w:rPr>
                <w:sz w:val="18"/>
                <w:szCs w:val="18"/>
                <w:color w:val="auto"/>
              </w:rPr>
            </w:pPr>
          </w:p>
        </w:tc>
        <w:tc>
          <w:tcPr>
            <w:tcW w:w="540" w:type="dxa"/>
            <w:vAlign w:val="bottom"/>
            <w:vMerge w:val="restart"/>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46,561</w:t>
            </w:r>
          </w:p>
        </w:tc>
        <w:tc>
          <w:tcPr>
            <w:tcW w:w="0" w:type="dxa"/>
            <w:vAlign w:val="bottom"/>
          </w:tcPr>
          <w:p>
            <w:pPr>
              <w:spacing w:after="0"/>
              <w:rPr>
                <w:sz w:val="1"/>
                <w:szCs w:val="1"/>
                <w:color w:val="auto"/>
              </w:rPr>
            </w:pPr>
          </w:p>
        </w:tc>
      </w:tr>
      <w:tr>
        <w:trPr>
          <w:trHeight w:val="69"/>
        </w:trPr>
        <w:tc>
          <w:tcPr>
            <w:tcW w:w="8180" w:type="dxa"/>
            <w:vAlign w:val="bottom"/>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8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paid for interest</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Conversion of Series A Preferred Stock to Class A common stock</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Class A Common Stock to settle commitment shares related to the ELOC program</w:t>
            </w: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Unpaid issuance costs in connection with the ELOC program</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offering costs reclassified to additional paid-in capital</w:t>
            </w: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Property and equipment acquired under finance leases or debt</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Fair value of Class A common stock and deferred equity consideration issued for business combination</w:t>
            </w: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10,295</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Fair value of deferred cash consideration</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Fair value of contingent earnout consideration</w:t>
            </w: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Fair value of contingent holdback consideration</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Unpaid deferred offering cost</w:t>
            </w: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Nature of Operations</w:t>
      </w:r>
    </w:p>
    <w:p>
      <w:pPr>
        <w:spacing w:after="0" w:line="2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SoundHound AI, Inc. (“we," "us," "our,"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SoundHound's voice AI platform enables product creators to develop their own voice interfaces with their customers. The SoundHound Chat AI voice assistant allows businesses and brands to provide a next-generation voice experience for their users, seamlessly integrating Generative AI and a mix of real-time information domains. Houndify is an open-access platform that allows developers to leverage SoundHound’s Voice AI technology. The Company has developed a range of proprietary technologies on our voice AI platform, including Speech-to-Meaning, Deep Meaning Understanding, Collective AI, Dynamic Interaction and SoundHound Chat AI. The SoundHound music app allows customers to identify and play songs by singing or humming into the smartphone’s microphone, or by identifying the sound playing in the background from external sources. SoundHound also provides edge, cloud and hybrid (Edge+Cloud) connectivity solutions that allow brands to optimize their voice-enabled products and devices with options ranging from fully-embedded to exclusively cloud-connected.</w:t>
      </w:r>
    </w:p>
    <w:p>
      <w:pPr>
        <w:spacing w:after="0" w:line="19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January 3, 2024, the Company completed the acquisition of Synq3, Inc. ("SYNQ3") in a cash and stock transaction. Refer to Note 3 for additional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Going Concern</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Since inception, the Company has generated recurring losses as well as negative operating cash flows and reported a net loss of $33.0 million for the three months ended March 31, 2024. As of March 31, 2024, the Company had an accumulated deficit of $625.4 million. Management expects to continue to incur additional substantial losses in the foreseeable future. The Company has historically funded its operations primarily through equity or debt financings.</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Total unrestricted cash and cash equivalents on hand as of March 31, 2024 was $211.7 million. Although the Company has incurred recurring losses each year since its inception, the Company expects it will be able to fund its operations for at least the next twelve months from the date these condensed consolidated financial statements are issued. The Company may seek funding through additional debt or equity financing arrangements, implement incremental expense reduction measures or a combination thereof to continue financing its operations. Refer to Note 19 for information regarding the Company's equity financing activity subsequent to March 31, 2024. The Company's condensed consolidated financial statements have been prepared assuming the Company will continue as a going concern, which contemplates, among other things, the realization of assets and satisfaction of liabilities in the normal course of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Risk and Uncertainties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U.S. and global markets are experiencing volatility and disruption following the escalation of geopolitical tensions and the start of the military conflict between Russia and Ukraine and the Israel-Hamas war. Although our business has not been materially impacted by the Russia-Ukraine conflict or the Israel-Hamas war, it is impossible to predict the extent to which our operations, or those of our customers’ suppliers and manufacturers, will be impacted in the short and long-term, or the ways in which the conflict may impact our business. The extent and duration of the military action, sanctions and resulting market disruptions are impossible to predict but could be substantial.</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(a) condensed consolidated balance sheet as of December 31, 2023, which has been derived from audited financial statements as filed in the Company’s Form 10-K, which was originally filed with the Securities and Exchange Commission ("SEC") on March 1, 2024 and (b) the unaudited interim condensed consolidated financial statements have been prepared in accordance with U.S. generally accepted accounting principles (“U.S. GAAP”) and applicable rules and regulations of the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condensed consolidated financial statements have been prepared on a basis consistent with the audited consolidated financial statements and in the opinion of management, all adjustments, consisting of normal recurring adjustments, considered necessary for a fair statement of its financial position have been included. The results of operations for the three months ended March 31, 2024 are not necessarily indicative of the results for the fiscal year ending December 31, 2024 or any future interim period.</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Accounting Policies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With the exception of the Significant accounting policies related to the SYNQ3 Acquisition (as defined in Note 3) which are disclosed below, there have been no material changes to our significant accounting policies disclosed in Note 2 - Basis of Presentation and Summary of Significant Accounting Policies of the Notes to the Consolidated Financial Statements included in our Annual Report on Form 10-K for the fiscal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Reclassification</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Certain accounts in the prior year condensed consolidated financial statements were reclassified to conform with the current year presentation. The reclassification had an immaterial impact on our consolidated balance sheet in the prior year period.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2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credit losses, accrued liabilities, derivative and warrant liabilities, calculation of the incremental borrowing rate, financial instruments recorded at fair value on a recurring basis, the accounting for business combinations and allocating purchase price, valuation and estimating the useful life of identifiable intangible assets, probability of achievement of revenue estimates related to contingent earnout consideration and performance-based equity awards,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has determined that the Chief Executive Officer is its chief operating decision maker. The Company’s Chief Executive Officer reviews discrete financial information on a consolidated basis for purposes of allocating resources and evaluating financial performance. Accordingly, the Company has determined that it operates as a single reportable segment.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Concentrations of Credit Risk and Other Risks and Uncertainties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and cash equivalents, the balances of which frequently exceed federally insured limits. The Company regularly monitors its credit risk exposure and takes steps to mitigate the likelihood of these exposures resulting in actual loss.</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March 31, 2024, accounts receivable balances due from Customer A, B, and C accounted for 16%, 14% and 17% of the Company’s accounts receivable balance, respectively. As of December 31, 2023, accounts receivable balances due from Customer A, C, and D accounted for 40%, 32% and 15% of the Company’s accounts receivable balance, respectively.</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March 31, 2024, unbilled receivables from Customer A, C and F accounted for 31%, 23% and 32% of the Company’s unbilled receivables balance, respectively. As of December 31, 2023, unbilled receivables from Customer A, B and C accounted for 59%, 16% and 11% of the Company’s unbilled receivables balance, respectively.</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2024, Customer A and C accounted for 26% and 22% of the revenue, respectively. For the three months ended March 31, 2023, Customer A, B, C and E accounted for 25%, 27%, 11% and 14% of revenue,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 and Contingent Consideration</w:t>
      </w:r>
    </w:p>
    <w:p>
      <w:pPr>
        <w:spacing w:after="0" w:line="23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The Company allocates the fair value of the purchase price of an acquisition to the assets acquired and liabilities assumed, based on their estimated fair values as of the date of acquisition. The excess of the fair value of the purchase price over the fair values of these net tangible and intangible assets acquired is recorded as goodwill. Management’s estimates of fair value are based upon assumptions believed to be reasonable, but the estimates and assumptions are inherently uncertain and subject to refinement. The estimates and assumptions used in valuing intangible assets include, but are not limited to, the amount and timing of projected future cash flows, discount rate used to determine the present value of these cash flows and asset lives. These estimates are inherently uncertain and, therefore, actual results may differ from the estimates made. As a result, during the measurement period of up to one year from the acquisition date, the Company may make adjustments to the assets acquired and liabilities assumed with the corresponding offset to goodwill. Upon the measurement period's conclusion or final determination of the fair value of the purchase price of an acquisition, whichever comes first, any subsequent adjustments are recorded to our condensed consolidated statements of operations. Acquisition-related expenses are recognized separately from the business combination and expensed as incurred.</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business combinations include contingent consideration arrangements, which are generally based on achievement of future financial performance or future events. If it is determined the contingent consideration arrangement is not compensatory, the Company estimates fair value of contingent consideration payments as part of the initial purchase price and records the estimated fair value of contingent consideration as a liability in the condensed consolidated balance sheet. The Company reviews and assesses the estimated fair value of contingent consideration each reporting period, and the updated fair value could differ materially from the initial estimates. Adjustments to estimated fair value related to changes in fair value are reported as change in fair value of contingent acquisition liabilities in our condensed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Goodwill</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assets acquired. Goodwill is not amortized but tested annually for impairment or when indicators of impairment are present. The test for goodwill impairment involves a qualitative assessment of impairment indicators. If indicators are present, a quantitative test of impairment is performed.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The Company's policy is to review goodwill for impairment annually on October 1st unless a triggering event requires an analysis sooner. There was no goodwill impairment for the three months ended March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Intangible Assets with Definite Lives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intangible assets consist principally of developed technology, customer relationships, tradename, and conversation data. The Company assesses the appropriate method of amortization of the intangible assets that reflects the pattern in which the economic benefits of the intangible assets are consumed. The Company determined that a straight-line method of amortization was appropriate for its intangible assets. The remaining useful lives of long-lived assets are re-assessed periodically at the asset group level for any events and circumstances that may change the future cash flows expected to be generated from the long-lived asset or asset group.</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Intangible assets with definite lives are tested for impairment whenever events or changes in circumstances indicate the carrying value of a specific asset or asset group may not be recoverable. We assess the recoverability of intangible assets with definite lives at the asset group level. Asset groups are determined based upon the lowest level for which identifiable cash flows are largely independent of the cash flows of other assets and liabilities. For the purpose of the recoverability test, we compare the total undiscounted future cash flows from the use and disposition of the assets with its net carrying amount. When the carrying value of the asset group exceeds the undiscounted future cash flows, the asset group is deemed to be impaired. The amount of the impairment loss represents the excess of the asset or asset group’s carrying value over its estimated fair value, which is generally determined based upon the present value of estimated future pre-tax cash flows that a market participant would expect from use and disposition of the long-lived asset or asset group. There were no intangible asset impairments in any of the periods presented.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 — Not Yet Adopted</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expands disclosures about a public business entity's reportable segments and provides for more detailed information about a reportable segment's expenses. This guidance is effective for fiscal years beginning after December 15, 2023, and interim periods within fiscal years beginning after December 15, 2024, and requires retrospective application to all prior periods presented in the financial statements. Early adoption is permitted. Preliminarily, the Company will have increased disclosure requirements for its single reportable segment related to its significant segment expenses as well as additional information on its Chief Operating Decision Maker (“CODM”) and its use of reported measures. The Company will continue to evaluate this ASU to determine its impact on disclosures.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Accounting Standards Update No. 2023-09, which requires more detailed income tax disclosures. The guidance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fiscal years beginning after December 15, 2024, with early adoption permitted. The Company is currently evaluating the impact that the updated standard will have on the financial statement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w:t>
      </w:r>
    </w:p>
    <w:p>
      <w:pPr>
        <w:spacing w:after="0" w:line="2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January 3, 2024 (the "Closing Date"), the Company acquired all of the issued and outstanding equity of SYNQ3, a provider of voice AI and other technology solutions to the restaurant industry, for total preliminary purchase consideration of $17.0 million (the “SYNQ3 Acquisition”). The Company’s acquisition of SYNQ3 is expected to expand its AI customer service solutions and create a Voice AI provider for restaurants. The acquisition is expected to significantly extend the Company's market reach and accelerate the deployment of generative AI capabilities to the industry.</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total preliminary purchase consideration includes $3.9 million in cash paid and 5,755,910 in shares of the Company’s Class A Common Stock issued as of the Closing Date. The Company has also withheld purchase consideration of $0.5 million in cash and 1,179,514 shares of the Company’s Class A Common Stock, subject to customary net working capital adjustments, to partially secure the indemnification obligations of SYNQ3's former stockholders under the merger agreement and agreed to pay up to $0.8 million in cash and 1,434,936 in shares of the Company’s Class A Common Stock to certain former stockholders of SYNQ3 based upon the achievement of specified future milestones. The Company also issued 2,033,156 restricted shares of the Company’s Class A Common Stock subject to time and performance-based vesting conditions at the Closing Date.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Holdback</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$0.5 million in cash and 1,179,514 shares of the Company's Class A Common Stock is being withheld for a period of 15 months (the "Holdback Amount"). The Company determined that there are two components to the Holdback Amount related to deferred consideration and contingent consideration, each comprised of cash and shares.</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deferred cash holdback consideration of $0.1 million was recorded within other non-current liabilities at present value and the deferred share holdback consideration of 361,145 shares of the Company's Class A Common Stock was recorded within stockholders’ equity in the amount of $0.6 million based on the fair value of the Company's Class A Common Stock as of the Closing Date (the "Deferred Consideration").</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contingent cash and share holdback consideration to be issued is variable ("Contingent Holdback Consideration"). Final amounts to be issued will be reduced based upon future actions and settlements with third parties to resolve assumed contingent sales tax liabilities in connection with the SYNQ3 Acquisition. The Company accounted for the Contingent Holdback Consideration as a liability within contingent acquisition liabilities on the condensed consolidated balance sheet. As of the Closing Date, the Contingent Holdback Consideration was estimated to be $1.0 million in aggregate and to be settled in $0.2 million cash and the remainder in shares of the Company’s Class A Common Stock. The Contingent Holdback Consideration will be subsequently remeasured at each reporting date with changes in fair value recognized as a component of operating expense on the Company’s condensed consolidated statement of operations and comprehensive loss. For the three months ended March 31, 2024, the Company recognized a $1.6 million loss related to the Contingent Holdback Consideration. See Note 17 to our unaudited condensed consolidated financial statements included within this report for more information on the fair value measurement of shares associated with the holdback.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w:t>
      </w:r>
    </w:p>
    <w:p>
      <w:pPr>
        <w:spacing w:after="0" w:line="2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Company also agreed to pay in aggregate up to $0.8 million in cash and 1,434,936 in shares of Class A Common Stock, to certain stockholders of SYNQ3 based on tiered annual revenue targets for each fiscal year 2024, 2025 and 2026 (the “Contingent Earnout Consideration”). The Company accounted for the Contingent Earnout Consideration as a liability within contingent acquisition liabilities on the Company's condensed consolidated balance sheet and will subsequently remeasure the liability at each reporting date with changes in fair value recognized as a component of operating expense in the Company’s condensed consolidated statement of operations and comprehensive loss. As of the Closing Date, the Contingent Earnout Consideration was estimated to be $1.7 million in aggregate and to be settled in $0.2 million cash and the remainder in shares of the Company’s Class A Common Stock. For the three months ended March 31, 2024, the Company recognized a $2.6 million loss related to the Contingent Earnout Consideration, reflected in the change in fair value of contingent acquisition liabilities in the condensed consolidated statement of operations and comprehensive loss. See Note 17 to our unaudited condensed consolidated financial statements included within this report for more information on the fair value measurement of Contingent Earnout Consideration.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2,033,156 restricted shares of the Company's Class A Common Stock issued at the Closing Date to certain continuing employees of SYNQ3 subject to time and performance-based vesting conditions was determined to be a separate transaction from the SYNQ3 Acquisition and therefore is excluded from purchase consideration. See Note 13 to our unaudited condensed consolidated financial statements included within this report for more information on stock-based awards issued in connection with the SYNQ3 Acquisition.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Preliminary purchase price allocation</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preliminary purchase price allocation was performed as of January 3, 2024 and allocated to the assets acquired and liabilities assumed based on their respective fair values, as follows (in thousands):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r>
      <w:tr>
        <w:trPr>
          <w:trHeight w:val="23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consideration</w:t>
            </w:r>
          </w:p>
        </w:tc>
        <w:tc>
          <w:tcPr>
            <w:tcW w:w="9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w:t>
            </w:r>
          </w:p>
        </w:tc>
      </w:tr>
      <w:tr>
        <w:trPr>
          <w:trHeight w:val="26"/>
        </w:trPr>
        <w:tc>
          <w:tcPr>
            <w:tcW w:w="8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8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cash consideration</w:t>
            </w:r>
          </w:p>
        </w:tc>
        <w:tc>
          <w:tcPr>
            <w:tcW w:w="9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equity consideration</w:t>
            </w:r>
          </w:p>
        </w:tc>
        <w:tc>
          <w:tcPr>
            <w:tcW w:w="9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6"/>
        </w:trPr>
        <w:tc>
          <w:tcPr>
            <w:tcW w:w="8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8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9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3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holdback consideration</w:t>
            </w:r>
          </w:p>
        </w:tc>
        <w:tc>
          <w:tcPr>
            <w:tcW w:w="9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6"/>
        </w:trPr>
        <w:tc>
          <w:tcPr>
            <w:tcW w:w="89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8"/>
        </w:trPr>
        <w:tc>
          <w:tcPr>
            <w:tcW w:w="8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price</w:t>
            </w:r>
          </w:p>
        </w:tc>
        <w:tc>
          <w:tcPr>
            <w:tcW w:w="9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17,005</w:t>
            </w:r>
          </w:p>
        </w:tc>
      </w:tr>
      <w:tr>
        <w:trPr>
          <w:trHeight w:val="265"/>
        </w:trPr>
        <w:tc>
          <w:tcPr>
            <w:tcW w:w="8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5"/>
        </w:trPr>
        <w:tc>
          <w:tcPr>
            <w:tcW w:w="8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9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0"/>
        </w:trPr>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9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5"/>
        </w:trPr>
        <w:tc>
          <w:tcPr>
            <w:tcW w:w="8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8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0"/>
        </w:trPr>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9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
        </w:trPr>
        <w:tc>
          <w:tcPr>
            <w:tcW w:w="8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5"/>
        </w:trPr>
        <w:tc>
          <w:tcPr>
            <w:tcW w:w="8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9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w:t>
            </w:r>
          </w:p>
        </w:tc>
      </w:tr>
      <w:tr>
        <w:trPr>
          <w:trHeight w:val="233"/>
        </w:trPr>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identified assets acquired</w:t>
            </w:r>
          </w:p>
        </w:tc>
        <w:tc>
          <w:tcPr>
            <w:tcW w:w="9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14,498</w:t>
            </w:r>
          </w:p>
        </w:tc>
      </w:tr>
      <w:tr>
        <w:trPr>
          <w:trHeight w:val="25"/>
        </w:trPr>
        <w:tc>
          <w:tcPr>
            <w:tcW w:w="8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5"/>
        </w:trPr>
        <w:tc>
          <w:tcPr>
            <w:tcW w:w="89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0"/>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9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
        </w:trPr>
        <w:tc>
          <w:tcPr>
            <w:tcW w:w="8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8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40"/>
        </w:trPr>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9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5"/>
        </w:trPr>
        <w:tc>
          <w:tcPr>
            <w:tcW w:w="8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8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40"/>
        </w:trPr>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5"/>
        </w:trPr>
        <w:tc>
          <w:tcPr>
            <w:tcW w:w="8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5"/>
        </w:trPr>
        <w:tc>
          <w:tcPr>
            <w:tcW w:w="8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liability</w:t>
            </w:r>
          </w:p>
        </w:tc>
        <w:tc>
          <w:tcPr>
            <w:tcW w:w="9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33"/>
        </w:trPr>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9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w:t>
            </w:r>
          </w:p>
        </w:tc>
      </w:tr>
      <w:tr>
        <w:trPr>
          <w:trHeight w:val="25"/>
        </w:trPr>
        <w:tc>
          <w:tcPr>
            <w:tcW w:w="89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5"/>
        </w:trPr>
        <w:tc>
          <w:tcPr>
            <w:tcW w:w="89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65"/>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11,245</w:t>
            </w:r>
          </w:p>
        </w:tc>
      </w:tr>
      <w:tr>
        <w:trPr>
          <w:trHeight w:val="20"/>
        </w:trPr>
        <w:tc>
          <w:tcPr>
            <w:tcW w:w="89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83"/>
        </w:trPr>
        <w:tc>
          <w:tcPr>
            <w:tcW w:w="8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acquired on acquisition</w:t>
            </w: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recognized includes synergies expected to be achieved from the operations of the combined company and intangible assets that do not qualify for separate recognition. Expected synergies include both increased revenue opportunities and the cost savings from the planned integration of platform infrastructure, facilities, personnel, and systems. The transaction is considered a non-taxable business combination, and the goodwill is not deductible for tax purposes.</w:t>
      </w:r>
    </w:p>
    <w:p>
      <w:pPr>
        <w:spacing w:after="0" w:line="19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preliminary purchase price allocation has not been finalized as of March 31, 2024 primarily due to the final assessment of the fair values of the intangible assets, contingent sales tax liability assumed, and fair value of the contingent acquisition liabilities. The fair value estimates of assets acquired and liabilities assumed is pending the completion of various items, including obtaining further information regarding the identification and valuation of all assets acquired and liabilities assumed. Any adjustments to the estimates of purchase price allocation will be made in the periods in which the adjustments are determined, and the cumulative effect of such adjustments will be calculated as if the adjustments had been completed as of the acquisition date. The Company expects to finalize the purchase price allocation within 12 months from the acquisition 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323"/>
        </w:rPr>
        <w:t xml:space="preserve">The following table summarizes the preliminary fair values of the identifiable intangible assets acquired </w:t>
      </w:r>
      <w:r>
        <w:rPr>
          <w:rFonts w:ascii="Times New Roman" w:cs="Times New Roman" w:eastAsia="Times New Roman" w:hAnsi="Times New Roman"/>
          <w:sz w:val="18"/>
          <w:szCs w:val="18"/>
          <w:color w:val="000000"/>
        </w:rPr>
        <w:t>(in thousands)</w:t>
      </w:r>
      <w:r>
        <w:rPr>
          <w:rFonts w:ascii="Times New Roman" w:cs="Times New Roman" w:eastAsia="Times New Roman" w:hAnsi="Times New Roman"/>
          <w:sz w:val="18"/>
          <w:szCs w:val="18"/>
          <w:color w:val="232323"/>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740" w:type="dxa"/>
            <w:vAlign w:val="bottom"/>
            <w:shd w:val="clear" w:color="auto" w:fill="CCEEFF"/>
          </w:tcPr>
          <w:p>
            <w:pPr>
              <w:spacing w:after="0"/>
              <w:rPr>
                <w:sz w:val="23"/>
                <w:szCs w:val="23"/>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Useful life</w:t>
            </w:r>
          </w:p>
        </w:tc>
        <w:tc>
          <w:tcPr>
            <w:tcW w:w="220" w:type="dxa"/>
            <w:vAlign w:val="bottom"/>
            <w:shd w:val="clear" w:color="auto" w:fill="CCEEFF"/>
          </w:tcPr>
          <w:p>
            <w:pPr>
              <w:spacing w:after="0"/>
              <w:rPr>
                <w:sz w:val="23"/>
                <w:szCs w:val="23"/>
                <w:color w:val="auto"/>
              </w:rPr>
            </w:pPr>
          </w:p>
        </w:tc>
        <w:tc>
          <w:tcPr>
            <w:tcW w:w="21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Preliminary fair value</w:t>
            </w:r>
          </w:p>
        </w:tc>
      </w:tr>
      <w:tr>
        <w:trPr>
          <w:trHeight w:val="24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20" w:type="dxa"/>
            <w:vAlign w:val="bottom"/>
          </w:tcPr>
          <w:p>
            <w:pPr>
              <w:spacing w:after="0"/>
              <w:rPr>
                <w:sz w:val="20"/>
                <w:szCs w:val="20"/>
                <w:color w:val="auto"/>
              </w:rPr>
            </w:pPr>
          </w:p>
        </w:tc>
        <w:tc>
          <w:tcPr>
            <w:tcW w:w="210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at acquisition</w:t>
            </w:r>
          </w:p>
        </w:tc>
      </w:tr>
      <w:tr>
        <w:trPr>
          <w:trHeight w:val="25"/>
        </w:trPr>
        <w:tc>
          <w:tcPr>
            <w:tcW w:w="67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8"/>
        </w:trPr>
        <w:tc>
          <w:tcPr>
            <w:tcW w:w="6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Developed technology</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r>
      <w:tr>
        <w:trPr>
          <w:trHeight w:val="240"/>
        </w:trPr>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relationships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22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r>
      <w:tr>
        <w:trPr>
          <w:trHeight w:val="25"/>
        </w:trPr>
        <w:tc>
          <w:tcPr>
            <w:tcW w:w="6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5"/>
        </w:trPr>
        <w:tc>
          <w:tcPr>
            <w:tcW w:w="6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Tradename</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2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40"/>
        </w:trPr>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Conversation data</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22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5"/>
        </w:trPr>
        <w:tc>
          <w:tcPr>
            <w:tcW w:w="67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83"/>
        </w:trPr>
        <w:tc>
          <w:tcPr>
            <w:tcW w:w="674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incurred $1.3 million in acquisition related expenses, of which $0.2 million was incurred during the three months ended March 31, 2024 and recorded as general and administration expenses in its condensed consolidated statements of operations and comprehensive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a condition of the SYNQ3 Acquisition, the Company additionally granted certain employees awards with future vesting conditions. As a result, the Company determined that these awards should be accounted for separately from the acquisition and therefore are excluded from purchase consideration. See Note 13 to our unaudited condensed consolidated financial statements included within this report for more information on these awards.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2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financial results of SYNQ3 are included in these unaudited condensed consolidated financial statements from the date of the acquisition. The acquired business contributed revenue of $3.0 million and net loss of $1.6 million to the Company for the period from January 3, 2024 to March 31, 2024.</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includes unaudited pro forma financial information that presents combined results of the Company as if the business combination was completed on January 1, 2023, the beginning of the comparable prior annual reporting period.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56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2360" w:type="dxa"/>
            <w:vAlign w:val="bottom"/>
            <w:tcBorders>
              <w:bottom w:val="single" w:sz="8" w:color="auto"/>
            </w:tcBorders>
            <w:shd w:val="clear" w:color="auto" w:fill="CCEEFF"/>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8"/>
              </w:rPr>
              <w:t>Unaudited</w:t>
            </w:r>
          </w:p>
        </w:tc>
      </w:tr>
      <w:tr>
        <w:trPr>
          <w:trHeight w:val="239"/>
        </w:trPr>
        <w:tc>
          <w:tcPr>
            <w:tcW w:w="8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r>
      <w:tr>
        <w:trPr>
          <w:trHeight w:val="25"/>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58"/>
        </w:trPr>
        <w:tc>
          <w:tcPr>
            <w:tcW w:w="85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7"/>
              </w:rPr>
              <w:t>March 31, 2023</w:t>
            </w:r>
          </w:p>
        </w:tc>
      </w:tr>
      <w:tr>
        <w:trPr>
          <w:trHeight w:val="23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10,805</w:t>
            </w:r>
          </w:p>
        </w:tc>
      </w:tr>
      <w:tr>
        <w:trPr>
          <w:trHeight w:val="25"/>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4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SoundHound AI, Inc.</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(35,247)</w:t>
            </w:r>
          </w:p>
        </w:tc>
      </w:tr>
      <w:tr>
        <w:trPr>
          <w:trHeight w:val="25"/>
        </w:trPr>
        <w:tc>
          <w:tcPr>
            <w:tcW w:w="8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r>
    </w:tbl>
    <w:p>
      <w:pPr>
        <w:spacing w:after="0" w:line="2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unaudited pro forma financial information includes the combined historical operating results of the Company and SYNQ3 prior to the acquisition, with adjustments to give effect for the SYNQ3 Acquisition and related events. Pro forma adjustments have been made to reflect the incremental intangible asset amortization to be incurred based on the fair values and useful lives of each identifiable intangible asset, incremental stock-based compensation related to inducement equity awards, incremental compensation related to amended severance agreements, incremental transaction costs related to the acquisition, change in fair value of contingent acquisition liabilities, elimination of interest expense related to SYNQ3’s previously outstanding debt, elimination of amortization expense related to SYNQ3's previously recognized goodwill, and the related tax effects of pro forma adjustments for the period. These unaudited pro forma results are presented for informational purpose only and are not necessarily indicative of what the actual results of operations of the combined</w:t>
      </w:r>
    </w:p>
    <w:p>
      <w:pPr>
        <w:spacing w:after="0" w:line="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company would have been if the acquisition had occurred at the beginning of the period presented, nor are they indicative of future results of operations. The unaudited pro forma results are based on the preliminary purchase price allocation and will be updated to reflect the final amounts as the allocation is finalized during the measurement period.</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did not have any material nonrecurring pro forma adjustments directly attributable to the business combination included in the reported pro forma revenue and earnings.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derives its revenue primarily from the following performance obligations: (1) hosted services, (2) professional services, (3) monetization, and</w:t>
      </w:r>
    </w:p>
    <w:p>
      <w:pPr>
        <w:spacing w:after="0" w:line="36" w:lineRule="exact"/>
        <w:rPr>
          <w:sz w:val="20"/>
          <w:szCs w:val="20"/>
          <w:color w:val="auto"/>
        </w:rPr>
      </w:pPr>
    </w:p>
    <w:p>
      <w:pPr>
        <w:ind w:firstLine="6"/>
        <w:spacing w:after="0" w:line="251" w:lineRule="auto"/>
        <w:tabs>
          <w:tab w:leader="none" w:pos="25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Revenues are reported net of applicable sales and use taxes that are passed through to customers. The Company applies significant judgement in identifying and evaluating any terms and conditions in contracts which impact revenue recognition.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following performance obligations in contracts with customers: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Hosted Services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Hosted services, along with non-distinct customization, integration, maintenance and support professional services, allow customers to access the Houndify platform over the contract period without taking possession of the software.</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instances where the Company concluded that the up-front services are not distinct performance obligations, revenues for these activities are recognized over the period which the hosted services are provided and is included within hosted services revenue.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derived as a result of the SYNQ3 Acquisition are categorized as hosted services revenue.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Professional Services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Revenues from distinct professional services, such as non-integrated development services, are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revenues are determined to be recognized at a point in time.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 distinct professional services determined to be recognized over-time, measuring the stage of completion of a project requires significant judgement and estimates and is based on input and output measures. During the three months ended March 31, 2024, $1.5 million of professional service revenue was recognized over time. During the three months ended March 31, 2024, there was no professional service revenue recognized at a point in time when the performance obligation was fulfilled and control of the service was transferred to the customer. During the three months ended March 31, 2023, $0.7 million of professional service revenue was recognized over time, with the remaining $0.9 million recognized at a point in time when the performance obligation was fulfilled and control of the service was transferred to the customer.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Monetization</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Licensing</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licenses voice solutions that are embedded in customer’s products. Licensing revenues are a distinct performance obligation that is recognized when control is transferred to the customer, which is at a point in time for non-customized solutions. For licenses with non-distinct customized solutions, revenues are recognized over time based on the progress towards completion of the customized solution. Revenues generated from licensing are based on royalty models with a combination of minimum guarantees and per unit pricing. Royalty periods are generally subsequent to when control of the license passes to the customer. The Company records licensing revenue as a usage-based royalty from customers’ usage of intellectual property in the same period in which the underlying sale occurs. For royalty arrangements that include fixed considerations related to a minimum guarantee from a customer, the fixed consideration allocated to the license is recognized when the control of the license passes to the customer. The Company provides assurance-type warranty services and to date, post-contract support has been an immaterial performance obligation within the context of the contract.</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80"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supplying each performance obligation;</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groupings;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objectives and pricing practices, such as contractually stated prices, discounts offered, and applicable price lists.</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long-term contracts do not have significant financing components, as there is generally payment and performance in each year of the contract. The Company has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good or service will be one year or less. If there is a period of one year or longer between the transfer of promised services and payment, it is generally for reasons other than financing, thus, the Company does not adjust the transaction price for financing components.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and 2023, revenue under each performance obligation was as follows (in thousands):</w:t>
      </w:r>
    </w:p>
    <w:p>
      <w:pPr>
        <w:spacing w:after="0" w:line="268"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6"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5161280</wp:posOffset>
            </wp:positionH>
            <wp:positionV relativeFrom="paragraph">
              <wp:posOffset>19685</wp:posOffset>
            </wp:positionV>
            <wp:extent cx="19437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
        </w:trPr>
        <w:tc>
          <w:tcPr>
            <w:tcW w:w="8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Hosted services</w:t>
            </w:r>
          </w:p>
        </w:tc>
        <w:tc>
          <w:tcPr>
            <w:tcW w:w="94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r>
      <w:tr>
        <w:trPr>
          <w:trHeight w:val="23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r>
      <w:tr>
        <w:trPr>
          <w:trHeight w:val="26"/>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5"/>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Licensing</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6"/>
        </w:trPr>
        <w:tc>
          <w:tcPr>
            <w:tcW w:w="8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11,594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and 2023, the disaggregated revenue by geographic location was as follows* (in thousands):</w:t>
      </w:r>
    </w:p>
    <w:p>
      <w:pPr>
        <w:spacing w:after="0" w:line="268"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6"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5161280</wp:posOffset>
            </wp:positionH>
            <wp:positionV relativeFrom="paragraph">
              <wp:posOffset>19685</wp:posOffset>
            </wp:positionV>
            <wp:extent cx="19437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8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4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r>
      <w:tr>
        <w:trPr>
          <w:trHeight w:val="25"/>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5"/>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4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5"/>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5"/>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r>
      <w:tr>
        <w:trPr>
          <w:trHeight w:val="24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94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5"/>
        </w:trPr>
        <w:tc>
          <w:tcPr>
            <w:tcW w:w="8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11,594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*Revenue by geographic region is allocated to individual countries based on the billing location of the customer. The end customer location may be different than the customer's billing location.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and 2023, the disaggregated revenue by recognition pattern was as follows (in thousands):</w:t>
      </w:r>
    </w:p>
    <w:p>
      <w:pPr>
        <w:spacing w:after="0" w:line="268"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6"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5161280</wp:posOffset>
            </wp:positionH>
            <wp:positionV relativeFrom="paragraph">
              <wp:posOffset>19685</wp:posOffset>
            </wp:positionV>
            <wp:extent cx="19437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8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 revenue</w:t>
            </w:r>
          </w:p>
        </w:tc>
        <w:tc>
          <w:tcPr>
            <w:tcW w:w="94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10,380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w:t>
            </w:r>
          </w:p>
        </w:tc>
      </w:tr>
      <w:tr>
        <w:trPr>
          <w:trHeight w:val="24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Point-in-time</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5"/>
        </w:trPr>
        <w:tc>
          <w:tcPr>
            <w:tcW w:w="8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11,594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also disaggregates revenue by service type. This disaggregation consists of Product Royalties, Service Subscriptions and Monetization. Product Royalties revenues are derived from Houndified Products, which are voice-enabled tangible products across the automotive and consumer electronics industries. Revenues from Product Royalties are based on volume, usage or life of the products, which are driven by number of devices, users or unit of time. Service Subscription revenues are generated through Houndified Services, which include customer services, food ordering, content,</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appointments and voice commerce. Subscription revenues are derived from monthly fees based on usage-based revenue, revenue per query or revenue per user. Both Houndified Products and Houndified Services may include professional services that develop and customize the Houndify platform to fit customers’ specific needs. Revenues from Monetization are generated from the SoundHound music identification app and are primarily attributable to user ad impression revenue.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and 2023, the disaggregated revenue by service type was as follows (in thousands):</w:t>
      </w:r>
    </w:p>
    <w:p>
      <w:pPr>
        <w:spacing w:after="0" w:line="268"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6"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5161280</wp:posOffset>
            </wp:positionH>
            <wp:positionV relativeFrom="paragraph">
              <wp:posOffset>19685</wp:posOffset>
            </wp:positionV>
            <wp:extent cx="19437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8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royalties</w:t>
            </w:r>
          </w:p>
        </w:tc>
        <w:tc>
          <w:tcPr>
            <w:tcW w:w="94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w:t>
            </w:r>
          </w:p>
        </w:tc>
      </w:tr>
      <w:tr>
        <w:trPr>
          <w:trHeight w:val="23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subscriptions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6"/>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5"/>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58"/>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11,594</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6,707</w:t>
            </w:r>
          </w:p>
        </w:tc>
      </w:tr>
      <w:tr>
        <w:trPr>
          <w:trHeight w:val="20"/>
        </w:trPr>
        <w:tc>
          <w:tcPr>
            <w:tcW w:w="8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 Balances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performs its obligations under a contract with a customer by providing access to software, licensing right to use software, or providing services in exchange for consideration from the customer. The timing of the Company’s performance often differs from the timing of the customer’s payment, which results in the recognition of a receivable, a contract asset or deferred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 2023, accounts receivable, net of allowances, was $3.4 million, contract assets were $8.7 million and deferred revenue was $13.4 million.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 asset and unbilled accounts receivable, net as of March 31, 2024 and December 31, 2023 consists of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Balance Sheet Presentation</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352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 receivables - current</w:t>
            </w:r>
          </w:p>
        </w:tc>
        <w:tc>
          <w:tcPr>
            <w:tcW w:w="4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net of allowance</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w:t>
            </w:r>
          </w:p>
        </w:tc>
      </w:tr>
      <w:tr>
        <w:trPr>
          <w:trHeight w:val="231"/>
        </w:trPr>
        <w:tc>
          <w:tcPr>
            <w:tcW w:w="3520" w:type="dxa"/>
            <w:vAlign w:val="bottom"/>
          </w:tcPr>
          <w:p>
            <w:pPr>
              <w:spacing w:after="0"/>
              <w:rPr>
                <w:sz w:val="20"/>
                <w:szCs w:val="20"/>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credit losses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
        </w:trPr>
        <w:tc>
          <w:tcPr>
            <w:tcW w:w="35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 current</w:t>
            </w: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net of allowance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w:t>
            </w:r>
          </w:p>
        </w:tc>
      </w:tr>
      <w:tr>
        <w:trPr>
          <w:trHeight w:val="237"/>
        </w:trPr>
        <w:tc>
          <w:tcPr>
            <w:tcW w:w="352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credit losses</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2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 receivables - non-current</w:t>
            </w: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non-current, net of</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3520" w:type="dxa"/>
            <w:vAlign w:val="bottom"/>
          </w:tcPr>
          <w:p>
            <w:pPr>
              <w:spacing w:after="0"/>
              <w:rPr>
                <w:sz w:val="20"/>
                <w:szCs w:val="20"/>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
        </w:trPr>
        <w:tc>
          <w:tcPr>
            <w:tcW w:w="35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 non-current</w:t>
            </w: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non-current, net of</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16,492</w:t>
            </w:r>
          </w:p>
        </w:tc>
      </w:tr>
      <w:tr>
        <w:trPr>
          <w:trHeight w:val="231"/>
        </w:trPr>
        <w:tc>
          <w:tcPr>
            <w:tcW w:w="352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5"/>
        </w:trPr>
        <w:tc>
          <w:tcPr>
            <w:tcW w:w="352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change in the Company's contract assets and contract liabilities during the current period was primarily the result of the timing differences between the Company's performance, invoicing and customer payments. The Company has not recorded any asset impairment charges related to contract assets during the periods presented in the condensed consolidated financial statements.</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Revenues recognized included in the balances of the deferred revenue at the beginning of the reporting period were $1.9 million for the three months ended March 31, 2024 and $1.8 million for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of March 31, 2024, the aggregate amount of the transaction price allocated to the remaining performance obligations related to customer contracts that were unsatisfied or partially unsatisfied was $11.8 million. Given the applicable contract terms, $6.3 million is expected to be recognized as revenue within one year, $3.4 million is expected to be recognized between 2 to 5 years and the remainder of $2.1 million is expected to be recognized after 5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w:t>
            </w: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83"/>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Goodwill</w:t>
            </w:r>
          </w:p>
        </w:tc>
        <w:tc>
          <w:tcPr>
            <w:tcW w:w="8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45"/>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change in the carrying value of goodwill for the three months ended March 31, 2024, was as follows (in thousands):</w:t>
            </w: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8"/>
        </w:trPr>
        <w:tc>
          <w:tcPr>
            <w:tcW w:w="9420" w:type="dxa"/>
            <w:vAlign w:val="bottom"/>
            <w:gridSpan w:val="2"/>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5"/>
        </w:trPr>
        <w:tc>
          <w:tcPr>
            <w:tcW w:w="9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40" w:type="dxa"/>
            <w:vAlign w:val="bottom"/>
            <w:tcBorders>
              <w:bottom w:val="single" w:sz="8" w:color="CCEEFF"/>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9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Acquisition of SYNQ3</w:t>
            </w: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w:t>
            </w:r>
          </w:p>
        </w:tc>
      </w:tr>
      <w:tr>
        <w:trPr>
          <w:trHeight w:val="25"/>
        </w:trPr>
        <w:tc>
          <w:tcPr>
            <w:tcW w:w="9420" w:type="dxa"/>
            <w:vAlign w:val="bottom"/>
            <w:tcBorders>
              <w:bottom w:val="single" w:sz="8" w:color="CCEEFF"/>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3"/>
        </w:trPr>
        <w:tc>
          <w:tcPr>
            <w:tcW w:w="9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64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87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 has applied the acquisition method of accounting in accordance with ASC 805 and recognized assets acquired and liabilities assumed of SYNQ3 at their fair value as of the date of acquisition, with the excess purchase consideration recorded to goodwill. As the Company finalizes the estimation of the fair value of the assets acquired and liabilities assumed, additional adjustments to the amount of goodwill may be necessary.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value, accumulated amortization and net carrying value of intangible assets consisted of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360" w:type="dxa"/>
            <w:vAlign w:val="bottom"/>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23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68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r>
      <w:tr>
        <w:trPr>
          <w:trHeight w:val="239"/>
        </w:trPr>
        <w:tc>
          <w:tcPr>
            <w:tcW w:w="3360" w:type="dxa"/>
            <w:vAlign w:val="bottom"/>
          </w:tcPr>
          <w:p>
            <w:pPr>
              <w:spacing w:after="0"/>
              <w:rPr>
                <w:sz w:val="20"/>
                <w:szCs w:val="20"/>
                <w:color w:val="auto"/>
              </w:rPr>
            </w:pPr>
          </w:p>
        </w:tc>
        <w:tc>
          <w:tcPr>
            <w:tcW w:w="18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8"/>
              </w:rPr>
              <w:t>Gross Carrying Value</w:t>
            </w:r>
          </w:p>
        </w:tc>
        <w:tc>
          <w:tcPr>
            <w:tcW w:w="660" w:type="dxa"/>
            <w:vAlign w:val="bottom"/>
          </w:tcPr>
          <w:p>
            <w:pPr>
              <w:spacing w:after="0"/>
              <w:rPr>
                <w:sz w:val="20"/>
                <w:szCs w:val="20"/>
                <w:color w:val="auto"/>
              </w:rPr>
            </w:pPr>
          </w:p>
        </w:tc>
        <w:tc>
          <w:tcPr>
            <w:tcW w:w="23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6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Net Carrying Value</w:t>
            </w:r>
          </w:p>
        </w:tc>
        <w:tc>
          <w:tcPr>
            <w:tcW w:w="640" w:type="dxa"/>
            <w:vAlign w:val="bottom"/>
          </w:tcPr>
          <w:p>
            <w:pPr>
              <w:spacing w:after="0"/>
              <w:rPr>
                <w:sz w:val="20"/>
                <w:szCs w:val="20"/>
                <w:color w:val="auto"/>
              </w:rPr>
            </w:pPr>
          </w:p>
        </w:tc>
      </w:tr>
      <w:tr>
        <w:trPr>
          <w:trHeight w:val="25"/>
        </w:trPr>
        <w:tc>
          <w:tcPr>
            <w:tcW w:w="336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8"/>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60" w:type="dxa"/>
            <w:vAlign w:val="bottom"/>
            <w:tcBorders>
              <w:bottom w:val="single" w:sz="8" w:color="CCEEFF"/>
            </w:tcBorders>
            <w:shd w:val="clear" w:color="auto" w:fill="CCEEFF"/>
          </w:tcPr>
          <w:p>
            <w:pPr>
              <w:jc w:val="right"/>
              <w:ind w:right="16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2380" w:type="dxa"/>
            <w:vAlign w:val="bottom"/>
            <w:tcBorders>
              <w:bottom w:val="single" w:sz="8" w:color="CCEEFF"/>
            </w:tcBorders>
            <w:shd w:val="clear" w:color="auto" w:fill="CCEEFF"/>
          </w:tcPr>
          <w:p>
            <w:pPr>
              <w:jc w:val="right"/>
              <w:ind w:right="215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660" w:type="dxa"/>
            <w:vAlign w:val="bottom"/>
            <w:tcBorders>
              <w:bottom w:val="single" w:sz="8" w:color="CCEEFF"/>
            </w:tcBorders>
            <w:shd w:val="clear" w:color="auto" w:fill="CCEEFF"/>
          </w:tcPr>
          <w:p>
            <w:pPr>
              <w:jc w:val="right"/>
              <w:ind w:right="143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r>
      <w:tr>
        <w:trPr>
          <w:trHeight w:val="24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2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5"/>
        </w:trPr>
        <w:tc>
          <w:tcPr>
            <w:tcW w:w="3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45"/>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1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4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Conversation data</w:t>
            </w:r>
          </w:p>
        </w:tc>
        <w:tc>
          <w:tcPr>
            <w:tcW w:w="18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5"/>
        </w:trPr>
        <w:tc>
          <w:tcPr>
            <w:tcW w:w="336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3"/>
        </w:trPr>
        <w:tc>
          <w:tcPr>
            <w:tcW w:w="3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auto"/>
            </w:tcBorders>
            <w:shd w:val="clear" w:color="auto" w:fill="CCEEFF"/>
          </w:tcPr>
          <w:p>
            <w:pPr>
              <w:jc w:val="right"/>
              <w:ind w:right="16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w:t>
            </w:r>
          </w:p>
        </w:tc>
        <w:tc>
          <w:tcPr>
            <w:tcW w:w="2380" w:type="dxa"/>
            <w:vAlign w:val="bottom"/>
            <w:tcBorders>
              <w:bottom w:val="single" w:sz="8" w:color="auto"/>
            </w:tcBorders>
            <w:shd w:val="clear" w:color="auto" w:fill="CCEEFF"/>
          </w:tcPr>
          <w:p>
            <w:pPr>
              <w:jc w:val="right"/>
              <w:ind w:right="215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660" w:type="dxa"/>
            <w:vAlign w:val="bottom"/>
            <w:tcBorders>
              <w:bottom w:val="single" w:sz="8" w:color="auto"/>
            </w:tcBorders>
            <w:shd w:val="clear" w:color="auto" w:fill="CCEEFF"/>
          </w:tcPr>
          <w:p>
            <w:pPr>
              <w:jc w:val="right"/>
              <w:ind w:right="143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Amortization expense of intangible assets was $1.1 million for the three months ended March 31, 2024. These expenses were recorded as $0.5 million within cost of revenues, and $0.6 million within operating expenses for the respective periods. There was no amortization expense during the three months ended March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amortization expense of intangible assets held as of March 31, 2024, are as follows (in thousands):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625475</wp:posOffset>
            </wp:positionV>
            <wp:extent cx="7134860" cy="168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0" w:type="dxa"/>
            <w:vAlign w:val="bottom"/>
          </w:tcPr>
          <w:p>
            <w:pPr>
              <w:spacing w:after="0"/>
              <w:rPr>
                <w:sz w:val="1"/>
                <w:szCs w:val="1"/>
                <w:color w:val="auto"/>
              </w:rPr>
            </w:pPr>
          </w:p>
        </w:tc>
      </w:tr>
      <w:tr>
        <w:trPr>
          <w:trHeight w:val="25"/>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0" w:type="dxa"/>
            <w:vAlign w:val="bottom"/>
          </w:tcPr>
          <w:p>
            <w:pPr>
              <w:spacing w:after="0"/>
              <w:rPr>
                <w:sz w:val="1"/>
                <w:szCs w:val="1"/>
                <w:color w:val="auto"/>
              </w:rPr>
            </w:pPr>
          </w:p>
        </w:tc>
      </w:tr>
      <w:tr>
        <w:trPr>
          <w:trHeight w:val="240"/>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5"/>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58"/>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ACCRUED LIABILITIES</w:t>
            </w: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8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3"/>
        </w:trPr>
        <w:tc>
          <w:tcPr>
            <w:tcW w:w="8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w:t>
            </w:r>
          </w:p>
        </w:tc>
        <w:tc>
          <w:tcPr>
            <w:tcW w:w="0" w:type="dxa"/>
            <w:vAlign w:val="bottom"/>
          </w:tcPr>
          <w:p>
            <w:pPr>
              <w:spacing w:after="0"/>
              <w:rPr>
                <w:sz w:val="1"/>
                <w:szCs w:val="1"/>
                <w:color w:val="auto"/>
              </w:rPr>
            </w:pPr>
          </w:p>
        </w:tc>
      </w:tr>
      <w:tr>
        <w:trPr>
          <w:trHeight w:val="23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vendor payables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0" w:type="dxa"/>
            <w:vAlign w:val="bottom"/>
          </w:tcPr>
          <w:p>
            <w:pPr>
              <w:spacing w:after="0"/>
              <w:rPr>
                <w:sz w:val="1"/>
                <w:szCs w:val="1"/>
                <w:color w:val="auto"/>
              </w:rPr>
            </w:pPr>
          </w:p>
        </w:tc>
      </w:tr>
      <w:tr>
        <w:trPr>
          <w:trHeight w:val="26"/>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lender fees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0" w:type="dxa"/>
            <w:vAlign w:val="bottom"/>
          </w:tcPr>
          <w:p>
            <w:pPr>
              <w:spacing w:after="0"/>
              <w:rPr>
                <w:sz w:val="1"/>
                <w:szCs w:val="1"/>
                <w:color w:val="auto"/>
              </w:rPr>
            </w:pPr>
          </w:p>
        </w:tc>
      </w:tr>
      <w:tr>
        <w:trPr>
          <w:trHeight w:val="24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5"/>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15,341</w:t>
            </w: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Aggregate non-cancelable future minimum payments were as follows as of March 31, 2024 (in thousands):</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8"/>
        </w:trPr>
        <w:tc>
          <w:tcPr>
            <w:tcW w:w="9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52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w:t>
            </w:r>
          </w:p>
        </w:tc>
      </w:tr>
      <w:tr>
        <w:trPr>
          <w:trHeight w:val="24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5"/>
        </w:trPr>
        <w:tc>
          <w:tcPr>
            <w:tcW w:w="9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4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5"/>
        </w:trPr>
        <w:tc>
          <w:tcPr>
            <w:tcW w:w="9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58"/>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86,250</w:t>
            </w:r>
          </w:p>
        </w:tc>
      </w:tr>
      <w:tr>
        <w:trPr>
          <w:trHeight w:val="20"/>
        </w:trPr>
        <w:tc>
          <w:tcPr>
            <w:tcW w:w="9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8"/>
          <w:szCs w:val="18"/>
          <w:i w:val="1"/>
          <w:iCs w:val="1"/>
          <w:color w:val="auto"/>
        </w:rPr>
        <w:t>South Dakota v. Wayfair, Inc.</w:t>
      </w:r>
      <w:r>
        <w:rPr>
          <w:rFonts w:ascii="Times New Roman" w:cs="Times New Roman" w:eastAsia="Times New Roman" w:hAnsi="Times New Roman"/>
          <w:sz w:val="18"/>
          <w:szCs w:val="18"/>
          <w:color w:val="auto"/>
        </w:rPr>
        <w:t>, that state and local jurisdiction may, in certain circumstances, enforce sales and use tax collection obligations on remote vendors that have no physical presence</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In accordance with ASC 450, Contingencies, the Company estimated and recorded a liability of $1.0 million as of March 31, 2024 and $0.2 million as of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WARRANTS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 Loan Warrants</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Credit Agreement (as defined in Note 9), on the Term Loan Closing Date the Company issued warrants to purchase up to 3,301,536 shares of the Company’s Class A Common Stock to the Agent and its assign (the “Term Loan Warrants”). The Term Loan Warrants have a per share exercise price of $2.59 and may be exercised, including on a cashless basis, by the holder at any time prior to the 10-year anniversary of the issue date. The Term Loan Warrants will be automatically cashless exercised immediately prior to a change in control of the Company. The Term Loan Warrants are indexed to the Company's stock and were classified as an equity instrument. On the Term Loan Closing Date, this resulted in the Company allocating the gross proceeds and issuance costs between the Term Loan and the Term Loan Warrants based on their relative fair values, resulting in the initial recognition of the Term Loan Warrant at $4.1 million as additional paid-in-capital on the condensed consolidated balance sheets.</w:t>
      </w:r>
    </w:p>
    <w:p>
      <w:pPr>
        <w:spacing w:after="0" w:line="187"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In March 2024, the Company issued 2,269,982 shares of the Company's Class A Common Stock resulting from the cashless exercise in full of the Term Loan Warrants that were outstanding. As of March 31, 2024, all of the Term Loan Warrants had been exercised and no Term Loan Warrants are outstanding.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Warrants Related to the ATSP Merger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26, 2022 (the "Closing"),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as well as the other transactions contemplated by the Merger Agreement (the merger and such other transactions collectively referred to the “ATSP Merger”).</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ATSP Merger, ATSP issued public warrants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Subsequent to the closing of the ATSP Merger, the Company’s Public Warrants continue to be classified as equity instruments, as they are indexed to the Company’s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the ATSP Merger, ATSP issued private warrants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transferees, the Private Warrants will be redeemable by the Company and exercisable by the holders on the same basis as the Public Warrants.</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Private Warrants were initially classified as derivative liability instruments as they met the definition of a derivative and were not considered indexed in the Company’s own stock as the settlement value could be dependent on who held the Private Warrants at the time of exercise. Upon the Closing of the ATSP Merger, the Company modified its Private Warrants to be identical to its Public Warrants. Therefore, the Private Warrants met requirements for classification as equity instruments, as they are indexed to the Company’s stock.</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March 31, 2024, there were 3,665,996 Public Warrants and Private Warrants issued and outstanding. There have been no exercises during the three months ended March 31, 2024 and March 31,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NOTE PAYABLE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SVB March 2021 Note</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2021, the Company entered into a loan and security agreement with a commercial bank to borrow $30.0 million. The loan bore interest at an annual rate equal to the greater of 9.00% or 5.75% above the Prime Rate. During the three months ended March 31, 2023, the interest rate was 13.50%. Payments were interest-only for the first twelve months and are now principal and interest through maturity. During the three months ended March 31, 2023, the Company recorded $0.6 million in interest expense related to the debt discounts.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Concurrently with the Company's entry into the Credit Agreement (as defined below), the Company used a portion of the proceeds to prepay in full all outstanding obligations under, and terminated, the SVB March 2021 Note. In connection with the SVB March 2021 Note prepayment, the Company paid a total of $18.5 million on April 14, 2023, which consisted of (i) the remaining principal amount outstanding of $18.1 million, (ii) a prepayment premium of $0.3 million, (iii) accrued and unpaid interest of $0.1 million and (iv) a nominal amount for transaction expenses, resulting in a loss on debt extinguishment of $0.4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 June 2021 Note</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June 2021, the Company entered into a loan and security agreement with a lender to obtain credit extensions to the Company. Extensions were available in $5.0 million increments up to a total commitment amount of $15.0 million. The Company drew an initial $5.0 million on June 14, 2021 and the remaining $10.0 million on December 1, 2021. The loan bore interest at an annual rate equal to the greater of 9.00% or 5.75% above the Prime Rate. During the three months ended March 31, 2023, the interest rate was 0.14%. Payments were interest-only for the first twelve months and principal and interest through maturity. During the three months ended March 31, 2023, the Company recorded $0.4 million in interest expense related to the debt discounts.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Concurrently with the Company’s entry into the Credit Agreement (as defined below), the Company used a portion of the proceeds to prepay in full all outstanding obligations under, and terminated, the SCI June 2021 Note. In connection with the SCI June 2021 Note prepayment on April 14, 2023, the Company paid a total of approximately $11.7 million, which consisted of (i) the remaining principal amount outstanding of approximately $11.5 million, (ii) a prepayment premium of approximately $0.2 million and (iii) a nominal amount for transaction expenses, resulting in loss on debt extinguishment of $0.4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14, 2023 (the “Term Loan Closing Date”), the Company entered into a Senior Secured Term Loan Credit Agreement (the “Credit Agreement”). The Credit Agreement provides for a term loan facility in an aggregate principal amount of up to $100.0 million (the “Term Loan”). The Credit Agreement also permits the Company to request additional commitments of up to $25.0 million in the aggregate, with funding of such commitments in the sole discretion of the lenders under certain circumstances, which will be subject to the same terms as the Term Loan if funded. On the Term Loan closing date, the Company also entered into a Guarantee and Collateral Agreement. In addition, the Company is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obligated to pay incremental lender fees (the "Lender fees"), beginning on the Term Loan closing date, initially at a rate of 3.5% of the principal amount of the Term Loans for the first 18 months paid semi-annually to provide a collateral protection insurance policy on behalf of the lenders. Such rate for the Lender Fees will decrease to 2.5% after the 18-month anniversary of the Term Loan Closing Date. As the lenders are the sole beneficiary of the insurance policy, the Lender Fees are deemed to be additional fees payable to the Lenders and is therefore being recognized as interest expense over the term of the Term Loan based on effective interest method.</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used the proceeds from the Term Loan to (i) repay outstanding amounts equal to approximately $30.0 million under the Company’s existing loan facilities, (ii) fund an escrow account on the Term Loan Closing Date in the name of the Agent for an amount equal to the first four interest payments,</w:t>
      </w:r>
    </w:p>
    <w:p>
      <w:pPr>
        <w:ind w:firstLine="6"/>
        <w:spacing w:after="0" w:line="251"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certain fees and expenses incurred in connection with entering into the Credit Agreement, and (iv) fund the Lender Fees, together with related taxes, with the remaining proceeds to be used to fund growth investments and for general corporate purposes as permitted under the Credit Agreement.</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outstanding principal balance of the Term Loan bears interest at the applicable margin plus, at the Company’s election, either (i) the Term SOFR rate published by CME Group Benchmark Administration Limited for a one-month interest period plus 0.15% or (ii) the alternate base rate (“ABR”), which is a per annum rate equal to the greatest of (a) the Prime Rate (as defined in the Credit Agreement), (b) the NYFRB Rate (as defined in the Credit Agreement) plus 0.50% and (c) the Term SOFR rate plus 1.00%. The applicable margin under the Credit Agreement is 8.50% per annum with respect to SOFR loans, and</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7.50% per annum with respect to ABR loans. As of March 31, 2024, the contractual interest rate was approximately 14.0%. The Company was amortizing the discounts on an effective interest basis over the period from issuance through the Early Maturity Date. The effective interest rate was 25.18% for the quarter ended March 31, 2024. The Company incurred and paid $3.5 million in stated interest in the condensed consolidated statements of operations and comprehensive loss for the period ended March 31, 2024. During the period ended March 31, 2024, the Company recorded $1.1 million in interest expense related to the debt discount. The remaining period over which the discount will be amortized is 3.04 years as of March 31, 2024.</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Subject to certain exceptions as set forth in the Credit Agreement, interest on the Term Loan is payable quarterly in arrears on the last business day of each fiscal quarter. The Term Loan is set to mature on April 14, 2027 (the “Maturity Date”). The Credit Agreement provides for no scheduled principal payments prior to the Maturity Date.</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Term Loan is secured by substantially all of the assets of the Company and its subsidiaries and is guaranteed by the Company’s subsidiaries other than Excluded Subsidiaries. As set forth in more detail in the Credit Agreement, the Company is required to make mandatory prepayments on the Term Loan in the event of certain specified events, including in the event of certain capital raises by the Company and its subsidiaries. The Company may also elect to prepay amounts at any time. If the Term Loan is prepaid for any reason prior to the second anniversary of the Closing Date, in additional to principal and accrued interest, the Company will have to pay an amount equal to the discounted future interest payments from the date of redemption through the second anniversary of the Closing Date, calculated on the basis of the interest rate in effect on the redemption date and discounted based on the applicable rate for US treasury securities of equal tenor plus 50 basis points. Additionally, the Company will have to pay the excess of 14% of the Term Loans over the amount of the Lender Fees paid through the Redemption Date.</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Credit Agreement also contains customary representations and warranties for a facility of this nature and affirmative and negative covenants. In particular, the Credit Agreement requires the Company to have liquidity at least equal to the Interest Escrow Required Amount (as defined in the Credit Agreement) as of the last day of each fiscal quarter. The Interest Escrow Required Amount is included in restricted cash equivalents, non-current on the condensed consolidated balance sheet as of March 31, 2024. In addition, the Credit Agreement limits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 transactions, among other restrictions. As of March 31, 2024, the Company was in compliance with all covenants prescribed in the Credit Agreement.</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Credit Agreement includes customary events of default, including, but not limited to, nonpayment of principal or interest, breaches of representations and warranties, failure to perform or observe covenants, cross-defaults with certain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other indebtedness, final judgments or orders, certain change of control events, and certain bankruptcy-related events or proceedings. Upon the occurrence of an event of default (subject to notice and grace periods), obligations under the Credit Agreement could be accelerated.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The aggregate long-term debt maturities were as follows as of March 31, 2024 (in thousands):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8"/>
        </w:trPr>
        <w:tc>
          <w:tcPr>
            <w:tcW w:w="8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5"/>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4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(14,457)</w:t>
            </w:r>
          </w:p>
        </w:tc>
      </w:tr>
      <w:tr>
        <w:trPr>
          <w:trHeight w:val="25"/>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 of debt</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85,543</w:t>
            </w:r>
          </w:p>
        </w:tc>
      </w:tr>
      <w:tr>
        <w:trPr>
          <w:trHeight w:val="20"/>
        </w:trPr>
        <w:tc>
          <w:tcPr>
            <w:tcW w:w="954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91"/>
        </w:trPr>
        <w:tc>
          <w:tcPr>
            <w:tcW w:w="9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debt balances as of March 31, 2024 and December 31, 2023 (in thousands):</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6"/>
        </w:trPr>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180" w:type="dxa"/>
            <w:vAlign w:val="bottom"/>
          </w:tcPr>
          <w:p>
            <w:pPr>
              <w:spacing w:after="0"/>
              <w:rPr>
                <w:sz w:val="24"/>
                <w:szCs w:val="24"/>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3"/>
        </w:trPr>
        <w:tc>
          <w:tcPr>
            <w:tcW w:w="8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4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debt</w:t>
            </w:r>
          </w:p>
        </w:tc>
        <w:tc>
          <w:tcPr>
            <w:tcW w:w="240" w:type="dxa"/>
            <w:vAlign w:val="bottom"/>
          </w:tcPr>
          <w:p>
            <w:pPr>
              <w:spacing w:after="0"/>
              <w:rPr>
                <w:sz w:val="20"/>
                <w:szCs w:val="20"/>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(15,688)</w:t>
            </w:r>
          </w:p>
        </w:tc>
      </w:tr>
      <w:tr>
        <w:trPr>
          <w:trHeight w:val="258"/>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of long-term debt</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85,543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84,312</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RESTRUCTURING</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January 2023, the Company announced a restructuring plan (the “Restructuring Plan”) intended to reduce operating costs, improve operating margins, improve cash flows and accelerate the Company’s path to profitability. The Restructuring Plan included a reduction of the Company’s then-current workforce by approximately 40% or 180 positions globally.</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Costs associated with the Restructuring Plan consist of employee severance payments, employee benefits and share-based compensation. The costs associated with the Restructuring Plan were recorded to the restructuring expense line item within our condensed consolidated statements of operations as incurred. During the period ended March 31, 2023, we recorded 3.6 million of restructuring expenses in connection with the Restructuring Plan, of which $1.3 million were cash payments. The Restructuring Plan was substantially complete as of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PREFERRED STOCK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Series A Preferred Stock</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Between January 18, 2023 and January 20, 2023, the Company entered into Preferred Stock Purchase Agreements (the “Purchase Agreements”) with certain investors (the “Investors”), pursuant to which the Company issued and sold to the Investors an aggregate of 835,011 shares of its newly designated Series A Convertible Preferred Stock for issuance price of $30.00 per share, raising an aggregate of approximately $25.0 million in cash proceeds.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Liquidation Preference per share of Preferred Stock was initially equal to $30.00, the original issue price per share. On January 1, 2024, the Company's Series A Preferred Stock holders received their latest dividends paid-in-kind as an increase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Liquidation Preference, thereby increasing the Liquidation Preference per share to approximately $34.13. Additionally, as of March 31, 2024, the Series A Preferred Stock had accrued additional dividends since the last dividend payment date which has the effect of increasing the Liquidation Preference to approximately $35.32.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A Preferred Stock is not mandatorily redeemable.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Each share of Series A Preferred Stock is convertible, at the option of the holder, into such number of shares of Class A Common Stock equal to the Liquidation Preference per share at the time of conversion divided by $1.00 (the “Conversion Price”). In addition, each share of Series A Preferred Stock will automatically convert into shares of Class A Common Stock at the Conversion Price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 As of March 31, 2024, the condition of automatic conversion was not met and no Series A Preferred Stock were automatically converted.</w:t>
      </w:r>
    </w:p>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2024, certain Investors optionally converted 404,764 shares of preferred stock into 14,070,854 shares of Class A Common Stock. The conversion was pursuant to the original terms of the agreement and therefore the carrying value of Series A Preferred Stock was converted into Class A Common Stock with no gain or loss upon conversion. There were no conversions during the three months ended March 31, 2023.</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Since issuance, there have been a total of 764,770 shares of preferred stock converted into shares of Class A Common Stock. As of March 31, 2024, 70,241 shares of preferred stock remain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Investors do not have voting rights, except with respect to certain protective provisions and as required by the Delaware General Corporation Law. However, as long as the Series A Preferred Stock are outstanding, the Company may not take certain actions that may materially and adversely impact the powers, preferences, or rights of the Investors without the consent of at least a majority of the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COMMON STOCK</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is authorized to issue 500,000,000 shares of capital stock, consisting of (a) 455,000,000 shares of Class A Common Stock with a par value of $0.0001 per share, (b) 44,000,000 shares of Class B Common Stock with a par value of $0.0001 per share, and (c) 1,000,000 shares of preferred stock with a par value of $0.0001 per share. The outstanding shares of the Company’s common stock are fully paid and non-assessable.</w:t>
      </w:r>
    </w:p>
    <w:p>
      <w:pPr>
        <w:spacing w:after="0" w:line="17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and B Common Stock are entitled to one vote and ten votes per share respectively on all matters submitted to the stockholders for their vote or approval.</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Each share of Class B Common Stock shall convert into one fully paid and nonassessable share of Class A Common Stock upon mandatory or optional conversion. Shares of Class B Common Stock will be automatically converted into shares of Class A Common Stock upon the occurrence of certain future events, generally including transfers, subject to limited exceptions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three months ended March 31, 2024, certain holders of Class B Common Stock optionally converted 4,750,000 shares of Class B Common Stock into the same number of shares of Class A Common Stock. There were no conversions during the three months ended March 31,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Line of Credit ("ELOC")</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August 16, 2022, the Company entered into a common stock purchase agreement (“Common Stock Purchase Agreement”) and related registration rights agreement (the “CFPI Registration Rights Agreement”) with CF Principal Investments LLC (the “Counterparty”). Pursuant to the Common Stock Purchase Agreement, the Company had the right, but not the obligation, to direct the Counterparty to purchase up to 25,000,000 shares of Class A Common Stock, subject to certain limitations and conditions (the "ELOC Program") at a purchase price equal to 97% of the volume weighted average stock price for a given purchase date. In connection with the execution of the Common Stock Purchase Agreement and the side letter on February 14, 2023, the Company issued 250,000 shares of Common Stock (the “Initial Commitment Shares”), and additional cash commitment fee of $0.3 million.</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recorded Common Stock Purchase Agreement as a derivative liability with an initial fair value of $1.1 million based on the upfront commitment fee in the form of proceeds from future issuance of commitment shares to the Counterparty plus certain fees and expenses as specified in the Purchase Agreement.</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recorded changes in the fair value of the derivative liability associated with the ELOC Program of $0.6 million for the three months ended March 31, 2023 as other income (expense), net on its condensed consolidated statements of operations and comprehensive loss. The Company incurred third-party costs of $0.2 million related to the execution of the Common Stock Purchase Agreement which were recorded as general and administrative expenses in the condensed consolidated statements of operations and comprehensive loss for the three months ended March 31, 2023.</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year ended December 31, 2023, the Company sold the entirety of the 25,000,000 shares for aggregate proceeds of approximately $71.7 million, with the volume weighted average stock price of shares purchased by the Counterparty ranging from $1.75 to $4.26 per share.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July 28, 2023, the Company entered into a Controlled Equity Offering Sales Agreement (the “Sales Agreement”) with Cantor Fitzgerald &amp; Co., H.C. Wainwright &amp; Co., LLC, and D.A. Davidson &amp; Co. (each a “Sales Agent” and collectively, the “Sales Agents”), pursuant to which the Company may offer and sell up to $150,000,000 of shares of our Class A Common Stock from time to time through or to the Sales Agents acting as agent or principal. Sales of our Class A Common Stock, if any, under the Sales Agreement will be made at market prices by any method that is deemed to be an “at the market offering” as defined in Rule 415 under the Securities Act. We will pay the Sales Agents commission for their services in acting as agent in the sale of our Class A Common Stock. The Sales Agents are entitled to aggregate compensation at a fixed commission rate of 2.5% of the gross sales price per share sold under the Sales Agreement. We have also agreed to reimburse the Sales Agents for certain specified expenses, including the reasonable and documented fees and disbursements of its legal counsel in an amount not to exceed $75,000 in the aggregate in connection with the execution of the Sales Agreement.</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the Company sold a total of 37,907,219 shares of our common stock under the Sales Agreement, at a weighted-average price of $3.62 per share and raised $137.3 million of gross proceeds, which resulted in complete utilization of the Sales Agreement. After deducting approximately $3.4 million of commissions and offering costs incurred by the Company, the net proceeds from sales of common stock was $133.8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 INCENTIVE PLANS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Equity Incentive Plan</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April 2016, we adopted the 2016 Equity Incentive Plan (the “2016 Plan”) as a successor and continuation of the 2006 Plan. Under the 2016 Plan, the Company was permitted to grant awards of stock options and Restricted Stock Units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as well as stock appreciation rights and other stock awards. The Company no longer has shares available for issuance under the 2016 Plan.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Incentive Award Plan</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adopted the 2022 Incentive Award Plan (the “2022 Incentive Plan”, collectively, with the 2006 Plan and the 2016 Plan, the “Plans”) effective April 26, 2022. As of March 31, 2024, the Company had 10,027,862 shares remaining for issuance under the 2022 Incentive Plan.</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adopted the 2022 Employee Stock Purchase Plan (the “ESPP”) effective April 26, 2022. An aggregate of 3,930,074 shares of the Company’s Class A Common Stock has been reserved for issuance or transfer pursuant to rights granted under the ESPP (“Aggregate Number”). As of March 31, 2024, 478,023 shares of Class A Common Stock were issued under the ESPP.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w:t>
      </w:r>
    </w:p>
    <w:p>
      <w:pPr>
        <w:spacing w:after="0" w:line="17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As of March 31, 2024, the total unrecognized stock-based compensation expense related to the unvested stock options was approximately $3.7 million, which we expect to recognize over a weighted-average period of 1.29 years. There were no options granted during the three months ended March 31,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RSUs granted generally vest over a four-year period, with 25% cliff vesting after one year and then ratably on a quarterly basis for the remaining three years. Besides RSUs with vesting condition tied to requisite service period, the Company also issues RSUs with vesting conditions tied to certain market conditions (“Market-Based RSUs”) and RSUs with vesting conditions tied to certain performance criteria ("Performance-Based RSUs").</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SYNQ3 Acquisition, the Company granted 1,434,978 RSUs (the "Retention Pool"), 25% of which is subject to service conditions that vest at the end of each of the upcoming three fiscal years and 75% of which is subject to both service and performance-based vesting conditions at the end of each of the upcoming three fiscal years, respectively.</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performance level for each of the fiscal years 2024, 2025 and 2026 is based on tiered annual revenue targets, subject to a floor of $9.0 million, $21.0 million and $30.0 million, respectively, with vesting ranging from 50% to 100% of the RSUs granted depending on the level of achievement of the specified revenue target in each year.</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assesses the probability of vesting of the above performance-based awards from the Retention Pool every reporting period. As of March 31, 2024, performance level of 2024 revenue amount was not probable of being met and performance levels of 2025 and 2026 were probable of being met.</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also granted 1,952,000 RSUs that vest over a four-year requisite service period to SYNQ3 employees. Additionally, the Company granted 398,200 RSUs to other employees of the Company during the three months ended March 31, 2024. As a result, the Company granted total of 3,785,178 RSUs during the three months ended March 31, 2024.</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March 31, 2024, the total unrecognized stock-based compensation expense related to the unvested RSUs with service conditions was approximately $45.0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2024, the total unrecognized stock-based compensation expense related to the unvested Market-based RSUs was approximately $0.3 million.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Market-Based RSUs granted during the period ended March 31, 2024.</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March 31, 2024, the total unrecognized stock-based compensation expense related to the unvested Performance-based RSUs was approximately $8.4 million. There were 1,076,234 Performance-Based RSUs granted during the period ended March 31,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unrecognized stock-based compensation related to unvested RSUs is $53.8 million and this will vest over a weighted average period of 2.37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SYNQ3 Acquisition, a total of 2,033,156 unvested restricted Class A Common Stock shares </w:t>
      </w:r>
      <w:r>
        <w:rPr>
          <w:rFonts w:ascii="Times New Roman" w:cs="Times New Roman" w:eastAsia="Times New Roman" w:hAnsi="Times New Roman"/>
          <w:sz w:val="18"/>
          <w:szCs w:val="18"/>
          <w:i w:val="1"/>
          <w:iCs w:val="1"/>
          <w:color w:val="auto"/>
        </w:rPr>
        <w:t>("RSAs")</w:t>
      </w:r>
      <w:r>
        <w:rPr>
          <w:rFonts w:ascii="Times New Roman" w:cs="Times New Roman" w:eastAsia="Times New Roman" w:hAnsi="Times New Roman"/>
          <w:sz w:val="18"/>
          <w:szCs w:val="18"/>
          <w:color w:val="auto"/>
        </w:rPr>
        <w:t xml:space="preserve"> were issued, 25% of which are subject to service conditions that vest at the end of each of the upcoming three fiscal years in three tranches, and 75% of which is subject to both service and performance-based vesting conditions in three tranches.</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performance level for each of the fiscal years 2024, 2025 and 2026 is based on tiered annual revenue targets, subject to a floor of $9.0 million, $21.0 million and $30.0 million, respectively, with vesting ranging from 50% to 100% of the RSAs granted depending on the level of achievement of the specified revenue target in each year.</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assesses the probability of vesting of the above performance-based awards every reporting period. As of March 31, 2024, the performance level of the 2024 revenue amount was not probable of being met and performance levels of 2025 and 2026 were probable of being met.</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March 31, 2024, the total unrecognized stock-based compensation expense related to the unvested RSAs subject to service-based vesting condition and unvested RSAs subject to performance-based vesting condition was approximately $1.8 million and $2.9 million, respectively, over a weighted average period of 2.52 years. Refer to Note 3 for further information on the SYNQ3 Acquisition.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Stock-based compensation is classified in the following expense accounts on the condensed consolidated statements of operations and comprehensive loss for the period ended March 31, 2024, and 2023 (in thousands):</w:t>
      </w:r>
    </w:p>
    <w:p>
      <w:pPr>
        <w:spacing w:after="0" w:line="214"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6"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5161280</wp:posOffset>
            </wp:positionH>
            <wp:positionV relativeFrom="paragraph">
              <wp:posOffset>19685</wp:posOffset>
            </wp:positionV>
            <wp:extent cx="19437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80" w:type="dxa"/>
            <w:vAlign w:val="bottom"/>
            <w:tcBorders>
              <w:bottom w:val="single" w:sz="8" w:color="CCEEFF"/>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4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r>
      <w:tr>
        <w:trPr>
          <w:trHeight w:val="25"/>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5"/>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4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r>
      <w:tr>
        <w:trPr>
          <w:trHeight w:val="25"/>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5"/>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r>
      <w:tr>
        <w:trPr>
          <w:trHeight w:val="258"/>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8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8,249</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OTHER INCOME (EXPENSE), NET</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Other income (expense), net on the condensed consolidated statements of operations is comprised of the following for the three months ended March 31, 2024 and 2023 (in thousands):</w:t>
      </w:r>
    </w:p>
    <w:p>
      <w:pPr>
        <w:spacing w:after="0" w:line="214"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6"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5161280</wp:posOffset>
            </wp:positionH>
            <wp:positionV relativeFrom="paragraph">
              <wp:posOffset>19685</wp:posOffset>
            </wp:positionV>
            <wp:extent cx="19437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6"/>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812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Borders>
              <w:bottom w:val="single" w:sz="8" w:color="CCEEFF"/>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9"/>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change in fair value of ELOC program</w:t>
            </w:r>
          </w:p>
        </w:tc>
        <w:tc>
          <w:tcPr>
            <w:tcW w:w="98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6"/>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ELOC commitment fees and reimbursement cost to Counterparty</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39"/>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6"/>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8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NET LOSS PER SHARE</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attributable to common stockholders for the three months ended March 31, 2024 and 2023:</w:t>
      </w:r>
    </w:p>
    <w:p>
      <w:pPr>
        <w:spacing w:after="0" w:line="214"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6"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5169535</wp:posOffset>
            </wp:positionH>
            <wp:positionV relativeFrom="paragraph">
              <wp:posOffset>19685</wp:posOffset>
            </wp:positionV>
            <wp:extent cx="19437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81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(27,430)</w:t>
            </w:r>
          </w:p>
        </w:tc>
        <w:tc>
          <w:tcPr>
            <w:tcW w:w="0" w:type="dxa"/>
            <w:vAlign w:val="bottom"/>
          </w:tcPr>
          <w:p>
            <w:pPr>
              <w:spacing w:after="0"/>
              <w:rPr>
                <w:sz w:val="1"/>
                <w:szCs w:val="1"/>
                <w:color w:val="auto"/>
              </w:rPr>
            </w:pPr>
          </w:p>
        </w:tc>
      </w:tr>
      <w:tr>
        <w:trPr>
          <w:trHeight w:val="240"/>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 Stock</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5"/>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SoundHound common shareholders (in thousands)</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(28,112)</w:t>
            </w:r>
          </w:p>
        </w:tc>
        <w:tc>
          <w:tcPr>
            <w:tcW w:w="0" w:type="dxa"/>
            <w:vAlign w:val="bottom"/>
          </w:tcPr>
          <w:p>
            <w:pPr>
              <w:spacing w:after="0"/>
              <w:rPr>
                <w:sz w:val="1"/>
                <w:szCs w:val="1"/>
                <w:color w:val="auto"/>
              </w:rPr>
            </w:pPr>
          </w:p>
        </w:tc>
      </w:tr>
      <w:tr>
        <w:trPr>
          <w:trHeight w:val="24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dilutive</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286,596,559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205,082,328</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2024 and 2023, the diluted net loss per share is equal to the basic net loss per share as the effect of potentially dilutive securities would have been antidilutive.</w:t>
      </w:r>
    </w:p>
    <w:p>
      <w:pPr>
        <w:spacing w:after="0" w:line="16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outstanding shares of potentially dilutive securities that were excluded from the calculation of diluted earnings per share because their inclusion would have been anti-dilutive for the three months ended March 31,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40" w:type="dxa"/>
            <w:vAlign w:val="bottom"/>
          </w:tcPr>
          <w:p>
            <w:pPr>
              <w:spacing w:after="0"/>
              <w:rPr>
                <w:sz w:val="20"/>
                <w:szCs w:val="20"/>
                <w:color w:val="auto"/>
              </w:rPr>
            </w:pPr>
          </w:p>
        </w:tc>
        <w:tc>
          <w:tcPr>
            <w:tcW w:w="214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w w:val="95"/>
              </w:rPr>
              <w:t>As of March 31,</w:t>
            </w:r>
          </w:p>
        </w:tc>
        <w:tc>
          <w:tcPr>
            <w:tcW w:w="920" w:type="dxa"/>
            <w:vAlign w:val="bottom"/>
          </w:tcPr>
          <w:p>
            <w:pPr>
              <w:spacing w:after="0"/>
              <w:rPr>
                <w:sz w:val="20"/>
                <w:szCs w:val="20"/>
                <w:color w:val="auto"/>
              </w:rPr>
            </w:pPr>
          </w:p>
        </w:tc>
      </w:tr>
      <w:tr>
        <w:trPr>
          <w:trHeight w:val="25"/>
        </w:trPr>
        <w:tc>
          <w:tcPr>
            <w:tcW w:w="8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3"/>
        </w:trPr>
        <w:tc>
          <w:tcPr>
            <w:tcW w:w="8140" w:type="dxa"/>
            <w:vAlign w:val="bottom"/>
          </w:tcPr>
          <w:p>
            <w:pPr>
              <w:spacing w:after="0"/>
              <w:rPr>
                <w:sz w:val="20"/>
                <w:szCs w:val="20"/>
                <w:color w:val="auto"/>
              </w:rPr>
            </w:pPr>
          </w:p>
        </w:tc>
        <w:tc>
          <w:tcPr>
            <w:tcW w:w="148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5"/>
        </w:trPr>
        <w:tc>
          <w:tcPr>
            <w:tcW w:w="8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awards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30,614,247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34,735,981</w:t>
            </w:r>
          </w:p>
        </w:tc>
      </w:tr>
      <w:tr>
        <w:trPr>
          <w:trHeight w:val="23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2,480,589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25,050,330</w:t>
            </w:r>
          </w:p>
        </w:tc>
      </w:tr>
      <w:tr>
        <w:trPr>
          <w:trHeight w:val="26"/>
        </w:trPr>
        <w:tc>
          <w:tcPr>
            <w:tcW w:w="8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3,665,996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3,665,996</w:t>
            </w:r>
          </w:p>
        </w:tc>
      </w:tr>
      <w:tr>
        <w:trPr>
          <w:trHeight w:val="23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share awards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2,033,156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8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5"/>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Contingently issuable shares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1,906,746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40,700,734</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63,452,307</w:t>
            </w:r>
          </w:p>
        </w:tc>
      </w:tr>
      <w:tr>
        <w:trPr>
          <w:trHeight w:val="20"/>
        </w:trPr>
        <w:tc>
          <w:tcPr>
            <w:tcW w:w="8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24"/>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The tax expense and the effective tax rate were as follows (in thousands):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6"/>
        </w:trPr>
        <w:tc>
          <w:tcPr>
            <w:tcW w:w="7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4"/>
          </w:tcPr>
          <w:p>
            <w:pPr>
              <w:jc w:val="center"/>
              <w:ind w:right="272"/>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33"/>
        </w:trPr>
        <w:tc>
          <w:tcPr>
            <w:tcW w:w="7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3"/>
          </w:tcPr>
          <w:p>
            <w:pPr>
              <w:jc w:val="center"/>
              <w:ind w:left="672"/>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20" w:type="dxa"/>
            <w:vAlign w:val="bottom"/>
          </w:tcPr>
          <w:p>
            <w:pPr>
              <w:spacing w:after="0"/>
              <w:rPr>
                <w:sz w:val="20"/>
                <w:szCs w:val="20"/>
                <w:color w:val="auto"/>
              </w:rPr>
            </w:pPr>
          </w:p>
        </w:tc>
      </w:tr>
      <w:tr>
        <w:trPr>
          <w:trHeight w:val="32"/>
        </w:trPr>
        <w:tc>
          <w:tcPr>
            <w:tcW w:w="7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79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2"/>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(32,714)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(27,101)</w:t>
            </w:r>
          </w:p>
        </w:tc>
      </w:tr>
      <w:tr>
        <w:trPr>
          <w:trHeight w:val="24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329</w:t>
            </w:r>
          </w:p>
        </w:tc>
      </w:tr>
      <w:tr>
        <w:trPr>
          <w:trHeight w:val="258"/>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bl>
    <w:p>
      <w:pPr>
        <w:spacing w:after="0" w:line="3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recorded effective tax rate differs from the U.S. statutory rate primarily due to an increase in the domestic valuation allowance caused by tax losses, foreign withholding taxes, foreign tax rate differentials from the U.S. domestic statutory tax rate and tax benefit resulting from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FAIR VALUE MEASUREMENTS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financial instruments that are measured or disclosed at fair value on a recurring basis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6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17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0"/>
                <w:szCs w:val="20"/>
                <w:color w:val="auto"/>
              </w:rPr>
            </w:pPr>
          </w:p>
        </w:tc>
        <w:tc>
          <w:tcPr>
            <w:tcW w:w="120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31"/>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6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bills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9"/>
        </w:trPr>
        <w:tc>
          <w:tcPr>
            <w:tcW w:w="6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172,099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1"/>
        </w:trPr>
        <w:tc>
          <w:tcPr>
            <w:tcW w:w="6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208,448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acquisition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Contingent holdback consideration</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0" w:type="dxa"/>
            <w:vAlign w:val="bottom"/>
          </w:tcPr>
          <w:p>
            <w:pPr>
              <w:spacing w:after="0"/>
              <w:rPr>
                <w:sz w:val="1"/>
                <w:szCs w:val="1"/>
                <w:color w:val="auto"/>
              </w:rPr>
            </w:pPr>
          </w:p>
        </w:tc>
      </w:tr>
      <w:tr>
        <w:trPr>
          <w:trHeight w:val="265"/>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3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0" w:type="dxa"/>
            <w:vAlign w:val="bottom"/>
          </w:tcPr>
          <w:p>
            <w:pPr>
              <w:spacing w:after="0"/>
              <w:rPr>
                <w:sz w:val="1"/>
                <w:szCs w:val="1"/>
                <w:color w:val="auto"/>
              </w:rPr>
            </w:pPr>
          </w:p>
        </w:tc>
      </w:tr>
      <w:tr>
        <w:trPr>
          <w:trHeight w:val="251"/>
        </w:trPr>
        <w:tc>
          <w:tcPr>
            <w:tcW w:w="6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
        </w:trPr>
        <w:tc>
          <w:tcPr>
            <w:tcW w:w="60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9"/>
        </w:trPr>
        <w:tc>
          <w:tcPr>
            <w:tcW w:w="60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31"/>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
        </w:trPr>
        <w:tc>
          <w:tcPr>
            <w:tcW w:w="6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bills</w:t>
            </w:r>
          </w:p>
        </w:tc>
        <w:tc>
          <w:tcPr>
            <w:tcW w:w="124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35,961</w:t>
            </w:r>
          </w:p>
        </w:tc>
        <w:tc>
          <w:tcPr>
            <w:tcW w:w="1540" w:type="dxa"/>
            <w:vAlign w:val="bottom"/>
            <w:gridSpan w:val="2"/>
            <w:shd w:val="clear" w:color="auto" w:fill="CCEEFF"/>
          </w:tcPr>
          <w:p>
            <w:pPr>
              <w:jc w:val="right"/>
              <w:ind w:right="12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59"/>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54,542</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71"/>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90,503</w:t>
            </w:r>
          </w:p>
        </w:tc>
        <w:tc>
          <w:tcPr>
            <w:tcW w:w="1540" w:type="dxa"/>
            <w:vAlign w:val="bottom"/>
            <w:gridSpan w:val="2"/>
            <w:shd w:val="clear" w:color="auto" w:fill="CCEEFF"/>
          </w:tcPr>
          <w:p>
            <w:pPr>
              <w:jc w:val="right"/>
              <w:ind w:right="12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Acquisition Liabilities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Holdback Consideration</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reconciliation of the Company's Contingent Holdback Consideration measured at fair value on a recurring basis using unobservable inputs (Level 3) is as follows:</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9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SYNQ3</w:t>
            </w: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5"/>
        </w:trPr>
        <w:tc>
          <w:tcPr>
            <w:tcW w:w="9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5"/>
        </w:trPr>
        <w:tc>
          <w:tcPr>
            <w:tcW w:w="9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6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58"/>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6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0"/>
        </w:trPr>
        <w:tc>
          <w:tcPr>
            <w:tcW w:w="9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fair value of the cash portion of the Contingent Holdback Consideration was estimated based upon the holdback period of fifteen months, and discounted using the risk-free interest rate based on the U.S. Treasury zero-coupon yield curve on the valuation date for a maturity similar to the fifteen-month holdback period. The fair value of the equity portion of the Contingent Holdback Consideration was estimated based upon the value of the Company’s Class A Common Stock price. The fair value of the Contingent Holdback Consideration was initially measured on January 3, 2024, the date on which the Company completed the acquisition of SYNQ3.</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fair value of the Contingent Holdback Consideration has been estimated as of the Closing Date and the three month period ended March 31, 2024, under the following assumptions: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480" w:type="dxa"/>
            <w:vAlign w:val="bottom"/>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January 3, 2024</w:t>
            </w:r>
          </w:p>
        </w:tc>
        <w:tc>
          <w:tcPr>
            <w:tcW w:w="172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4.6 %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5"/>
        </w:trPr>
        <w:tc>
          <w:tcPr>
            <w:tcW w:w="7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Holdback period</w:t>
            </w:r>
          </w:p>
        </w:tc>
        <w:tc>
          <w:tcPr>
            <w:tcW w:w="2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1.25 years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w:t>
            </w:r>
          </w:p>
        </w:tc>
      </w:tr>
      <w:tr>
        <w:trPr>
          <w:trHeight w:val="25"/>
        </w:trPr>
        <w:tc>
          <w:tcPr>
            <w:tcW w:w="74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Earnout Consideration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Company's Earnout Consideration measured at fair value on a recurring basis using unobservable inputs (Level 3)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9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SYNQ3</w:t>
            </w: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5"/>
        </w:trPr>
        <w:tc>
          <w:tcPr>
            <w:tcW w:w="9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5"/>
        </w:trPr>
        <w:tc>
          <w:tcPr>
            <w:tcW w:w="9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6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r>
      <w:tr>
        <w:trPr>
          <w:trHeight w:val="258"/>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6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w:t>
            </w:r>
          </w:p>
        </w:tc>
      </w:tr>
      <w:tr>
        <w:trPr>
          <w:trHeight w:val="20"/>
        </w:trPr>
        <w:tc>
          <w:tcPr>
            <w:tcW w:w="9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utilizes a Monte Carlo simulation to value the Contingent Earnout Consideration. The Company selected this model as it believes it is reflective of all significant assumptions that market participants would likely consider in negotiating the transfer of the Contingent Earnout Consideration. Such assumptions include, among other inputs, expected stock price volatility, risk-free rates, and change in control assumptions. The Company estimates the expected volatility of its common stock based on historical volatility of a peer group, considering the remaining term of the Contingent Earnout Consideration. The risk-free interest rate is based on the U.S. Treasury zero-coupon yield curve on the valuation date for a maturity similar to the expected remaining life of the Contingent Earnout Consideration. The expected life of the Contingent Earnout Consideration is assumed to be equivalent to their remaining contractual term. The dividend rate is based on the historical rate, which the Company anticipates to remain at zero.</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fair value of the Contingent Earnout Consideration has been estimated as of the Closing Date and the three month period ended March 31, 2024, with the following assumptions for the unobservable inputs: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680" w:type="dxa"/>
            <w:vAlign w:val="bottom"/>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January 3, 2024</w:t>
            </w:r>
          </w:p>
        </w:tc>
        <w:tc>
          <w:tcPr>
            <w:tcW w:w="16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12.6 %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r>
      <w:tr>
        <w:trPr>
          <w:trHeight w:val="25"/>
        </w:trPr>
        <w:tc>
          <w:tcPr>
            <w:tcW w:w="76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5"/>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115.3 %</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128.7 %</w:t>
            </w:r>
          </w:p>
        </w:tc>
      </w:tr>
      <w:tr>
        <w:trPr>
          <w:trHeight w:val="24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4.2 %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5"/>
        </w:trPr>
        <w:tc>
          <w:tcPr>
            <w:tcW w:w="76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5"/>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0.0 %</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0.5 - 2.5 years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0.4 - 2.3 years</w:t>
            </w:r>
          </w:p>
        </w:tc>
      </w:tr>
    </w:tbl>
    <w:p>
      <w:pPr>
        <w:spacing w:after="0" w:line="200" w:lineRule="exact"/>
        <w:rPr>
          <w:sz w:val="20"/>
          <w:szCs w:val="20"/>
          <w:color w:val="auto"/>
        </w:rPr>
      </w:pP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between Level 1, Level 2 and Level 3 during the three months ended March 31, 2024 and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REVISION OF PREVIOUSLY ISSUED FINANCIAL STATEMENTS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period ended September 30, 2023, the Company identified immaterial prior period errors related to following: 1) accounting for the ELOC as a derivative instrument; 2) classification of Lender Fees and allocation of the warrants in connection with the Term Loan; and 3) the incorrect recording of in-kind dividends associated with the Company’s Series A Preferred Stock. The identified errors were included in the Company's previously issued quarterly condensed consolidated financial statements for the three and six months ended March 31, 2023 and June 30, 2023.</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accordance with SEC Staff Accounting Bulletin No. 99, “Materiality,” and SEC Staff Accounting Bulletin No. 108, “Considering the Effects of Prior Year Misstatements when Quantifying Misstatements in Current Year Financial Statements;” the Company evaluated the errors and determined that the related impacts were not material to its condensed consolidated financial statements for the prior year periods when they occurred, but the Company determined it would be appropriate to correct the errors in the current period in the Company’s consolidated statements of operations and comprehensive loss, consolidated balance sheets, consolidated statements of cash flows or consolidated statements of stockholders’ deficit for any periods impacted.</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revised the previously issued condensed consolidated balance sheets, condensed consolidated statements of operations and comprehensive loss, condensed consolidated statements of cash flows and condensed consolidated statements of redeemable convertible preferred stock and stockholders’ deficit as of and for the three and six months ended June 30, 2023, and as of and for the three months ended March 31, 2023. All relevant prior period amounts affected by these revisions have been corrected in the notes in this Form 10-Q.</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tables reflect the impact of these revisions on the Company’s unaudited condensed consolidated financial statements as of and for the three and six months ended June 30, 2023 (</w:t>
      </w:r>
      <w:r>
        <w:rPr>
          <w:rFonts w:ascii="Times New Roman" w:cs="Times New Roman" w:eastAsia="Times New Roman" w:hAnsi="Times New Roman"/>
          <w:sz w:val="18"/>
          <w:szCs w:val="18"/>
          <w:i w:val="1"/>
          <w:iCs w:val="1"/>
          <w:color w:val="auto"/>
        </w:rPr>
        <w:t>dollars in thousands, except per share amounts</w:t>
      </w:r>
      <w:r>
        <w:rPr>
          <w:rFonts w:ascii="Times New Roman" w:cs="Times New Roman" w:eastAsia="Times New Roman" w:hAnsi="Times New Roman"/>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June 30, 2023</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4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1"/>
        </w:trPr>
        <w:tc>
          <w:tcPr>
            <w:tcW w:w="4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20"/>
                <w:szCs w:val="20"/>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5"/>
        </w:trPr>
        <w:tc>
          <w:tcPr>
            <w:tcW w:w="42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13,509</w:t>
            </w:r>
          </w:p>
        </w:tc>
      </w:tr>
      <w:tr>
        <w:trPr>
          <w:trHeight w:val="24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24,131</w:t>
            </w:r>
          </w:p>
        </w:tc>
      </w:tr>
      <w:tr>
        <w:trPr>
          <w:trHeight w:val="25"/>
        </w:trPr>
        <w:tc>
          <w:tcPr>
            <w:tcW w:w="4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2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82,300</w:t>
            </w:r>
          </w:p>
        </w:tc>
      </w:tr>
      <w:tr>
        <w:trPr>
          <w:trHeight w:val="24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w:t>
            </w:r>
          </w:p>
        </w:tc>
      </w:tr>
      <w:tr>
        <w:trPr>
          <w:trHeight w:val="25"/>
        </w:trPr>
        <w:tc>
          <w:tcPr>
            <w:tcW w:w="4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118,968</w:t>
            </w:r>
          </w:p>
        </w:tc>
      </w:tr>
      <w:tr>
        <w:trPr>
          <w:trHeight w:val="24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567,794</w:t>
            </w:r>
          </w:p>
        </w:tc>
      </w:tr>
      <w:tr>
        <w:trPr>
          <w:trHeight w:val="25"/>
        </w:trPr>
        <w:tc>
          <w:tcPr>
            <w:tcW w:w="4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(554,179)</w:t>
            </w:r>
          </w:p>
        </w:tc>
      </w:tr>
      <w:tr>
        <w:trPr>
          <w:trHeight w:val="24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38,610</w:t>
            </w:r>
          </w:p>
        </w:tc>
      </w:tr>
      <w:tr>
        <w:trPr>
          <w:trHeight w:val="25"/>
        </w:trPr>
        <w:tc>
          <w:tcPr>
            <w:tcW w:w="4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157,578</w:t>
            </w:r>
          </w:p>
        </w:tc>
      </w:tr>
      <w:tr>
        <w:trPr>
          <w:trHeight w:val="889"/>
        </w:trPr>
        <w:tc>
          <w:tcPr>
            <w:tcW w:w="4260" w:type="dxa"/>
            <w:vAlign w:val="bottom"/>
          </w:tcPr>
          <w:p>
            <w:pPr>
              <w:spacing w:after="0"/>
              <w:rPr>
                <w:sz w:val="24"/>
                <w:szCs w:val="24"/>
                <w:color w:val="auto"/>
              </w:rPr>
            </w:pPr>
          </w:p>
        </w:tc>
        <w:tc>
          <w:tcPr>
            <w:tcW w:w="23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1"/>
        </w:trPr>
        <w:tc>
          <w:tcPr>
            <w:tcW w:w="426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gridSpan w:val="7"/>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 2023</w:t>
            </w:r>
          </w:p>
        </w:tc>
      </w:tr>
      <w:tr>
        <w:trPr>
          <w:trHeight w:val="26"/>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1"/>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20"/>
                <w:szCs w:val="20"/>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6"/>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(16,483)</w:t>
            </w:r>
          </w:p>
        </w:tc>
      </w:tr>
      <w:tr>
        <w:trPr>
          <w:trHeight w:val="26"/>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w:t>
            </w:r>
          </w:p>
        </w:tc>
      </w:tr>
      <w:tr>
        <w:trPr>
          <w:trHeight w:val="26"/>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(22,890)</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(23,307)</w:t>
            </w:r>
          </w:p>
        </w:tc>
      </w:tr>
      <w:tr>
        <w:trPr>
          <w:trHeight w:val="26"/>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accrual of Series A Preferred Stock paid-in-kind dividends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(21,932)</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(24,184)</w:t>
            </w:r>
          </w:p>
        </w:tc>
      </w:tr>
      <w:tr>
        <w:trPr>
          <w:trHeight w:val="26"/>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5"/>
        </w:trPr>
        <w:tc>
          <w:tcPr>
            <w:tcW w:w="66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6"/>
        </w:trPr>
        <w:tc>
          <w:tcPr>
            <w:tcW w:w="6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gridSpan w:val="7"/>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Six Months Ended June 30, 2023</w:t>
            </w:r>
          </w:p>
        </w:tc>
      </w:tr>
      <w:tr>
        <w:trPr>
          <w:trHeight w:val="26"/>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1"/>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20"/>
                <w:szCs w:val="20"/>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5"/>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(41,685)</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(49,991)</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(50,737)</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accrual of Series A Preferred Stock paid-in-kind dividends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(48,301)</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(52,296)</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5"/>
        </w:trPr>
        <w:tc>
          <w:tcPr>
            <w:tcW w:w="66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5"/>
        </w:trPr>
        <w:tc>
          <w:tcPr>
            <w:tcW w:w="6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gridSpan w:val="7"/>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 2023</w:t>
            </w:r>
          </w:p>
        </w:tc>
      </w:tr>
      <w:tr>
        <w:trPr>
          <w:trHeight w:val="25"/>
        </w:trPr>
        <w:tc>
          <w:tcPr>
            <w:tcW w:w="5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1"/>
        </w:trPr>
        <w:tc>
          <w:tcPr>
            <w:tcW w:w="5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 (Deficit)</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20"/>
                <w:szCs w:val="20"/>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5"/>
        </w:trPr>
        <w:tc>
          <w:tcPr>
            <w:tcW w:w="53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8"/>
              </w:rPr>
              <w:t>3,597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567,794</w:t>
            </w:r>
          </w:p>
        </w:tc>
      </w:tr>
      <w:tr>
        <w:trPr>
          <w:trHeight w:val="24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8"/>
              </w:rPr>
              <w:t>(3,776)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(554,179)</w:t>
            </w:r>
          </w:p>
        </w:tc>
      </w:tr>
      <w:tr>
        <w:trPr>
          <w:trHeight w:val="25"/>
        </w:trPr>
        <w:tc>
          <w:tcPr>
            <w:tcW w:w="5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8"/>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(23,307)</w:t>
            </w:r>
          </w:p>
        </w:tc>
      </w:tr>
      <w:tr>
        <w:trPr>
          <w:trHeight w:val="889"/>
        </w:trPr>
        <w:tc>
          <w:tcPr>
            <w:tcW w:w="5360" w:type="dxa"/>
            <w:vAlign w:val="bottom"/>
          </w:tcPr>
          <w:p>
            <w:pPr>
              <w:spacing w:after="0"/>
              <w:rPr>
                <w:sz w:val="24"/>
                <w:szCs w:val="24"/>
                <w:color w:val="auto"/>
              </w:rPr>
            </w:pPr>
          </w:p>
        </w:tc>
        <w:tc>
          <w:tcPr>
            <w:tcW w:w="12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1"/>
        </w:trPr>
        <w:tc>
          <w:tcPr>
            <w:tcW w:w="53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gridSpan w:val="7"/>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Six Months Ended June 30, 2023</w:t>
            </w:r>
          </w:p>
        </w:tc>
      </w:tr>
      <w:tr>
        <w:trPr>
          <w:trHeight w:val="25"/>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1"/>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20"/>
                <w:szCs w:val="20"/>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6"/>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(50,737)</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change in fair value of ELOC program</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(34,201)</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of common stock under the ELOC program, net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71,455</w:t>
            </w:r>
          </w:p>
        </w:tc>
      </w:tr>
      <w:tr>
        <w:trPr>
          <w:trHeight w:val="26"/>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154,558</w:t>
            </w:r>
          </w:p>
        </w:tc>
      </w:tr>
      <w:tr>
        <w:trPr>
          <w:trHeight w:val="265"/>
        </w:trPr>
        <w:tc>
          <w:tcPr>
            <w:tcW w:w="6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unpaid debt issuance costs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16,461</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(16,461)</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debt discount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to settle commitment shares related to the ELOC program</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reflect the impact of these revisions on the Company’s unaudited condensed consolidated financial statements for the three months ended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 (</w:t>
      </w:r>
      <w:r>
        <w:rPr>
          <w:rFonts w:ascii="Times New Roman" w:cs="Times New Roman" w:eastAsia="Times New Roman" w:hAnsi="Times New Roman"/>
          <w:sz w:val="18"/>
          <w:szCs w:val="18"/>
          <w:i w:val="1"/>
          <w:iCs w:val="1"/>
          <w:color w:val="auto"/>
        </w:rPr>
        <w:t>dollars in thousands, except per share amounts</w:t>
      </w:r>
      <w:r>
        <w:rPr>
          <w:rFonts w:ascii="Times New Roman" w:cs="Times New Roman" w:eastAsia="Times New Roman" w:hAnsi="Times New Roman"/>
          <w:sz w:val="18"/>
          <w:szCs w:val="18"/>
          <w:color w:val="auto"/>
        </w:rPr>
        <w: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March 31, 2023</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4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1"/>
        </w:trPr>
        <w:tc>
          <w:tcPr>
            <w:tcW w:w="4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20"/>
                <w:szCs w:val="20"/>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5"/>
        </w:trPr>
        <w:tc>
          <w:tcPr>
            <w:tcW w:w="42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r>
      <w:tr>
        <w:trPr>
          <w:trHeight w:val="24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72,371</w:t>
            </w:r>
          </w:p>
        </w:tc>
      </w:tr>
      <w:tr>
        <w:trPr>
          <w:trHeight w:val="25"/>
        </w:trPr>
        <w:tc>
          <w:tcPr>
            <w:tcW w:w="4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507,858</w:t>
            </w:r>
          </w:p>
        </w:tc>
      </w:tr>
      <w:tr>
        <w:trPr>
          <w:trHeight w:val="24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(530,872)</w:t>
            </w:r>
          </w:p>
        </w:tc>
      </w:tr>
      <w:tr>
        <w:trPr>
          <w:trHeight w:val="25"/>
        </w:trPr>
        <w:tc>
          <w:tcPr>
            <w:tcW w:w="4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4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72,371</w:t>
            </w:r>
          </w:p>
        </w:tc>
      </w:tr>
      <w:tr>
        <w:trPr>
          <w:trHeight w:val="901"/>
        </w:trPr>
        <w:tc>
          <w:tcPr>
            <w:tcW w:w="4260" w:type="dxa"/>
            <w:vAlign w:val="bottom"/>
          </w:tcPr>
          <w:p>
            <w:pPr>
              <w:spacing w:after="0"/>
              <w:rPr>
                <w:sz w:val="24"/>
                <w:szCs w:val="24"/>
                <w:color w:val="auto"/>
              </w:rPr>
            </w:pPr>
          </w:p>
        </w:tc>
        <w:tc>
          <w:tcPr>
            <w:tcW w:w="23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1"/>
        </w:trPr>
        <w:tc>
          <w:tcPr>
            <w:tcW w:w="426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gridSpan w:val="7"/>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Three Months Ended March 31, 2023</w:t>
            </w:r>
          </w:p>
        </w:tc>
      </w:tr>
      <w:tr>
        <w:trPr>
          <w:trHeight w:val="25"/>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1"/>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20"/>
                <w:szCs w:val="20"/>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6"/>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(25,203)</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(27,101)</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(27,430)</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accrual of Series A Preferred Stock paid-in-kind dividends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(28,112)</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5"/>
        </w:trPr>
        <w:tc>
          <w:tcPr>
            <w:tcW w:w="66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5"/>
        </w:trPr>
        <w:tc>
          <w:tcPr>
            <w:tcW w:w="6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gridSpan w:val="7"/>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Three Months Ended March 31, 2023</w:t>
            </w:r>
          </w:p>
        </w:tc>
      </w:tr>
      <w:tr>
        <w:trPr>
          <w:trHeight w:val="25"/>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1"/>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 (Deficit)</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20"/>
                <w:szCs w:val="20"/>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5"/>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8"/>
              </w:rPr>
              <w:t>1,969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507,858</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left="632"/>
              <w:spacing w:after="0"/>
              <w:rPr>
                <w:sz w:val="20"/>
                <w:szCs w:val="20"/>
                <w:color w:val="auto"/>
              </w:rPr>
            </w:pPr>
            <w:r>
              <w:rPr>
                <w:rFonts w:ascii="Times New Roman" w:cs="Times New Roman" w:eastAsia="Times New Roman" w:hAnsi="Times New Roman"/>
                <w:sz w:val="18"/>
                <w:szCs w:val="18"/>
                <w:color w:val="auto"/>
                <w:w w:val="98"/>
              </w:rPr>
              <w:t>(2,401)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(530,872)</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8"/>
              </w:rPr>
              <w:t>(1,061)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(27,430)</w:t>
            </w:r>
          </w:p>
        </w:tc>
      </w:tr>
      <w:tr>
        <w:trPr>
          <w:trHeight w:val="25"/>
        </w:trPr>
        <w:tc>
          <w:tcPr>
            <w:tcW w:w="6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gridSpan w:val="7"/>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Three Months Ended March 31, 2023</w:t>
            </w:r>
          </w:p>
        </w:tc>
      </w:tr>
      <w:tr>
        <w:trPr>
          <w:trHeight w:val="25"/>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1"/>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As Previously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220" w:type="dxa"/>
            <w:vAlign w:val="bottom"/>
          </w:tcPr>
          <w:p>
            <w:pPr>
              <w:spacing w:after="0"/>
              <w:rPr>
                <w:sz w:val="20"/>
                <w:szCs w:val="20"/>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5"/>
        </w:trPr>
        <w:tc>
          <w:tcPr>
            <w:tcW w:w="6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(27,430)</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change in fair value of ELOC program</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financing costs associated with ELOC program</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common stock under the ELOC program, net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28,683</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51,568</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51,641</w:t>
            </w:r>
          </w:p>
        </w:tc>
      </w:tr>
      <w:tr>
        <w:trPr>
          <w:trHeight w:val="25"/>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5"/>
        </w:trPr>
        <w:tc>
          <w:tcPr>
            <w:tcW w:w="66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
        </w:trPr>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to settle commitment shares related to the ELOC program</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889"/>
        </w:trPr>
        <w:tc>
          <w:tcPr>
            <w:tcW w:w="66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2"/>
        </w:trPr>
        <w:tc>
          <w:tcPr>
            <w:tcW w:w="6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Distribution Agreement</w:t>
      </w:r>
    </w:p>
    <w:p>
      <w:pPr>
        <w:spacing w:after="0" w:line="219"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color w:val="auto"/>
        </w:rPr>
        <w:t>On April 9, 2024, the Company entered into an Equity Distribution Agreement (the “Equity Distribution Agreement”) with Citigroup Global Markets Inc., Barclays Capital Inc., Wedbush Securities Inc., Northland Securities, Inc. and Ladenburg Thalmann &amp; Co. Inc. (each, a “Manager,” and, collectively, the “Managers”) with respect to an at-the-market equity program under which the Company may offer and sell aggregate gross sale proceeds up to $150,000,000 of shares of its Class A Common Stock from time to time through the Managers (the “ATM Offering”). Sales of Class A Common Stock, if any, under the Equity Distribution Agreement will be made at market prices by any method that is deemed to be an “at the market offering” as defined in Rule 415 under the Securities Act. The Managers will be entitled to commission at a fixed rate of 2.5% of the gross sales price per share for their services in acting as agent in the sale of the Company's Class A Common Stock. The Company will reimburse the Managers for certain specified expenses in connection with the execution of the Equity Distribution Agreement.</w:t>
      </w:r>
    </w:p>
    <w:p>
      <w:pPr>
        <w:spacing w:after="0" w:line="190"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During April 2024, the Company sold 7,239,282 shares of our common stock under the Equity Distribution Agreement at an average price of $4.17 per share for $30.2 million of gross proceeds. The commissions and offering costs borne by the Company were approximately $0.8 million. Following this issuance, the Company has a remaining capacity to sell up to an additional $119.8 million of the Company's common stock under the Equity Distribution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4" w:lineRule="exact"/>
        <w:rPr>
          <w:sz w:val="20"/>
          <w:szCs w:val="20"/>
          <w:color w:val="auto"/>
        </w:rPr>
      </w:pPr>
    </w:p>
    <w:p>
      <w:pPr>
        <w:jc w:val="both"/>
        <w:ind w:firstLine="318"/>
        <w:spacing w:after="0" w:line="201"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SoundHound should be read together with our unaudited interim condensed consolidated financial statements and the related notes thereto included elsewhere in this Quarterly Report on Form 10-Q ("Form 10-Q") and the audited consolidated financial statements and notes thereto and Management’s Discussion and Analysis of Financial Condition and Results of Operation as of and for the year ended December 31, 2023 (“2023”) included in our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 K for 2023 filed with the SEC on March 1, 2024 ("Form 10-K"). Some of the information contained in this discussion and analysis or set forth elsewhere in this report, including information with respect to SoundHound’s plans and strategy for its business and related financing, includes forward-looking statements that involve risks and uncertainties. As a result of many factors, including those factors set forth in the “Risk Factors” and “Cautionary Statement Regarding Forward Looking Statements” section of this report,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AI, Inc.</w:t>
      </w:r>
    </w:p>
    <w:p>
      <w:pPr>
        <w:spacing w:after="0" w:line="185"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i w:val="1"/>
          <w:iCs w:val="1"/>
          <w:color w:val="auto"/>
        </w:rPr>
        <w:t>We have revised the previously issued condensed consolidated statements of operations and comprehensive loss, condensed consolidated balance sheets, condensed consolidated statements of cash flows and condensed consolidated statements of stockholders’ deficit tables as of and for the three months ended March 31, 2023 to correct for such errors as described in Note 18 of our notes to the condensed consolidated financial statements. All relevant prior period amounts affected by these revisions have been corrected in Management’s Discussion and Analysis of Financial Condition and Results of Operation in this Form 10-Q.</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1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85" w:lineRule="exact"/>
        <w:rPr>
          <w:sz w:val="20"/>
          <w:szCs w:val="20"/>
          <w:color w:val="auto"/>
        </w:rPr>
      </w:pPr>
    </w:p>
    <w:p>
      <w:pPr>
        <w:ind w:right="440" w:firstLine="318"/>
        <w:spacing w:after="0" w:line="251"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155 patents granted and over 115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 which is estimated to grow to over $140 billion per year by 2024.</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our brand, users and data. As a result, brands relying on big tech may lose their ability to innovate, differentiate and customize. In some cases, these providers even compete with the products they support, making them increasingly less attractive as a choice for a voice interface.</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alternative options are generally legacy vendors tending to use what we consider to be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7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We believe that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enabling them to offer disruptive technologies to their users while maintaining control of their brand and user experience.</w:t>
      </w:r>
    </w:p>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also expect to provide an additional path to monetization for our customer base. By choosing our platform, product creators can generate additional revenue while making their product better by using Voice AI, providing further incentive to choose our platform.</w:t>
      </w:r>
    </w:p>
    <w:p>
      <w:pPr>
        <w:spacing w:after="0" w:line="16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We aim to deliver the most advanced Voice AI in the world and thus allowing our partners to differentiate and innovate their overall experiences for their brands.</w:t>
      </w:r>
    </w:p>
    <w:p>
      <w:pPr>
        <w:spacing w:after="0" w:line="1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will have Voice AI customized in different ways. Product creators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8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When a product is voice enabled, we see three stages of integration and value propositions. The first stage is to enable the core use case of the product. For example, the product could be a TV, a coffee machine, a car, a wearable device, a robot, a smart speaker, an appliance or other devices, and with your voice you can control the functionality of the device and the product. With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in only few seconds, but it can take many steps to use alternative interfaces such as a remote control or a companion app.</w:t>
      </w:r>
    </w:p>
    <w:p>
      <w:pPr>
        <w:spacing w:after="0" w:line="18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a local business. The addition of these public domains further enhances the value proposition of the product.</w:t>
      </w:r>
    </w:p>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up to your coffee machine and asking for a triple shot extra hot latte. While you are waiting for your drink, you can ask for weather and sports scores, and if you desire, you can even order bagels from your favorite nearby bakery.</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are three pillars to our revenue model. The first pillar is Product Royalties, where we voice enable a product and the product creator pays us a royalty based on volume, usage or duration. SoundHound collects royalty revenue when our technology is placed in a car, smart speaker or an appliance, for example.</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7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third pillar seeks to create a monetization ecosystem that brings the services from pillar two to the products in pillar one. When the users of a voice-enabled product in pillar one access the voice-enabled services of pillar two, these services generate new leads and transactions. SoundHound will generate monetization revenue from the services for generating these leads and transactions, and we will share the revenue with the product creators of pillar one.</w:t>
      </w:r>
    </w:p>
    <w:p>
      <w:pPr>
        <w:spacing w:after="0" w:line="159"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For example, when the driver of a voice-enabled car places an order to a restaurant that is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w:t>
      </w:r>
    </w:p>
    <w:p>
      <w:pPr>
        <w:spacing w:after="0" w:line="185" w:lineRule="exact"/>
        <w:rPr>
          <w:sz w:val="20"/>
          <w:szCs w:val="20"/>
          <w:color w:val="auto"/>
        </w:rPr>
      </w:pPr>
    </w:p>
    <w:p>
      <w:pPr>
        <w:jc w:val="both"/>
        <w:ind w:firstLine="397"/>
        <w:spacing w:after="0" w:line="252" w:lineRule="auto"/>
        <w:rPr>
          <w:sz w:val="20"/>
          <w:szCs w:val="20"/>
          <w:color w:val="auto"/>
        </w:rPr>
      </w:pPr>
      <w:r>
        <w:rPr>
          <w:rFonts w:ascii="Times New Roman" w:cs="Times New Roman" w:eastAsia="Times New Roman" w:hAnsi="Times New Roman"/>
          <w:sz w:val="18"/>
          <w:szCs w:val="18"/>
          <w:color w:val="auto"/>
        </w:rPr>
        <w:t>During the periods presented in the condensed consolidated financial statements,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over time, from leads and transactions on voice-enabled products from voice-enabled services, which we expect will provide much more seamless opportunities for consumers to access goods and services that they covet as we further build out and scale the voice-enabled ecosystem.</w:t>
      </w:r>
    </w:p>
    <w:p>
      <w:pPr>
        <w:spacing w:after="0" w:line="18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While all three pillars contribute to our revenues today, the majority of the contribution is currently from our first pillar with only a small contribution from pillar three from our music identification app. Over time, the subscription and monetization portions are expected to grow and make a bigger contribution to our overall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SYNQ3 Acquisition</w:t>
      </w:r>
    </w:p>
    <w:p>
      <w:pPr>
        <w:spacing w:after="0" w:line="221"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In December 2023, we entered an Agreement and Plan of Merger (the "Acquisition") with a closing date of January 3, 2024 with Synq3, Inc. ("SYNQ3"), a leading provider of voice AI and other technology solutions to the restaurant industry, to acquire its issued and outstanding equity. The acquisition of SYNQ3 is expected to expand our AI customer service solutions and create the largest Voice AI provider for restaurants. We believe the acquisition will significantly extend our market reach to over 10,000 signed locations and accelerate the deployment of leading-edge generative AI capabilities to the industry</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strengthening SoundHound’s leadership as we move to rapidly roll out our proprietary AI solutions to restaurants across the U.S. and beyond. Together, with a total of more than 25 national and multinational chains, the highly complementary businesses will match nearly two decades of SoundHound AI innovation with decades of SYNQ3 industry expertise and established relationships. We have incurred certain significant costs relating to the Acquisition, such as legal, accounting, financial advisory, printing and other professional services fees, as well as other customary payments. Refer to the "Liquidity and Capital Resources" section for discussion on the purchase price and the Acquisition's impact on SoundHound's liquidity and refer to "Item 1A. Risk Factors" in our Form 10-K for a discussion regarding the risks associated with the Acquisition.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Distribution Agreement</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entered into an Equity Distribution Agreement (the “Equity Distribution Agreement”) on April 9, 2024 with Citigroup Global Markets Inc., Barclays Capital Inc., Wedbush Securities Inc., Northland Securities, Inc. and Ladenburg Thalmann &amp; Co. Inc. (collectively, the "Managers") with respect to an at-the-market equity program. Under this program, we may offer and sell aggregate gross sale proceeds up to $150.0 million of shares of our Class A Common Stock ("Class A Common Stock") through the Managers. Refer to the "Liquidity and Capital Resources" section for more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Demands, Commitments, Events or Uncertainties Impacting Our Business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many factors that present significant opportunities for us but also pose risks and challenges, including the following:</w:t>
      </w:r>
    </w:p>
    <w:p>
      <w:pPr>
        <w:spacing w:after="0" w:line="159" w:lineRule="exact"/>
        <w:rPr>
          <w:sz w:val="20"/>
          <w:szCs w:val="20"/>
          <w:color w:val="auto"/>
        </w:rPr>
      </w:pPr>
    </w:p>
    <w:p>
      <w:pPr>
        <w:jc w:val="both"/>
        <w:ind w:left="640" w:hanging="316"/>
        <w:spacing w:after="0" w:line="25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Investments in Technology. </w:t>
      </w:r>
      <w:r>
        <w:rPr>
          <w:rFonts w:ascii="Times New Roman" w:cs="Times New Roman" w:eastAsia="Times New Roman" w:hAnsi="Times New Roman"/>
          <w:sz w:val="18"/>
          <w:szCs w:val="18"/>
          <w:color w:val="auto"/>
        </w:rPr>
        <w:t>Our business model since inception has been to invest in our technology in the form of dedicated research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We will continue to invest in the development of our software platform to deliver consumers with continually improving value and delight. Our investments include continuous enhancements to our technology we've developed over the last two decades, investments in data to help refine and improve our underlying algorithms and other costs to attract and retain a world-class technical workforce.</w:t>
      </w:r>
    </w:p>
    <w:p>
      <w:pPr>
        <w:spacing w:after="0" w:line="176" w:lineRule="exact"/>
        <w:rPr>
          <w:rFonts w:ascii="Times New Roman" w:cs="Times New Roman" w:eastAsia="Times New Roman" w:hAnsi="Times New Roman"/>
          <w:sz w:val="18"/>
          <w:szCs w:val="18"/>
          <w:color w:val="auto"/>
        </w:rPr>
      </w:pPr>
    </w:p>
    <w:p>
      <w:pPr>
        <w:jc w:val="both"/>
        <w:ind w:left="640" w:hanging="316"/>
        <w:spacing w:after="0" w:line="249"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Revenue Growth. </w:t>
      </w:r>
      <w:r>
        <w:rPr>
          <w:rFonts w:ascii="Times New Roman" w:cs="Times New Roman" w:eastAsia="Times New Roman" w:hAnsi="Times New Roman"/>
          <w:sz w:val="18"/>
          <w:szCs w:val="18"/>
          <w:color w:val="auto"/>
        </w:rPr>
        <w:t>Our commercial success, including acceptance and use of our applications, will depend on a number of factors, some of which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As we build new customer relationships, we continually focus on maintaining and growing our existing relationships through long-term partnerships through significant upfront investment in customer specific engineering projects. Additionally, we may look to acquire other companies in the industry to develop synergies with our existing business.</w:t>
      </w:r>
    </w:p>
    <w:p>
      <w:pPr>
        <w:spacing w:after="0" w:line="187" w:lineRule="exact"/>
        <w:rPr>
          <w:rFonts w:ascii="Times New Roman" w:cs="Times New Roman" w:eastAsia="Times New Roman" w:hAnsi="Times New Roman"/>
          <w:sz w:val="18"/>
          <w:szCs w:val="18"/>
          <w:color w:val="auto"/>
        </w:rPr>
      </w:pPr>
    </w:p>
    <w:p>
      <w:pPr>
        <w:jc w:val="both"/>
        <w:ind w:left="640" w:hanging="316"/>
        <w:spacing w:after="0" w:line="25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The results of our business will depend in part on our ability to establish and increase our gross margins by scaling our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76"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Seasonality. </w:t>
      </w:r>
      <w:r>
        <w:rPr>
          <w:rFonts w:ascii="Times New Roman" w:cs="Times New Roman" w:eastAsia="Times New Roman" w:hAnsi="Times New Roman"/>
          <w:sz w:val="18"/>
          <w:szCs w:val="18"/>
          <w:color w:val="auto"/>
        </w:rPr>
        <w:t>Our ability to accurately forecast demand for our technology could be negatively affected by many factors, including seasonal demand.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anticipate that we will experience fluctuations in customer and user demand based on seasonality. For example, in the past, we have seen approximately one third of our revenue in the first half of the year with the remaining two thirds in the second half. Additionally, given that we address markets across several different industry verticals, the associated overall seasonality impact to us may not be consistent year-to-year.</w:t>
      </w:r>
    </w:p>
    <w:p>
      <w:pPr>
        <w:spacing w:after="0" w:line="176" w:lineRule="exact"/>
        <w:rPr>
          <w:rFonts w:ascii="Times New Roman" w:cs="Times New Roman" w:eastAsia="Times New Roman" w:hAnsi="Times New Roman"/>
          <w:sz w:val="18"/>
          <w:szCs w:val="18"/>
          <w:color w:val="auto"/>
        </w:rPr>
      </w:pPr>
    </w:p>
    <w:p>
      <w:pPr>
        <w:jc w:val="both"/>
        <w:ind w:left="640" w:hanging="316"/>
        <w:spacing w:after="0" w:line="26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Development of International Markets. </w:t>
      </w:r>
      <w:r>
        <w:rPr>
          <w:rFonts w:ascii="Times New Roman" w:cs="Times New Roman" w:eastAsia="Times New Roman" w:hAnsi="Times New Roman"/>
          <w:sz w:val="18"/>
          <w:szCs w:val="18"/>
          <w:color w:val="auto"/>
        </w:rPr>
        <w:t>We have rapidly expanded our capabilities and global reach. For example, we have globalized our solution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include 25 languages. We view opportunities for conversational Voice AI to be global in reach, and we expect our growth to be fueled across multiple geographies.</w:t>
      </w:r>
    </w:p>
    <w:p>
      <w:pPr>
        <w:spacing w:after="0" w:line="170" w:lineRule="exact"/>
        <w:rPr>
          <w:rFonts w:ascii="Times New Roman" w:cs="Times New Roman" w:eastAsia="Times New Roman" w:hAnsi="Times New Roman"/>
          <w:sz w:val="18"/>
          <w:szCs w:val="18"/>
          <w:color w:val="auto"/>
        </w:rPr>
      </w:pPr>
    </w:p>
    <w:p>
      <w:pPr>
        <w:jc w:val="both"/>
        <w:ind w:left="640" w:hanging="316"/>
        <w:spacing w:after="0" w:line="270"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Industry Risks. </w:t>
      </w:r>
      <w:r>
        <w:rPr>
          <w:rFonts w:ascii="Times New Roman" w:cs="Times New Roman" w:eastAsia="Times New Roman" w:hAnsi="Times New Roman"/>
          <w:sz w:val="17"/>
          <w:szCs w:val="17"/>
          <w:color w:val="auto"/>
        </w:rPr>
        <w:t>Inflation has risen significantly worldwide and the United States has recently experienced historically high levels of inflation. This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 Additionally, the military conflict between Russia and Ukraine and the Israel-Hamas war have had an adverse impact on the global economy and financial markets. Although our business has not been materially impacted by the Russia-Ukraine conflict or the Israel-Hamas war, it is impossible to predict the extent to which our operations, or those of our customers’ suppliers and manufacturers, will be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impacted in the short and long term, or the ways in which the conflicts may impact our business. The extent and duration of the military action, sanctions and resulting market disruptions are impossible to predict but could be substantial.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SoundHound generates revenues through: (1) “Product Royalties,” meaning royalties from voice-enabled products which are driven by volume, usage or life of applicable products and are affected by number of devices, users and units of usage, (2) “Service Subscriptions,” meaning subscription revenues, derived from monthly fees based on usage-based revenue, revenue per query or revenue per user, and (3) “Monetization,” meaning revenues generated from focused ad targeting to users of products and services that employ our technologies. Currently, our monetization revenue is derived only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8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18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have and may continue to experience volatility for our remaining performance obligations and deferred revenue as a result of the timing for completing our performance obligations. We had remaining performance obligations in the amount of $11.8 million as of March 31, 2024. Given the applicable contract terms, $6.3 million is expected to be recognized as revenue within one year, $3.4 million is expected to be recognized between 2 to 5 years and the remainder of $2.1 million is expected to be recognized after 5 years.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1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anticipate that we will experience fluctuations in our revenues from quarter-to-quarter due to a variety of factors, including acquisitions, the supply and demand of end user products such as automobiles, the size and success of our sales force and the number of users who are aware of and use our application. See Note 4 to our unaudited condensed consolidated financial statements included within this report for more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classify our operating expenses into the following seven categories, which are cost of revenues, sales and marketing, research and development, general and administrative, change in fair value of contingent acquisition liabilities, amortization of intangible assets and restructuring. With respect to sales and marketing, research and development, and general and administrative, each expense category includes overhead, including rent and related occupancy costs, which is allocated based on headcount. We plan to continue investing to support our go-to-market strategies and customer engagement, develop our current and future applications and support our operations as a public company. While our gross margin may continue to fluctuate in the near-term due to revenue contributions from varying product mixes, as well as acquisitions, we expect it will stabilize as we continue to scale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SoundHound’s cost of revenues are comprised of direct costs associated directly with SoundHound’s revenue streams as described above. This primarily includes costs and depreciation related to hosting for cloud-based services, such as data centers, electricity charges, content fees and certain personnel-related expenses including personnel costs under call centers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that are directly related to these revenue streams. Additionally, our cost of revenues also includes the amortization of developed technology acquired from SYNQ3 as an intangible asset.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Sales and marketing expenses consist of personnel-related costs of the sales and marketing team, promotional campaigns, advertising fees and other marketing related costs. Advertising costs are expensed to sales and marketing when incurred.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research and development expenses are our largest operating expense as we continue to develop our software platforms and produce new technological capabilities.</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associated with the design and development of new products in the periods in which they are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accounting and legal expenses, third-party consulting costs, insurance and allocated overhead including rent, depreciation and utilities.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Acquisition Liabilities</w:t>
      </w:r>
    </w:p>
    <w:p>
      <w:pPr>
        <w:spacing w:after="0" w:line="219"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change in fair value of contingent acquisition liabilities is related to contingent consideration from the Acquisition, The contingent consideration was determined to be liability classified and is remeasured as of each reporting period with a corresponding change in fair value recorded.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2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Amortization of acquired customer relationships, tradename and conversation data is included within operating expenses and arises from the amortization of assets acquired through the Acquisition. We review intangible assets for impairment at least annually, or whenever events or changes in circumstances indicate that the carrying amount may not be recoverable. If an evaluation of recoverability is required, the estimated undiscounted future cash flows directly associated with the asset are compared with the asset’s carrying amount. If the estimated future cash flows from the use of the asset are less than the carrying value, an impairment charge would be recorded to write down the asset to its estimated fair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Restructuring expenses consisted of employee severance payments, employee benefits and share-based compensation related to reduced headcount from our restructuring plan ("Restructuring Plan") announced in January 2023. The Restructuring Plan was complete as of December 31,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Interest expense consists of stated interest incurred on our outstanding convertible notes and term debt during the relevant periods, as well as the amortization of debt discounts and issuance costs over the life of the instruments or a shorter period if a lender can demand payment in the event certain events occur that are outside of our control.</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issuance of debt instruments with direct transaction costs, embedded derivatives and warrant instruments has resulted in debt discounts. Direct transaction costs consist of various transaction fees and third-party costs, such as bank and legal fees, that are incurred upon issuance. Overall, the discounts from debt issuance costs result in an increased amount of interest expense over the amortization period.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income (expense), net consists of the change in fair value related to our derivative liability, interest income and other income (expense).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Income tax expense includes federal, state and foreign taxes and is based on reported income before income taxes. We are in a cumulative loss position for tax purposes based on historical earnings. As of December 31, 2023, we had $395.5 million of U.S. federal and $109.4 million of state net operating loss carryforwards available to reduce future taxable income. The federal and state net operating loss carryforwards will start to expire in 2025 and 2028, respectively, with the exception of $306.8 million federal net operating loss carryforwards and $5.6 million state net operating loss carryforwards, which can be carried forward indefinitely.</w:t>
      </w:r>
    </w:p>
    <w:p>
      <w:pPr>
        <w:spacing w:after="0" w:line="1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had federal and state research and development credit carryforwards of $14.4 million and $10.9 million, respectively, as of December 31, 2023. The federal credits will expire starting in 2029 if not utilized. The state credits can be carried forward indefinitely. We also had Canadian SR&amp;ED tax credits of $1.7 million, which expire starting in 2038 if not utilized.</w:t>
      </w:r>
    </w:p>
    <w:p>
      <w:pPr>
        <w:spacing w:after="0" w:line="165"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and similar state tax laws, utilization of net operating loss carryforwards and tax credits may be subject to annual limitations due to certain ownership changes. Our net operating loss carryforwards and tax credits could expire before utilization if subject to annual limitations.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set forth the significant components of our results of operations for the three months ended March 31, 2024 and 2023 ($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3"/>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5"/>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24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40,123</w:t>
            </w:r>
          </w:p>
        </w:tc>
        <w:tc>
          <w:tcPr>
            <w:tcW w:w="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31,910</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5"/>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(28,529)</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(25,203)</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417 %</w:t>
            </w:r>
          </w:p>
        </w:tc>
      </w:tr>
      <w:tr>
        <w:trPr>
          <w:trHeight w:val="24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5"/>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8"/>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3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(32,714)</w:t>
            </w:r>
          </w:p>
        </w:tc>
        <w:tc>
          <w:tcPr>
            <w:tcW w:w="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(27,101)</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8"/>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(33,009)</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(27,430)</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Not meaningful</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gross profit and gross margin ($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580" w:type="dxa"/>
            <w:vAlign w:val="bottom"/>
          </w:tcPr>
          <w:p>
            <w:pPr>
              <w:spacing w:after="0"/>
              <w:rPr>
                <w:sz w:val="18"/>
                <w:szCs w:val="18"/>
                <w:color w:val="auto"/>
              </w:rPr>
            </w:pPr>
          </w:p>
        </w:tc>
      </w:tr>
      <w:tr>
        <w:trPr>
          <w:trHeight w:val="233"/>
        </w:trPr>
        <w:tc>
          <w:tcPr>
            <w:tcW w:w="6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
        </w:trPr>
        <w:tc>
          <w:tcPr>
            <w:tcW w:w="6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3"/>
        </w:trPr>
        <w:tc>
          <w:tcPr>
            <w:tcW w:w="6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580" w:type="dxa"/>
            <w:vAlign w:val="bottom"/>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11,594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6,707</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4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Pr>
          <w:p>
            <w:pPr>
              <w:spacing w:after="0"/>
              <w:rPr>
                <w:sz w:val="20"/>
                <w:szCs w:val="20"/>
                <w:color w:val="auto"/>
              </w:rPr>
            </w:pP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25"/>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6,925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4,731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58"/>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6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our revenues by type and geographic regions for the three months ended March 31, 2024 and 2023 ($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2500" w:type="dxa"/>
            <w:vAlign w:val="bottom"/>
            <w:gridSpan w:val="4"/>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3"/>
        </w:trPr>
        <w:tc>
          <w:tcPr>
            <w:tcW w:w="4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gridSpan w:val="3"/>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5"/>
        </w:trPr>
        <w:tc>
          <w:tcPr>
            <w:tcW w:w="49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
        </w:trPr>
        <w:tc>
          <w:tcPr>
            <w:tcW w:w="49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royalties</w:t>
            </w: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4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subscriptions</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816 %</w:t>
            </w:r>
          </w:p>
        </w:tc>
      </w:tr>
      <w:tr>
        <w:trPr>
          <w:trHeight w:val="25"/>
        </w:trPr>
        <w:tc>
          <w:tcPr>
            <w:tcW w:w="4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8"/>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11,594</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0"/>
        </w:trPr>
        <w:tc>
          <w:tcPr>
            <w:tcW w:w="4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250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3"/>
        </w:trPr>
        <w:tc>
          <w:tcPr>
            <w:tcW w:w="4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gridSpan w:val="3"/>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5"/>
        </w:trPr>
        <w:tc>
          <w:tcPr>
            <w:tcW w:w="49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920" w:type="dxa"/>
            <w:vAlign w:val="bottom"/>
            <w:tcBorders>
              <w:bottom w:val="single" w:sz="8" w:color="CCEEFF"/>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4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w:t>
            </w:r>
          </w:p>
        </w:tc>
      </w:tr>
      <w:tr>
        <w:trPr>
          <w:trHeight w:val="25"/>
        </w:trPr>
        <w:tc>
          <w:tcPr>
            <w:tcW w:w="4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58"/>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11,594</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0"/>
        </w:trPr>
        <w:tc>
          <w:tcPr>
            <w:tcW w:w="4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Total revenues increased by $4.9 million, or 73%, in the three months ended March 31, 2024 compared to the same period in 2023. The increase of $3.2 million in service subscription revenue, primarily based in the Americas, was driven by the contribution of SYNQ3 revenue. Other factors include an increase of unit-based Product Royalties of $0.8 million from customers in Asia. The increase in the EMEA region is partially offset by the decrease in relation to the termination of a contract.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Cost of revenues increased by $2.7 million, or 136%, in the three months ended March 31, 2024 compared to the same period in 2023. Gross margin decreased to 60% during the three months ended March 31, 2024 from 71% during the same period in 2023 primarily due to the Acquisition, which included a mix of lower margin call center agent business and amortization of acquired intangible assets. In the past, our gross margin has fluctuated and may continue to fluctuate from quarter to quarter due to revenue contributions from varying product mixes. However, we expect to gradually improve gross margins in the mid-term, especially as it relates the integration of SYNQ3.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Sales and marketing expenses increased by $0.7 million, or 14%, in the three months ended March 31, 2024 compared to the same period in 2023, primarily due to increases in 2024 of $0.9 million in personnel-related costs and $0.1 million in consulting fees, which were partially offset by a decrease of $0.3 million incurred for information technology and facility allocations.</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1"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increased by $0.7 million, or 5%, in the three months ended March 31, 2024 compared to the same period in 2023. The increase in research and development expenses was primarily due to increased spending on cloud computing services of $1.2 million and personnel-related costs of $0.9 million. This is partially offset by the reduced information technology and facility allocations of $1.0 million, office expenses of $0.2 million, consulting fees of $0.1 million and legal and professional fees of $0.1 million. Included in the research and development expense is an increase of $0.7 million arising from the SYNQ3 acquisition, stemming from increased personnel-related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1" w:lineRule="exact"/>
        <w:rPr>
          <w:sz w:val="20"/>
          <w:szCs w:val="20"/>
          <w:color w:val="auto"/>
        </w:rPr>
      </w:pPr>
    </w:p>
    <w:p>
      <w:pPr>
        <w:jc w:val="both"/>
        <w:ind w:right="100" w:firstLine="318"/>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increased by $3.0 million, or 41%, in the three months ended March 31, 2024 compared to the same period in 2023. The increase in general and administrative expenses was primarily due to an increase of $2.2 million in legal and professional fees, of which $0.2 million relate to the SYNQ3 Acquisition, $1.2 million in information technology and facility allocations and $1.1 million in personnel-related costs. The Acquisition led to increases in personnel-related costs, amortization expense and office expenses. This increase was offset by reductions of $0.9 million in office expenses, $0.5 million in insurance expense and property-related expenses of $0.1 million. We expect our general and administrative expenses to increase in the short term as we invest in our control environment. However, in the long term, we expect general and administrative expenses to grow at a rate below that of our revenue, aligning with our strategic emphasis on cost effectiveness and sustainable financial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Acquisition Liabilities</w:t>
      </w:r>
    </w:p>
    <w:p>
      <w:pPr>
        <w:spacing w:after="0" w:line="221" w:lineRule="exact"/>
        <w:rPr>
          <w:sz w:val="20"/>
          <w:szCs w:val="20"/>
          <w:color w:val="auto"/>
        </w:rPr>
      </w:pPr>
    </w:p>
    <w:p>
      <w:pPr>
        <w:jc w:val="both"/>
        <w:ind w:right="120" w:firstLine="318"/>
        <w:spacing w:after="0" w:line="274" w:lineRule="auto"/>
        <w:rPr>
          <w:sz w:val="20"/>
          <w:szCs w:val="20"/>
          <w:color w:val="auto"/>
        </w:rPr>
      </w:pPr>
      <w:r>
        <w:rPr>
          <w:rFonts w:ascii="Times New Roman" w:cs="Times New Roman" w:eastAsia="Times New Roman" w:hAnsi="Times New Roman"/>
          <w:sz w:val="18"/>
          <w:szCs w:val="18"/>
          <w:color w:val="auto"/>
        </w:rPr>
        <w:t>The loss from the change in fair value of acquisition related liabilities, which is driven by the increase in our stock price, is $4.2 million for the three months ended March 31,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221"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Amortization of acquired developed technology is included within cost of revenues, while the amortization of other intangible assets, including acquired customer relationships, tradename and conversation data, are included within operating expenses. All intangible assets are amortized on a straight-line basis over their estimated useful lives.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amortization of intangible assets by operating expense category ($ in thousands):</w:t>
      </w:r>
    </w:p>
    <w:p>
      <w:pPr>
        <w:spacing w:after="0" w:line="268"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262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3"/>
        </w:trPr>
        <w:tc>
          <w:tcPr>
            <w:tcW w:w="4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60" w:type="dxa"/>
            <w:vAlign w:val="bottom"/>
            <w:gridSpan w:val="3"/>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60" w:type="dxa"/>
            <w:vAlign w:val="bottom"/>
          </w:tcPr>
          <w:p>
            <w:pPr>
              <w:spacing w:after="0"/>
              <w:rPr>
                <w:sz w:val="20"/>
                <w:szCs w:val="20"/>
                <w:color w:val="auto"/>
              </w:rPr>
            </w:pPr>
          </w:p>
        </w:tc>
      </w:tr>
      <w:tr>
        <w:trPr>
          <w:trHeight w:val="25"/>
        </w:trPr>
        <w:tc>
          <w:tcPr>
            <w:tcW w:w="4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6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
        </w:trPr>
        <w:tc>
          <w:tcPr>
            <w:tcW w:w="4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8"/>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amortization</w:t>
            </w:r>
          </w:p>
        </w:tc>
        <w:tc>
          <w:tcPr>
            <w:tcW w:w="96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1"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There were no restructuring expenses resulting from the Restructuring Plan recorded in the three months ended March 31, 2024 as the Restructuring Plan was complete as of December 31, 2023, compared to $3.6 million of expenses incurred in the same period in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1"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Interest expense increased by $4.6 million, or 417%, in the three months ended March 31, 2024 compared to the same period in 2023. The increase in interest expense was primarily attributable to higher interest cost of $3.5 million resulting from increased interest rate and higher outstanding balance, plus $1.1 million amortization of debt issuance costs and discounts on the Senior Secured Term Loan Credit Agreement with ACP Post OAK Credit II LLC (the "Term Loan") executed in April 2023 relative to those on our 2021 note payable ("SVB March 2021 Note") and 2021 convertible note ("SCI June 2021 Note"), which were terminated at the time that the Term Loan was obtained.</w:t>
      </w:r>
    </w:p>
    <w:p>
      <w:pPr>
        <w:spacing w:after="0" w:line="200" w:lineRule="exact"/>
        <w:rPr>
          <w:sz w:val="20"/>
          <w:szCs w:val="20"/>
          <w:color w:val="auto"/>
        </w:rPr>
      </w:pPr>
    </w:p>
    <w:p>
      <w:pPr>
        <w:spacing w:after="0" w:line="3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31"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24"/>
        </w:trPr>
        <w:tc>
          <w:tcPr>
            <w:tcW w:w="5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8"/>
              </w:rPr>
              <w:t>The following tables summarize our other income (expense), net, by type ($</w:t>
            </w:r>
          </w:p>
        </w:tc>
        <w:tc>
          <w:tcPr>
            <w:tcW w:w="1260" w:type="dxa"/>
            <w:vAlign w:val="bottom"/>
            <w:gridSpan w:val="3"/>
          </w:tcPr>
          <w:p>
            <w:pPr>
              <w:jc w:val="right"/>
              <w:ind w:right="152"/>
              <w:spacing w:after="0"/>
              <w:rPr>
                <w:sz w:val="20"/>
                <w:szCs w:val="20"/>
                <w:color w:val="auto"/>
              </w:rPr>
            </w:pPr>
            <w:r>
              <w:rPr>
                <w:rFonts w:ascii="Times New Roman" w:cs="Times New Roman" w:eastAsia="Times New Roman" w:hAnsi="Times New Roman"/>
                <w:sz w:val="18"/>
                <w:szCs w:val="18"/>
                <w:color w:val="auto"/>
                <w:w w:val="98"/>
              </w:rPr>
              <w:t>in thousands):</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6"/>
        </w:trPr>
        <w:tc>
          <w:tcPr>
            <w:tcW w:w="4980" w:type="dxa"/>
            <w:vAlign w:val="bottom"/>
          </w:tcPr>
          <w:p>
            <w:pPr>
              <w:spacing w:after="0"/>
              <w:rPr>
                <w:sz w:val="24"/>
                <w:szCs w:val="24"/>
                <w:color w:val="auto"/>
              </w:rPr>
            </w:pPr>
          </w:p>
        </w:tc>
        <w:tc>
          <w:tcPr>
            <w:tcW w:w="3100" w:type="dxa"/>
            <w:vAlign w:val="bottom"/>
            <w:gridSpan w:val="6"/>
          </w:tcPr>
          <w:p>
            <w:pPr>
              <w:ind w:lef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3"/>
        </w:trPr>
        <w:tc>
          <w:tcPr>
            <w:tcW w:w="4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5"/>
        </w:trPr>
        <w:tc>
          <w:tcPr>
            <w:tcW w:w="49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146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740" w:type="dxa"/>
            <w:vAlign w:val="bottom"/>
            <w:tcBorders>
              <w:bottom w:val="single" w:sz="8" w:color="CCEEFF"/>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1056 %</w:t>
            </w: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change in fair value of ELOC program</w:t>
            </w:r>
          </w:p>
        </w:tc>
        <w:tc>
          <w:tcPr>
            <w:tcW w:w="7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4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ELOC commitment fees and reimbursement cost to Counterparty</w:t>
            </w: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433 %</w:t>
            </w:r>
          </w:p>
        </w:tc>
      </w:tr>
      <w:tr>
        <w:trPr>
          <w:trHeight w:val="26"/>
        </w:trPr>
        <w:tc>
          <w:tcPr>
            <w:tcW w:w="49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3"/>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4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280" w:hanging="274"/>
        <w:spacing w:after="0"/>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213"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Interest Income</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Interest income increased by $1.7 million, or 1,056%, in the three months ended March 31, 2024 compared to the same period in 2023. The increase was primarily attributable to interest earned on greater money market and treasury bond balances during the three months ended March 31, 2024, as we engaged in significant transactions that increased our liquidity. Refer to "Liquidity and Capital Resources" for a discussion of the changes in our business that led to an increase in cash for the period ended March 31, 2024.</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Loss on Change in Fair Value of Equity Line of Credit Program</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recorded changes in the fair value of the derivative liability associated with the ELOC (as defined below) of $0.9 million for the three months ended March 31, 2023 as other income (expense), net on our consolidated statements of operations and comprehensive loss. There was no change in fair value of the derivative liability associated with the ELOC for the three months ended March 31, 2024 as we sold the entirety of the 25,000,000 shares under the ELOC during the year ended December 31,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3"/>
        </w:trPr>
        <w:tc>
          <w:tcPr>
            <w:tcW w:w="4980" w:type="dxa"/>
            <w:vAlign w:val="bottom"/>
          </w:tcPr>
          <w:p>
            <w:pPr>
              <w:spacing w:after="0"/>
              <w:rPr>
                <w:sz w:val="24"/>
                <w:szCs w:val="24"/>
                <w:color w:val="auto"/>
              </w:rPr>
            </w:pPr>
          </w:p>
        </w:tc>
        <w:tc>
          <w:tcPr>
            <w:tcW w:w="258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020" w:type="dxa"/>
            <w:vAlign w:val="bottom"/>
          </w:tcPr>
          <w:p>
            <w:pPr>
              <w:spacing w:after="0"/>
              <w:rPr>
                <w:sz w:val="20"/>
                <w:szCs w:val="20"/>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5"/>
        </w:trPr>
        <w:tc>
          <w:tcPr>
            <w:tcW w:w="4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
        </w:trPr>
        <w:tc>
          <w:tcPr>
            <w:tcW w:w="4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
        </w:trPr>
        <w:tc>
          <w:tcPr>
            <w:tcW w:w="49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Provision for income taxes decreased by $34 thousand, or 10%, in the three months ended March 31, 2024 compared to the same period in 2023, remaining fairly consistent year on year.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Total unrestricted cash and cash equivalents on hand as of March 31, 2024 was $211.7 million. Although we have incurred recurring losses each year since our inception, we expect we will be able to fund our operations for at least the next twelve months. We believe we will meet longer-term expected future cash requirements and obligations through a combination of cash flows from operating activities, available cash balances and sales of common stock under our Equity Distribution Agreement (as defined below). Our condensed consolidated financial statements have been prepared assuming that we will continue as a going concern, which contemplates, among other things, the realization of assets and satisfaction of liabilities in the normal course of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Cash and Material Cash Requirements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which are sourced primarily from the Term Loan and sale of marketable securities. The primary uses of cash include the funding of operating expenses, as well as debt</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service obligations. There were no material changes to our material cash requirements as disclosed in our audited consolidated financial statements for the fiscal year ended December 31, 2023 in our Annual Report on Form 10-K (our “Annual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Distribution Agreement</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entered into the Equity Distribution Agreement with the Managers on April 9, 2024 with regards to an at-the-market equity program. Under this program, we may offer and sell aggregate gross sale proceeds up to $150.0 million of shares of our Class A Common Stock from time to time through the Managers. Sales of Class A Common Stock, if any, under the Equity Distribution Agreement will be made at market prices by any method that is deemed to be an “at the market offering” as defined in Rule 415 under the Securities Act. The Managers will be entitled to commission at a fixed rate of 2.5% of the gross sales price per share for their services in acting as agent in the sale of our Class A Common Stock. We will reimburse the Managers for certain specified expenses in connection with the execution of the Equity Distribution Agreement.</w:t>
      </w:r>
    </w:p>
    <w:p>
      <w:pPr>
        <w:spacing w:after="0" w:line="1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April 2024, we sold 7,239,282 shares of our common stock under the Equity Distribution Agreement at an average price of $4.17 per share for $30.2 million of gross proceeds. After this issuance, we have a remaining capacity to sell up to an additional $119.8 million of our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SYNQ3 Acquisition</w:t>
      </w:r>
    </w:p>
    <w:p>
      <w:pPr>
        <w:spacing w:after="0" w:line="2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January 3, 2024 (the "Closing Date"), we acquired all of the issued and outstanding equity of SYNQ3, a leading provider of voice AI and other technology solutions to the restaurant industry, for total preliminary purchase consideration of $17.0 million (the “SYNQ3 Acquisition”).</w:t>
      </w:r>
    </w:p>
    <w:p>
      <w:pPr>
        <w:spacing w:after="0" w:line="19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total preliminary purchase consideration includes $3.9 million in cash paid and 5,755,910 in shares of our Class A Common Stock issued as of the Closing Date. We also withheld purchase consideration of $0.5 million in cash and 1,179,514 shares of our Class A Common Stock, subject to customary net working capital adjustments, to partially secure the indemnification obligations of SYNQ3's former stockholders under the merger agreement and agreed to pay up to $0.8 million in cash and 1,434,936 in shares of our Class A Common Stock to certain former stockholders of SYNQ3 based upon the achievement of specified future milestones. We also issued 2,033,156 restricted shares of our Class A Common Stock subject to time and performance-based vesting conditions at the Closing Date.</w:t>
      </w:r>
    </w:p>
    <w:p>
      <w:pPr>
        <w:spacing w:after="0" w:line="21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preliminary purchase price allocation has not been finalized as of March 31, 2024 primarily due to the final assessment of the fair values of the intangible assets, contingent sales tax liability assumed, and fair value of the contingent acquisition liabilities. The fair value estimates of assets acquired and liabilities assumed is pending the completion of various items, including obtaining further information regarding the identification and valuation of all assets acquired and liabilities assumed. Any adjustments to the estimates of purchase price allocation will be made in the periods in which the adjustments are determined, and the cumulative effect of such adjustments will be calculated as if the adjustments had been completed as of the acquisition date. We expect to finalize the purchase price allocation within 12 months from the acquisition date.</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incurred $1.3 million in acquisition related expenses, of which $0.2 million was incurred during the three months ended March 31, 2024.</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Holdback</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$0.5 million in cash and 1,179,514 shares of our Class A Common Stock is being withheld for a period of 15 months (the “Holdback Amount”). We determined that there are two components to the Holdback Amount related to deferred consideration and contingent consideration, each comprised of cash and shares.</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deferred cash holdback consideration of $0.1 million was recorded within other non-current liabilities at present value and the deferred share holdback consideration of 361,145 shares of our Class A Common Stock was recorded within stockholders’ equity in the amount of $0.6 million based on the fair value of our Class A Common Stock as of the Closing Date (the “Deferred Consideration”).</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contingent cash and share holdback consideration to be issued is variable (“Contingent Holdback Consideration”). Final amounts to be issued will be reduced based upon future actions and settlements with third parties to resolve assumed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contingent sales tax liabilities in connection with the SYNQ3 Acquisition. We accounted for the Contingent Holdback Consideration as a liability within contingent acquisition liabilities on the condensed consolidated balance sheet. As of the Closing Date, the Contingent Holdback Consideration was estimated to be $1.0 million in aggregate and to be settled in $0.2 million cash and the remainder in shares of our Class A Common Stock. The Contingent Holdback Consideration will be subsequently remeasured at each reporting date with changes in fair value recognized as a component of operating expense on our condensed consolidated statement of operations and comprehensive loss. For the three months ended March 31, 2024, we recognized a $1.6 million loss related to the Contingent Holdback Consideration.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w:t>
      </w:r>
    </w:p>
    <w:p>
      <w:pPr>
        <w:spacing w:after="0" w:line="21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also agreed to pay in aggregate up to $0.8 million in cash and 1,434,936 in shares of Class A Common Stock, to certain stockholders of SYNQ3 based on tiered annual revenue targets for each fiscal year 2024, 2025 and 2026 (the “Contingent Earnout Consideration”). We accounted for the Contingent Earnout Consideration as a liability within contingent acquisition liabilities on our condensed consolidated balance sheet and will subsequently remeasure the liability at each reporting date with changes in fair value recognized as a component of operating expense in our condensed consolidated statement of operations and comprehensive loss. As of the Closing Date, the Contingent Earnout Consideration was estimated to be $1.7 million in aggregate and to be settled in $0.2 million cash and the remainder in shares of our Class A Common Stock. For the three months ended March 31, 2024, we recognized a $2.6 million loss related to the Contingent Earnout Consideration, reflected in the change in fair value of contingent acquisition liabilities in the condensed consolidated statement of operations and comprehensive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2,033,156 restricted shares of our Class A Common Stock issued at the Closing Date to certain continuing employees of SYNQ3 subject to time and performance-based vesting conditions was determined to be a separate transaction from the SYNQ3 Acquisition and therefore is excluded from purchase consideration.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a condition of the SYNQ3 Acquisition, we additionally granted certain employees awards with future vesting conditions. As a result, we determined that these awards should be accounted for separately from the SYNQ3 Acquisition and therefore are excluded from purchase consideration.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Agreement</w:t>
      </w:r>
    </w:p>
    <w:p>
      <w:pPr>
        <w:spacing w:after="0" w:line="2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July 28, 2023, we entered into the Sales Agreement with Cantor Fitzgerald &amp; Co., H.C. Wainwright &amp; Co., LLC, and D.A. Davidson &amp; Co. (each a “Sales Agent” and collectively, the “Sales Agents”), pursuant to which we may offer and sell up to $150.0 million of shares of our Class A Common Stock from time to time through or to the Sales Agents acting as agent or principal. Sales of our Class A Common Stock, if any, under the Sales Agreement will be made at market prices by any method that is deemed to be an “at the market offering” as defined in Rule 415 under the Securities Act. We will pay the Sales Agents commission for their services in acting as agent in the sale of our Class A Common Stock. The Sales Agents are entitled to aggregate compensation at a fixed commission rate of 2.5% of the gross sales price per share sold under the Sales Agreement. We have also agreed to reimburse the Sales Agents for certain specified expenses, including the reasonable and documented fees and disbursements of its legal counsel in an amount not to exceed $75 thousand in the aggregate in connection with the execution of the Sales Agreement.</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2024, we sold a total of 37,907,219 shares of our common stock under the Sales Agreement at a weighted-average price of $3.62 per share and raised $137.3 million of gross proceeds, which resulted in complete utilization of the Sales Agreement. After deducting approximately $3.4 million of commissions and offering costs incurred by us, the net proceeds from sales of common stock was $133.8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April 14, 2023 (the “Term Loan Closing Date”), we entered into a Senior Secured Term Loan Credit Agreement (the “Credit Agreement”) with ACP Post Oak Credit II LLC, as Administrative Agent and Collateral Agent for the Lenders (the “Agent”), and the lenders from time to time party thereto (the “Lenders”). The Credit Agreement provides for a term loan facility in an aggregate principal amount of up to $100.0 million, the entirety of which was funded on the Term Loan Closing Date.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March 31, 2024, the interest rate was approximately 14.0%. Subject to certain exceptions as set forth in the Credit Agreement, interest on the Term Loan is payable quarterly in arrears on the last business day of each fiscal quarter. The Term Loan is set to mature on April 14, 2027 (the “Maturity Date”). The Credit Agreement provides for no scheduled principal payments prior to the Maturity Date. Refer to Note 9 of the unaudited condensed consolidated financial statements for further information regarding the Credit Agreement, and amortization of the debt issuance cost and debt discount.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Line of Credit (ELOC)</w:t>
      </w:r>
    </w:p>
    <w:p>
      <w:pPr>
        <w:spacing w:after="0" w:line="2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August 16, 2022, we entered into a common stock purchase agreement (the “Common Stock Purchase Agreement”) and related registration rights agreement (the “CFPI Registration Rights Agreement”) with CF Principal Investments LLC (the “Counterparty”). Pursuant to the Common Stock Purchase Agreement, we have the right to sell to the Counterparty up to the lesser of (i) 25,000,000 shares of Class A Common Stock and (ii) the Exchange Cap (as defined in the Common Stock Purchase Agreement), subject to certain limitations and conditions set forth in the Common Stock Purchase Agreement (the "ELOC Shares"). On February 14, 2023, our Registration Statement on Form S-1 registering the resale of the ELOC Shares (the "ELOC Registration Statement") was declared effective. On March 31, 2023, a post-effective amendment to the ELOC Registration Statement was declared effective. We have utilized and expect to continue to utilize proceeds from the ELOC for working capital and other general corporate purposes. Through March 31, 2024, we sold the entirety of the 25,000,000 shares under the ELOC program for aggregate proceeds of approximately $71.7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or around January 20, 2023, we entered into Preferred Stock Purchase Agreements with certain investors (the "Investors"), pursuant to which we issued and sold to the Investors an aggregate of 835,011 shares of our newly designated Series A Convertible Preferred Stock for an aggregate issue price of approximately $25.0 million.</w:t>
      </w:r>
    </w:p>
    <w:p>
      <w:pPr>
        <w:spacing w:after="0" w:line="17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Each share of Series A Preferred Stock is convertible, at the option of the holder, into such number of shares of Class A Common Stock equal to the liquidation preference per share ("Liquidation Preference") at the time of conversion divided by $1.00 (the “Conversion Price”). In addition, each share of Series A Preferred Stock will automatically convert into shares of Class A Common Stock at the Conversion Price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 During the three months ended March 31, 2024, certain Investors optionally converted 404,764 shares of Series A Preferred Stock into 14,070,854 shares of Class A Common Stock. The conversion was pursuant to the original terms of the agreement and therefore the carrying value of Series A Preferred Stock was converted into Class A Common Stock with no gain or loss upon conversion.</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holders of Series A Preferred Stock are entitled to cumulative dividends payable for such share at the rate of 14% per annum, compounding semi-annually to Liquidation Preference on January 1 and July 1 of each year. Total cumulative dividends attributable to Series A Preferred Stock for the three months ended March 31, 2024 is $0.3 million. Additionally, as of March 31, 2024, the Series A Preferred Stock had accrued additional dividends since the last dividend payment date which has the effect of increasing the Liquidation Preference to approximately $35.32.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Because we expect to continue investing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Refer to Note 7 and Note 9 to the unaudited condensed consolidated financial statements for more information.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24"/>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cash flows ($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6"/>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3"/>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Pr>
          <w:p>
            <w:pPr>
              <w:spacing w:after="0"/>
              <w:rPr>
                <w:sz w:val="20"/>
                <w:szCs w:val="20"/>
                <w:color w:val="auto"/>
              </w:rPr>
            </w:pPr>
          </w:p>
        </w:tc>
      </w:tr>
      <w:tr>
        <w:trPr>
          <w:trHeight w:val="26"/>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6"/>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51,641</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 equivalents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$21.9 million during the three months ended March 31, 2024 compared to $14.5 million during the three months ended March 31, 2023. The $7.4 million increase in cash used in operating activities was primarily due to our increased net loss of $5.6 million and a net decrease in changes in operating assets and liabilities of $5.7 million. This was partially offset by an increase of $4.2 million in the fair value of contingent acquisition liabilities.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cash used in investing activities was $3.8 million during the three months ended March 31, 2024 compared to $15 thousand during the three months ended March 31, 2023. The $3.8 million increase in cash used in investing activities was primarily driven by the Acquisition.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1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Net cash provided by financing activities was $142.7 million during the three months ended March 31, 2024 compared to $51.6 million during the three months ended March 31, 2023. The $91.1 million increase in cash provided by financing activities was primarily due to an additional $137.3 million in net proceeds from sales of Class A Common Stock under the Sales Agreement during this quarter compared to $28.7 million in net proceeds from sales of Class A Common Stock under the ELOC program during the three months ended March 31, 2023. In addition, we experienced a net increase of $6.5 million in proceeds from the exercise of common stock options during the three months ended March 31, 2024 when compared to the three months ended March 31, 2023. The increase was partially offset by $24.9 million in net proceeds from the one-time issuance of Series A Preferred Stock during three months ended March 31, 2023 and a decrease in payments on our notes payable and financing costs related to the ELOC program of $4.1 million and $0.3 million, respectively, during the three months ended March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1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Additionally, we have, and may in the future, indemnify third parties in connection with our issuance of securities (including pursuant to our at-the-market offering program) and in connection with acquisitions of other companies (including SYNQ3). Our liability is generally limited to the aggregate amount of consideration actually received in these instances. We have never incurred costs to defend lawsuits or settle claims related to these indemnification agreements. As a result, we believe the fair value of these agreements is minimal.</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21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unaudited condensed consolidated financial statements included elsewhere in this report that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a discussion of our critical accounting policies, see “Management’s discussion and analysis of financial condition and results of operations” and the notes to the condensed consolidated financial statements included in our Form 10-K, which was filed with the SEC on March 1, 2024. We have identified and disclosed new significant accounting policies related to the current period that we determined were critical accounting policies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and Contingent Consideration</w:t>
      </w:r>
    </w:p>
    <w:p>
      <w:pPr>
        <w:spacing w:after="0" w:line="2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We allocate the fair value of the purchase price of an acquisition to the assets acquired and liabilities assumed, based on their estimated fair values as of the date of acquisition. The excess of the fair value of the purchase price over the fair values of these net tangible and intangible assets acquired is recorded as goodwill. Management’s estimates of fair value are based upon assumptions believed to be reasonable, but the estimates and assumptions are inherently uncertain and subject to refinement. The estimates and assumptions used in valuing intangible assets include, but are not limited to, the amount and timing of projected future cash flows and discount rate used to determine the present value of these cash flows and asset lives. These estimates are inherently uncertain and, therefore, actual results may differ from the estimates made. As a result, during the measurement period of up to one year from the acquisition date, we may make adjustments to the assets acquired and liabilities assumed with the corresponding offset to goodwill. Upon the measurement period's conclusion or final determination of the fair value of the purchase price of an acquisition, whichever comes first, any subsequent adjustments are recorded to our condensed consolidated statements of operations. Acquisition-related expenses are recognized separately from the business combination and expensed as incurred.</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Certain business combinations include contingent consideration arrangements, which are generally based on achievement of future financial performance or future events. If it is determined the contingent consideration arrangement is not compensatory, we estimate fair value of contingent consideration payments as part of the initial purchase price and records the estimated fair value of contingent consideration as a liability in the condensed consolidated balance sheet. We review and assess the estimated fair value of contingent consideration each reporting period, and the updated fair value could differ materially from the initial estimates. Adjustments to estimated fair value related to changes in fair value are reported as change in fair value of contingent acquisition liabilities in our condensed consolidated statements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assets acquired. Goodwill is not amortized but tested annually for impairment or when indicators of impairment are present. The test for goodwill impairment involves a qualitative assessment of impairment indicators. If indicators are present, a quantitative test of impairment is performed.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Our policy is to review goodwill for impairment annually on October 1st unless a triggering event requires an analysis sooner. There was no goodwill impairment for the three months ended March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with Definite Lives</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intangible assets consist principally of developed technology, customer relationships, tradename, and conversation data. We assess the appropriate method of amortization of the intangible assets that reflects the pattern in which the economic benefits of the intangible assets are consumed. We determined that a straight-line method of amortization was appropriate for its intangible assets. The remaining useful lives of long-lived assets are re-assessed periodically at the asset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level for any events and circumstances that may change the future cash flows expected to be generated from the long-lived asset or asset group.</w:t>
      </w:r>
    </w:p>
    <w:p>
      <w:pPr>
        <w:spacing w:after="0" w:line="21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Intangible assets with definite lives are tested for impairment whenever events or changes in circumstances indicate the carrying value of a specific asset or asset group may not be recoverable. We assess the recoverability of intangible assets with definite lives at the asset group level. Asset groups are determined based upon the lowest level for which identifiable cash flows are largely independent of the cash flows of other assets and liabilities. For the purpose of the recoverability test, we compare the total undiscounted future cash flows from the use and disposition of the assets with its net carrying amount. When the carrying value of the asset group exceeds the undiscounted future cash flows, the asset group is deemed to be impaired. The amount of the impairment loss represents the excess of the asset or asset group’s carrying value over its estimated fair value, which is generally determined based upon the present value of estimated future pre-tax cash flows that a market participant would expect from use and disposition of the long-lived asset or asset group. There were no intangible asset impairments in any of the periods presented.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material changes in market risks from the information presented in Part II, Item 7A. “Quantitative and Qualitative Disclosures About Market Risk” in our Form 10-K, except as disclosed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exposure to interest rate risk, primarily in the form of variable-rate borrowings. As of March 31, 2024, we had total borrowings of $100.0 million outstanding with an interest rate of 14.0%. With all other variables remaining constant, an increase in the short-term interest rate of 1 percent would result in an increase in the annual interest expense of approximately $1.0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condensed consolidated financial statements are presented in U.S. dollars, which is also the functional currency for our foreign operations. Where transactions may be denominated in foreign currencies, we are subject to market risk with respect to fluctuations in the relative value of currencies. We recorded exchange rate losses of approximately $253.9 thousand and $142.3 thousand during the three months ended March 31, 2024 and 2023, respectively. We do not believe that an immediate 10% increase or decrease in the relative value of the U.S. dollar to other currencies would have a material effect on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Chief Executive Office and Chief Finance Officer, as appropriate to allow timely decisions regarding required disclosure.</w:t>
      </w:r>
    </w:p>
    <w:p>
      <w:pPr>
        <w:spacing w:after="0" w:line="18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 and Chief Finance Officer, we conducted an evaluation of the effectiveness of our disclosure controls and procedures (as such term is defined in Rules 13a-15(e) and 15d-15(e) under the Exchange Act) as of and for the three months ended March 31, 2024. Based on this evaluation, our Chief Executive Office and Chief Finance Officer have concluded that our disclosure controls and procedures were not effective due to the material weaknesses in its internal control over financial reporting, which were previously identified and reported in our 2023 Form 10-K as part of Management's report on Internal Control over Financial Reporting for the year ended December 31, 2023. The elements of our remediation plan can only be accomplished over time. As a result, we performed additional analysis as deemed necessary to ensure that our condensed financial statements were prepared in accordance with U.S. generally accepted accounting principles. Accordingly, management believes that the condensed financial statements included in the Quarterly Report present fairly, in all material respects, our financial position, results of operations and cash flows for the periods presented.</w:t>
      </w:r>
    </w:p>
    <w:p>
      <w:pPr>
        <w:spacing w:after="0" w:line="18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accordance with the Compliance and Disclosure Interpretations issued by SEC staff, companies are allowed to exclude acquired businesses from the assessment of internal control over financial reporting during the first year after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completion of an acquisition and from the assessment of disclosure controls and procedures that are subsumed in the internal control over financial reporting. Based on this guidance, our assessment of the effectiveness of the Company’s disclosure controls and procedures as of March 31, 2024 excluded the portion of disclosure controls and procedures that are subsumed by internal control over financial reporting of SYNQ3. The Company completed the acquisition of SYNQ3 on January 3, 2024. SYNQ3’s total assets represented approximately 5% of the Company's consolidated total assets, excluding the effects of purchase accounting, and its revenues represented approximately 26% of the Company's consolidated total revenues, as of and for the quarter ended March 31,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Reported Material Weaknesses</w:t>
      </w:r>
    </w:p>
    <w:p>
      <w:pPr>
        <w:spacing w:after="0" w:line="21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reported in Part II, Item 9A. "Controls and Procedures" of our Form 10-K, we previously identified material weaknesses in our internal control over financial reporting related to the control environment as the Company lacked sufficient oversight of activities related to its internal control over financial reporting due to a lack of appropriate level of experience and training commensurate with its financial reporting requirements; risk assessment as changes to existing controls or the implementation of new controls have not been sufficient to respond to changes to the risks of material misstatement to financial reporting; the accounting for complex financing transactions, segregation of duties, and certain information technology (IT) general controls related to user access controls, program change management controls and computer operations controls over information systems relevant to the preparation of the preparation of our financial statements. The material weaknesses related to the control environment, risk assessment and complex financing transactions resulted in the revision of the consolidated financial statements as of and for the periods ended September 30, 2022, December 31, 2022, March 31, 2023, and June 30, 2023. The material weaknesses related to segregation of duties and IT general controls did not result in a misstatement to our annual or interim consolidated financial statements. Additionally, the material weaknesses could result in misstatements to substantially all of our accounts and disclosures that would result in a material misstatement of the annual or interim consolidated financial statements that would not be prevented or detected.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Plan to Remediate the Material Weaknesses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remediation actions are currently being implemented and are in progress:</w:t>
      </w:r>
    </w:p>
    <w:p>
      <w:pPr>
        <w:spacing w:after="0" w:line="217" w:lineRule="exact"/>
        <w:rPr>
          <w:sz w:val="20"/>
          <w:szCs w:val="20"/>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third party to perform a risk assessment that includes the identification and walkthrough of key business processes and conducting design and operational control testing to address key risks.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 segregation of duties assessment identifying key conflicts and mitigating controls.</w:t>
      </w:r>
    </w:p>
    <w:p>
      <w:pPr>
        <w:spacing w:after="0" w:line="21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design and implementation of a Segregation of Duties automated tool for our Enterprise Resource Planning (ERP) system. Additionally, we have initiated the design and implementation of similar controls for the remaining financially relevant applications. Improvements have been implemented in tool utilization to strengthen the segregation of duties.</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design and implementation of controls related to the review of Service Organization Control reports, which cover program change management and computer operations for many of the applications that we rely on for financial reporting.</w:t>
      </w:r>
    </w:p>
    <w:p>
      <w:pPr>
        <w:spacing w:after="0" w:line="16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policies and procedures for the quarterly user access review of all users with access to the financially relevant systems and then implemented the quarterly user access review for one design cycle.</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design and implementation of the controls related to review and approval of complex financing transactions.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implementation of an automated month and quarter-end accounting close workflow tool to facilitate the review and support of key financial close process controls.</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plans to hire personnel with expertise in internal controls.</w:t>
      </w:r>
    </w:p>
    <w:p>
      <w:pPr>
        <w:spacing w:after="0" w:line="21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material weaknesses will not be considered remediated until management completes the design and implementation of the measures described above, the controls operate for a sufficient period of time, and management has concluded, through testing, that the controls are effective.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32" w:lineRule="exact"/>
        <w:rPr>
          <w:sz w:val="20"/>
          <w:szCs w:val="20"/>
          <w:color w:val="auto"/>
        </w:rPr>
      </w:pPr>
    </w:p>
    <w:p>
      <w:pPr>
        <w:ind w:firstLine="318"/>
        <w:spacing w:after="0" w:line="258"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 13a-15(f) of the Exchange Act) during the three months March 31, 2024 that materially affected, or are reasonably likely to materially affect, the Company’s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material set forth in the section titled “Legal Proceedings” in Note 7 of our Notes to condensed consolidated Financial Statements is incorporated herein by reference.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risk factors described below should be considered along with the risk factors disclosed in our Form 10-K, which was filed with the SEC on March 1, 2024. Any of these risk factors could result in a significant or material adverse effect on our results of operations or financial condition. Additional risk factors not presently known to us or that we currently deem immaterial may also impair our business or results of operations.</w:t>
      </w:r>
    </w:p>
    <w:p>
      <w:pPr>
        <w:spacing w:after="0" w:line="174"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use and provision of AI-powered solutions could lead to operational or reputational damage, competitive harm, legal and regulatory risk and additional costs.</w:t>
      </w:r>
    </w:p>
    <w:p>
      <w:pPr>
        <w:spacing w:after="0" w:line="18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Use and provision of AI, including generative AI, is a core part of our business. The use of generative AI, a relatively new and emerging technology in the early stages of commercial use, exposes us to additional risks, such as damage to our reputation, competitive position and business, legal and regulatory risks and additional costs. For example, generative AI has been known to produce false or “hallucinatory” inferences or output, and certain generative AI uses machine learning and predictive analytics, which can create inaccurate, incomplete or misleading output, unintended biases and other discriminatory or unexpected results, errors or inadequacies, any of which may not be easily detectable. Accordingly, while AI-powered applications may help provide more tailored or personalized user experiences, if the content, analyses or recommendations that AI-powered solutions assist in producing on our products and services are, or are perceived to be, deficient, inaccurate, biased, unethical or otherwise flawed, our reputation, competitive position and business may be materially and adversely affected.</w:t>
      </w:r>
    </w:p>
    <w:p>
      <w:pPr>
        <w:spacing w:after="0" w:line="217"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Additionally, if any of our employees, contractors, vendors or service providers use any third-party AI-powered software in connection with our business or the services they provide to us, it may lead to the inadvertent disclosure of our confidential information, including inadvertent disclosure of our confidential information into publicly available third-party training sets, which may impact our ability to realize the benefit of, or adequately maintain, protect and enforce our intellectual property or confidential information, harming our competitive position and business. Our ability to mitigate risks associated with disclosure of our confidential information, including in connection with AI-powered software, will depend on our implementation, maintenance, monitoring and enforcement of appropriate technical and administrative safeguards, policies and procedures governing the use of AI in our business.</w:t>
      </w:r>
    </w:p>
    <w:p>
      <w:pPr>
        <w:spacing w:after="0" w:line="19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Additionally, any content created by us using generative AI tools may not be subject to copyright protection which may adversely affect our intellectual property rights in, or ability to commercialize or use, any such content. In the United States, a number of civil lawsuits have been initiated related to the foregoing and other concerns, the outcome of any one of which may, amongst other things, require us to limit the ways in which we use AI in our business and may affect our ability to develop our AI-powered platform innovations and features. For example, the output produced by generative AI tools may include information subject to certain rights of publicity or privacy laws or constitute an unauthorized derivative work of the copyrighted material used in training the underlying AI model, any of which could also create a risk of liability for us, or adversely affect our business or operations. In addition, the use of AI has resulted in, and may in the future result in, cybersecurity breaches or incidents that implicate the personal data of users of AI-powered applications. To the extent that we do not have sufficient rights to use the data or other material or content used in or produced by the generative AI tools used in our business, or if we experience cybersecurity breaches or incidents in connection with our use of AI, it could adversely affect our reputation and expose us to legal liability or regulatory risk, including with respect to third-party intellectual property, privacy, publicity, contractual or other rights. Further, our competitors or other third parties may incorporate AI into their products more quickly or more successfully than us, which could impair our ability to compete effectively.</w:t>
      </w:r>
    </w:p>
    <w:p>
      <w:pPr>
        <w:spacing w:after="0" w:line="20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the utilization of AI becomes more prevalent, we anticipate that it will continue to present new or unanticipated ethical, reputational, technical, operational, legal, competitive and regulatory issues, among others. We expect that such utilization of AI will require additional resources, including the incurrence of additional costs, to develop and maintain our platform offerings, services and features to minimize potentially harmful or unintended consequences, to comply with applicable and emerging laws and regulations, to maintain or extend our competitive position and to address any ethical,</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reputational, technical, operational, legal, competitive or regulatory issues which may arise as a result of any of the foregoing. As a result, the challenges presented with our use of AI could adversely affect our business, financial condition and results of operations.</w:t>
      </w:r>
    </w:p>
    <w:p>
      <w:pPr>
        <w:spacing w:after="0" w:line="186"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Regulatory and legislative developments related to the use of AI could adversely affect our use and provision of AI-powered solutions in our products, services and business.</w:t>
      </w:r>
    </w:p>
    <w:p>
      <w:pPr>
        <w:spacing w:after="0" w:line="18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the regulatory framework for machine learning technology, generative AI and automated decision making evolves, our business, financial condition and results of operations may be adversely affected. The regulatory framework for AI and similar technologies, and automated decision making, is changing rapidly. It is possible that new laws and regulations will be adopted in the United States and in non-U.S. jurisdictions, or that existing laws and regulations may be interpreted in ways that would affect our use and provision of AI-powered solutions in our products, services and business. We may not be able to adequately anticipate or respond to these evolving laws and regulations, and we may need to expend additional resources to adjust our offerings in certain jurisdictions if applicable legal frameworks are inconsistent across jurisdictions. In addition, because these technologies are themselves highly complex and rapidly developing, it is not possible to predict all of the legal or regulatory risks that may arise relating to our use of such technologies. Further, the cost to comply with such laws or regulations could be significant and would increase our operating expenses, which could adversely affect our business, financial condition and results of operations.</w:t>
      </w:r>
    </w:p>
    <w:p>
      <w:pPr>
        <w:spacing w:after="0" w:line="21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For example, in Europe, on March 13, 2024, the European Parliament formally adopted a draft of the European Union’s Artificial Intelligence Act (the “AI Act”) which is currently expected to be enacted in mid-2024, pending formal endorsement by the Council of the European Union and publication in the Official Journal of the European Union. The current draft of the AI Act, if enacted, would establish, among other things, a risk-based governance framework for regulating AI systems operating in the European Union. This framework would categorize AI systems, based on the risks associated with such AI systems’ intended purposes, as creating unacceptable or high risks, with all other AI systems being considered low risk. While the AI Act has not yet been enacted or enforced, there is a risk that our current or future AI-powered software or applications may obligate us to comply with the applicable requirements of the AI Act, which may impose additional costs on us, increase our risk of liability or adversely affect our business. For example, the AI Act would prohibit certain uses of AI systems and place numerous obligations on providers and deployers of permitted AI systems, with heightened requirements based on AI systems that are considered high risk. If enacted in this form or a similar form, this regulatory framework is expected to have a material impact on the way AI is regulated in the European Union and beyond, and, together with developing regulatory guidance and judicial decisions in this area, may affect our use of AI and our ability to provide and to improve our services, require additional compliance measures and changes to our operations and processes, result in increased compliance costs and potential increases in civil claims against us and could adversely affect our business, financial condition and results of operations.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other intangible assets become impaired, our operating results could be negatively impacted.</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significant intangible assets, including goodwill and other intangible assets, which are susceptible to valuation adjustments as a result of changes in various factors or conditions. The most significant intangible assets are goodwill and acquired developed technology. Acquired developed technology is amortized on a straight-line basis over its estimated useful life. We assess the potential impairment of goodwill on an annual basis. Whenever events or changes in circumstances indicate that the carrying value may not be recoverable, we will be required to assess the potential impairment of goodwill and other intangible assets. Factors that could trigger an impairment of such assets include the following:</w:t>
      </w:r>
    </w:p>
    <w:p>
      <w:pPr>
        <w:spacing w:after="0" w:line="185" w:lineRule="exact"/>
        <w:rPr>
          <w:sz w:val="20"/>
          <w:szCs w:val="20"/>
          <w:color w:val="auto"/>
        </w:rPr>
      </w:pPr>
    </w:p>
    <w:p>
      <w:pPr>
        <w:ind w:left="640" w:hanging="316"/>
        <w:spacing w:after="0" w:line="274"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organization or management reporting structure that could result in additional reporting units, which may require alternative methods of estimating fair values or greater disaggregation or aggregation in our analysis by reporting unit;</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 performance relative to historical or projected future operating results;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strategy for our overall business;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industry or economic trends;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our stock price for a sustained period; and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capitalization declining to below net book value.</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Based upon the results of the impairment test, no goodwill impairment was recorded as of March 31, 2024.</w:t>
      </w:r>
    </w:p>
    <w:p>
      <w:pPr>
        <w:spacing w:after="0" w:line="24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Future adverse changes in these or other unforeseeable factors could result in impairment charges that would impact our results of operations and financial position in the reporting period identified.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00" w:lineRule="exact"/>
        <w:rPr>
          <w:sz w:val="20"/>
          <w:szCs w:val="20"/>
          <w:color w:val="auto"/>
        </w:rPr>
      </w:pPr>
    </w:p>
    <w:p>
      <w:pPr>
        <w:spacing w:after="0" w:line="25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Other than as described in Item 2.01 of the Form 8-K filed with the SEC on January 3, 2024, which is incorporated herein by reference, we did not make any sales of unregistered equity securities.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219" w:lineRule="exact"/>
        <w:rPr>
          <w:sz w:val="20"/>
          <w:szCs w:val="20"/>
          <w:color w:val="auto"/>
        </w:rPr>
      </w:pPr>
    </w:p>
    <w:p>
      <w:pPr>
        <w:ind w:firstLine="238"/>
        <w:spacing w:after="0" w:line="274" w:lineRule="auto"/>
        <w:rPr>
          <w:sz w:val="20"/>
          <w:szCs w:val="20"/>
          <w:color w:val="auto"/>
        </w:rPr>
      </w:pPr>
      <w:r>
        <w:rPr>
          <w:rFonts w:ascii="Times New Roman" w:cs="Times New Roman" w:eastAsia="Times New Roman" w:hAnsi="Times New Roman"/>
          <w:sz w:val="18"/>
          <w:szCs w:val="18"/>
          <w:color w:val="auto"/>
        </w:rPr>
        <w:t>During the fiscal quarter ended March 31, 2024, the following Section 16 officers and directors adopted, modified or terminated a “Rule 10b5-1 trading arrangement” (as defined in Item 408 of Regulation S-K of the Exchange Act):</w:t>
      </w:r>
    </w:p>
    <w:p>
      <w:pPr>
        <w:spacing w:after="0" w:line="163" w:lineRule="exact"/>
        <w:rPr>
          <w:sz w:val="20"/>
          <w:szCs w:val="20"/>
          <w:color w:val="auto"/>
        </w:rPr>
      </w:pPr>
    </w:p>
    <w:p>
      <w:pPr>
        <w:jc w:val="both"/>
        <w:ind w:left="640" w:hanging="316"/>
        <w:spacing w:after="0" w:line="252"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Keyvan Mohajer, Chief Executive Officer and Director, adopted a new trading plan on March 20, 2024 (with the first trade under the new plan not to be made prior to June 19, 2024). The trading plan will be effective until November 30, 2024 and provides for the sale of up to 2,400,000 shares of Dr. Mohajer’s 14,139,064 shares of Class B common stock, up to 833,435 shares of Class A common stock issuable upon exercise of outstanding options, and up to 467,500 shares of Class A common stock issuable upon vesting and settlement of certain RSUs and PSUs, provided that certain conditions are met.</w:t>
      </w:r>
    </w:p>
    <w:p>
      <w:pPr>
        <w:spacing w:after="0" w:line="185"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M. Hom, Chief Product Officer and Director, adopted a new trading plan on March 19, 2024 (with the first trade under the new plan not to be made prior to June 18, 2024). The trading plan will be effective until September 15, 2024 and provides for the sale of up to 200,000 shares of Mr. Hom’s 2,012,588 shares of Class B common stock and up to 97,706 shares of Class A common stock issuable upon vesting and settlement of certain RSUs and PSUs, provided that certain conditions are met.</w:t>
      </w:r>
    </w:p>
    <w:p>
      <w:pPr>
        <w:spacing w:after="0" w:line="18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Zagorsek, Chief Operating Officer, adopted a new trading plan on March 19, 2024 (with the first trade under the new plan not to be made prior to June 18, 2024). The trading plan will be effective until January 31, 2026 and provides for the sale of up to 416,719 shares of Class A common stock issuable upon vesting and exercise of certain stock options, provided that certain conditions are met.</w:t>
      </w:r>
    </w:p>
    <w:p>
      <w:pPr>
        <w:spacing w:after="0" w:line="17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Stonehocker, Chief Technology Officer, adopted a new trading plan on March 6, 2024 (with the first trade under the new plan not to be made prior to June 5, 2024). The trading plan will be effective until August 12, 2024 and provides for the sale of up to 416,000 shares of Class A common stock, provided that certain conditions are met</w:t>
      </w:r>
    </w:p>
    <w:p>
      <w:pPr>
        <w:spacing w:after="0" w:line="17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There were no “non-Rule 10b5-1 trading arrangements” (as defined in Item 408 of Regulation S-K of the Exchange Act) adopted, modified or terminated during the fiscal quarter ended March 31, 2024 by our directors and Section 16 officers. Each of the Rule 10b5-1 trading arrangements are in accordance with our Insider Trading Policy and actual sale transactions made pursuant to such trading arrangements will be disclosed publicly in Section 16 filings with the SEC in accordance with applicable securities laws, rules and regulations.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report.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74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160" w:type="dxa"/>
            <w:vAlign w:val="bottom"/>
            <w:gridSpan w:val="3"/>
          </w:tcPr>
          <w:p>
            <w:pPr>
              <w:ind w:left="25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5"/>
        </w:trPr>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2"/>
        </w:trPr>
        <w:tc>
          <w:tcPr>
            <w:tcW w:w="1640" w:type="dxa"/>
            <w:vAlign w:val="bottom"/>
            <w:tcBorders>
              <w:bottom w:val="single" w:sz="8" w:color="CCEEFF"/>
            </w:tcBorders>
            <w:shd w:val="clear" w:color="auto" w:fill="CCEEFF"/>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460" w:type="dxa"/>
            <w:vAlign w:val="bottom"/>
            <w:tcBorders>
              <w:bottom w:val="single" w:sz="8" w:color="0000FF"/>
            </w:tcBorders>
            <w:gridSpan w:val="3"/>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Securities Exchange Act Rules 13a-14(a) and 15(d)-14(a), as adopted</w:t>
            </w:r>
          </w:p>
        </w:tc>
        <w:tc>
          <w:tcPr>
            <w:tcW w:w="20" w:type="dxa"/>
            <w:vAlign w:val="bottom"/>
            <w:tcBorders>
              <w:bottom w:val="single" w:sz="8" w:color="CCEEFF"/>
            </w:tcBorders>
            <w:shd w:val="clear" w:color="auto" w:fill="CCEEFF"/>
          </w:tcPr>
          <w:p>
            <w:pPr>
              <w:spacing w:after="0"/>
              <w:rPr>
                <w:sz w:val="16"/>
                <w:szCs w:val="16"/>
                <w:color w:val="auto"/>
              </w:rPr>
            </w:pPr>
          </w:p>
        </w:tc>
      </w:tr>
      <w:tr>
        <w:trPr>
          <w:trHeight w:val="238"/>
        </w:trPr>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0" w:type="dxa"/>
            <w:vAlign w:val="bottom"/>
            <w:tcBorders>
              <w:bottom w:val="single" w:sz="8" w:color="0000FF"/>
            </w:tcBorders>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FF"/>
                <w:w w:val="97"/>
              </w:rPr>
              <w:t>Pursuant to Section 302 of the Sarbanes-Oxley Act of 2002</w:t>
            </w:r>
          </w:p>
        </w:tc>
        <w:tc>
          <w:tcPr>
            <w:tcW w:w="5280" w:type="dxa"/>
            <w:vAlign w:val="bottom"/>
            <w:tcBorders>
              <w:bottom w:val="single" w:sz="8" w:color="CCEEFF"/>
            </w:tcBorders>
            <w:gridSpan w:val="2"/>
            <w:shd w:val="clear" w:color="auto" w:fill="CCEEFF"/>
          </w:tcPr>
          <w:p>
            <w:pPr>
              <w:spacing w:after="0"/>
              <w:rPr>
                <w:sz w:val="20"/>
                <w:szCs w:val="20"/>
                <w:color w:val="auto"/>
              </w:rPr>
            </w:pPr>
          </w:p>
        </w:tc>
      </w:tr>
      <w:tr>
        <w:trPr>
          <w:trHeight w:val="199"/>
        </w:trPr>
        <w:tc>
          <w:tcPr>
            <w:tcW w:w="164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bottom w:val="single" w:sz="8" w:color="0000FF"/>
            </w:tcBorders>
            <w:gridSpan w:val="4"/>
          </w:tcPr>
          <w:p>
            <w:pPr>
              <w:spacing w:after="0" w:line="19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Securities Exchange Act Rules 13a-14(a) and 15(d)-14(a), as adopted</w:t>
            </w:r>
          </w:p>
        </w:tc>
      </w:tr>
      <w:tr>
        <w:trPr>
          <w:trHeight w:val="192"/>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80" w:type="dxa"/>
            <w:vAlign w:val="bottom"/>
            <w:gridSpan w:val="4"/>
          </w:tcPr>
          <w:p>
            <w:pPr>
              <w:spacing w:after="0" w:line="192"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46"/>
        </w:trPr>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2880" w:type="dxa"/>
            <w:vAlign w:val="bottom"/>
            <w:tcBorders>
              <w:top w:val="single" w:sz="8" w:color="0000FF"/>
            </w:tcBorders>
          </w:tcPr>
          <w:p>
            <w:pPr>
              <w:spacing w:after="0"/>
              <w:rPr>
                <w:sz w:val="4"/>
                <w:szCs w:val="4"/>
                <w:color w:val="auto"/>
              </w:rPr>
            </w:pPr>
          </w:p>
        </w:tc>
        <w:tc>
          <w:tcPr>
            <w:tcW w:w="52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99"/>
        </w:trPr>
        <w:tc>
          <w:tcPr>
            <w:tcW w:w="1640" w:type="dxa"/>
            <w:vAlign w:val="bottom"/>
            <w:tcBorders>
              <w:bottom w:val="single" w:sz="8" w:color="CCEEFF"/>
            </w:tcBorders>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460" w:type="dxa"/>
            <w:vAlign w:val="bottom"/>
            <w:tcBorders>
              <w:bottom w:val="single" w:sz="8" w:color="0000FF"/>
            </w:tcBorders>
            <w:gridSpan w:val="3"/>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0000FF"/>
                <w:w w:val="98"/>
              </w:rPr>
              <w:t>Certification of Principal Executive Officer Pursuant to 18 U.S.C. Section 1350, as adopted Pursuant to Section 906 of the Sarbanes-</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38"/>
        </w:trPr>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0000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FF"/>
                <w:w w:val="96"/>
              </w:rPr>
              <w:t>Oxley Act of 2002</w:t>
            </w:r>
          </w:p>
        </w:tc>
        <w:tc>
          <w:tcPr>
            <w:tcW w:w="8160" w:type="dxa"/>
            <w:vAlign w:val="bottom"/>
            <w:tcBorders>
              <w:bottom w:val="single" w:sz="8" w:color="CCEEFF"/>
            </w:tcBorders>
            <w:gridSpan w:val="3"/>
            <w:shd w:val="clear" w:color="auto" w:fill="CCEEFF"/>
          </w:tcPr>
          <w:p>
            <w:pPr>
              <w:spacing w:after="0"/>
              <w:rPr>
                <w:sz w:val="20"/>
                <w:szCs w:val="20"/>
                <w:color w:val="auto"/>
              </w:rPr>
            </w:pPr>
          </w:p>
        </w:tc>
      </w:tr>
      <w:tr>
        <w:trPr>
          <w:trHeight w:val="199"/>
        </w:trPr>
        <w:tc>
          <w:tcPr>
            <w:tcW w:w="164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gridSpan w:val="4"/>
          </w:tcPr>
          <w:p>
            <w:pPr>
              <w:spacing w:after="0" w:line="199"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r>
      <w:tr>
        <w:trPr>
          <w:trHeight w:val="192"/>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Borders>
              <w:top w:val="single" w:sz="8" w:color="0000FF"/>
              <w:bottom w:val="single" w:sz="8" w:color="0000FF"/>
            </w:tcBorders>
          </w:tcPr>
          <w:p>
            <w:pPr>
              <w:spacing w:after="0" w:line="192" w:lineRule="exact"/>
              <w:rPr>
                <w:sz w:val="20"/>
                <w:szCs w:val="20"/>
                <w:color w:val="auto"/>
              </w:rPr>
            </w:pPr>
            <w:r>
              <w:rPr>
                <w:rFonts w:ascii="Times New Roman" w:cs="Times New Roman" w:eastAsia="Times New Roman" w:hAnsi="Times New Roman"/>
                <w:sz w:val="18"/>
                <w:szCs w:val="18"/>
                <w:color w:val="0000FF"/>
                <w:w w:val="96"/>
              </w:rPr>
              <w:t>Oxley Act of 2002</w:t>
            </w:r>
          </w:p>
        </w:tc>
        <w:tc>
          <w:tcPr>
            <w:tcW w:w="8140" w:type="dxa"/>
            <w:vAlign w:val="bottom"/>
            <w:tcBorders>
              <w:top w:val="single" w:sz="8" w:color="0000FF"/>
            </w:tcBorders>
            <w:gridSpan w:val="2"/>
          </w:tcPr>
          <w:p>
            <w:pPr>
              <w:spacing w:after="0"/>
              <w:rPr>
                <w:sz w:val="16"/>
                <w:szCs w:val="16"/>
                <w:color w:val="auto"/>
              </w:rPr>
            </w:pP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134860" cy="7067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706755"/>
                    </a:xfrm>
                    <a:prstGeom prst="rect">
                      <a:avLst/>
                    </a:prstGeom>
                    <a:noFill/>
                  </pic:spPr>
                </pic:pic>
              </a:graphicData>
            </a:graphic>
          </wp:anchor>
        </w:drawing>
      </w:r>
    </w:p>
    <w:p>
      <w:pPr>
        <w:spacing w:after="0" w:line="41" w:lineRule="exact"/>
        <w:rPr>
          <w:sz w:val="20"/>
          <w:szCs w:val="20"/>
          <w:color w:val="auto"/>
        </w:rPr>
      </w:pPr>
    </w:p>
    <w:p>
      <w:pPr>
        <w:jc w:val="both"/>
        <w:ind w:left="1760" w:right="20" w:hanging="1065"/>
        <w:spacing w:after="0" w:line="272" w:lineRule="auto"/>
        <w:tabs>
          <w:tab w:leader="none" w:pos="17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SoundHound AI, Inc.'s Quarterly Report on Form 10-Q for the quarter ended March 31, 2024 formatted in Inline XBRL (Extensible Business Reporting Language) includes: (i) the condensed consolidated balance sheets,</w:t>
      </w:r>
    </w:p>
    <w:p>
      <w:pPr>
        <w:jc w:val="both"/>
        <w:ind w:left="1760" w:right="20" w:hanging="1"/>
        <w:spacing w:after="0" w:line="248" w:lineRule="auto"/>
        <w:tabs>
          <w:tab w:leader="none" w:pos="20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statements of operations and comprehensive loss, (iii) the condensed consolidated statements of stockholders' equity, (iv) the condensed consolidated statements of cash flows, and (vi) the notes to condensed consolidated financial statements.</w:t>
      </w:r>
    </w:p>
    <w:p>
      <w:pPr>
        <w:spacing w:after="0" w:line="28"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336" w:lineRule="exact"/>
        <w:rPr>
          <w:sz w:val="20"/>
          <w:szCs w:val="20"/>
          <w:color w:val="auto"/>
        </w:rPr>
      </w:pPr>
    </w:p>
    <w:p>
      <w:pPr>
        <w:ind w:right="9900" w:firstLine="6"/>
        <w:spacing w:after="0" w:line="564" w:lineRule="auto"/>
        <w:tabs>
          <w:tab w:leader="none" w:pos="26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 ** Furnished.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ind w:right="20" w:firstLine="636"/>
        <w:spacing w:after="0" w:line="274"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460" w:type="dxa"/>
            <w:vAlign w:val="bottom"/>
          </w:tcPr>
          <w:p>
            <w:pPr>
              <w:spacing w:after="0"/>
              <w:rPr>
                <w:sz w:val="20"/>
                <w:szCs w:val="20"/>
                <w:color w:val="auto"/>
              </w:rPr>
            </w:pPr>
          </w:p>
        </w:tc>
        <w:tc>
          <w:tcPr>
            <w:tcW w:w="7760" w:type="dxa"/>
            <w:vAlign w:val="bottom"/>
            <w:gridSpan w:val="2"/>
          </w:tcPr>
          <w:p>
            <w:pPr>
              <w:ind w:left="2340"/>
              <w:spacing w:after="0"/>
              <w:rPr>
                <w:sz w:val="20"/>
                <w:szCs w:val="20"/>
                <w:color w:val="auto"/>
              </w:rPr>
            </w:pPr>
            <w:r>
              <w:rPr>
                <w:rFonts w:ascii="Times New Roman" w:cs="Times New Roman" w:eastAsia="Times New Roman" w:hAnsi="Times New Roman"/>
                <w:sz w:val="18"/>
                <w:szCs w:val="18"/>
                <w:b w:val="1"/>
                <w:bCs w:val="1"/>
                <w:color w:val="auto"/>
              </w:rPr>
              <w:t>SOUNDHOUND AI, INC.</w:t>
            </w:r>
          </w:p>
        </w:tc>
      </w:tr>
      <w:tr>
        <w:trPr>
          <w:trHeight w:val="5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2024</w:t>
            </w:r>
          </w:p>
        </w:tc>
        <w:tc>
          <w:tcPr>
            <w:tcW w:w="32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Dr. Keyvan Mohajer</w:t>
            </w:r>
          </w:p>
        </w:tc>
      </w:tr>
      <w:tr>
        <w:trPr>
          <w:trHeight w:val="25"/>
        </w:trPr>
        <w:tc>
          <w:tcPr>
            <w:tcW w:w="34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3"/>
        </w:trPr>
        <w:tc>
          <w:tcPr>
            <w:tcW w:w="3460" w:type="dxa"/>
            <w:vAlign w:val="bottom"/>
          </w:tcPr>
          <w:p>
            <w:pPr>
              <w:spacing w:after="0"/>
              <w:rPr>
                <w:sz w:val="20"/>
                <w:szCs w:val="20"/>
                <w:color w:val="auto"/>
              </w:rPr>
            </w:pPr>
          </w:p>
        </w:tc>
        <w:tc>
          <w:tcPr>
            <w:tcW w:w="32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Keyvan Mohajer</w:t>
            </w:r>
          </w:p>
        </w:tc>
      </w:tr>
      <w:tr>
        <w:trPr>
          <w:trHeight w:val="265"/>
        </w:trPr>
        <w:tc>
          <w:tcPr>
            <w:tcW w:w="3460" w:type="dxa"/>
            <w:vAlign w:val="bottom"/>
          </w:tcPr>
          <w:p>
            <w:pPr>
              <w:spacing w:after="0"/>
              <w:rPr>
                <w:sz w:val="23"/>
                <w:szCs w:val="23"/>
                <w:color w:val="auto"/>
              </w:rPr>
            </w:pPr>
          </w:p>
        </w:tc>
        <w:tc>
          <w:tcPr>
            <w:tcW w:w="32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65"/>
        </w:trPr>
        <w:tc>
          <w:tcPr>
            <w:tcW w:w="346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2024</w:t>
            </w:r>
          </w:p>
        </w:tc>
        <w:tc>
          <w:tcPr>
            <w:tcW w:w="32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Nitesh Sharan</w:t>
            </w:r>
          </w:p>
        </w:tc>
      </w:tr>
      <w:tr>
        <w:trPr>
          <w:trHeight w:val="26"/>
        </w:trPr>
        <w:tc>
          <w:tcPr>
            <w:tcW w:w="34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3"/>
        </w:trPr>
        <w:tc>
          <w:tcPr>
            <w:tcW w:w="3460" w:type="dxa"/>
            <w:vAlign w:val="bottom"/>
          </w:tcPr>
          <w:p>
            <w:pPr>
              <w:spacing w:after="0"/>
              <w:rPr>
                <w:sz w:val="20"/>
                <w:szCs w:val="20"/>
                <w:color w:val="auto"/>
              </w:rPr>
            </w:pPr>
          </w:p>
        </w:tc>
        <w:tc>
          <w:tcPr>
            <w:tcW w:w="32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Nitesh Sharan</w:t>
            </w:r>
          </w:p>
        </w:tc>
      </w:tr>
      <w:tr>
        <w:trPr>
          <w:trHeight w:val="265"/>
        </w:trPr>
        <w:tc>
          <w:tcPr>
            <w:tcW w:w="3460" w:type="dxa"/>
            <w:vAlign w:val="bottom"/>
          </w:tcPr>
          <w:p>
            <w:pPr>
              <w:spacing w:after="0"/>
              <w:rPr>
                <w:sz w:val="23"/>
                <w:szCs w:val="23"/>
                <w:color w:val="auto"/>
              </w:rPr>
            </w:pPr>
          </w:p>
        </w:tc>
        <w:tc>
          <w:tcPr>
            <w:tcW w:w="32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65"/>
        </w:trPr>
        <w:tc>
          <w:tcPr>
            <w:tcW w:w="346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14"/>
        </w:trPr>
        <w:tc>
          <w:tcPr>
            <w:tcW w:w="3460" w:type="dxa"/>
            <w:vAlign w:val="bottom"/>
          </w:tcPr>
          <w:p>
            <w:pPr>
              <w:spacing w:after="0"/>
              <w:rPr>
                <w:sz w:val="24"/>
                <w:szCs w:val="24"/>
                <w:color w:val="auto"/>
              </w:rPr>
            </w:pP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57</w:t>
            </w:r>
          </w:p>
        </w:tc>
        <w:tc>
          <w:tcPr>
            <w:tcW w:w="4540" w:type="dxa"/>
            <w:vAlign w:val="bottom"/>
          </w:tcPr>
          <w:p>
            <w:pPr>
              <w:spacing w:after="0"/>
              <w:rPr>
                <w:sz w:val="24"/>
                <w:szCs w:val="24"/>
                <w:color w:val="auto"/>
              </w:rPr>
            </w:pPr>
          </w:p>
        </w:tc>
      </w:tr>
    </w:tbl>
    <w:p>
      <w:pPr>
        <w:sectPr>
          <w:pgSz w:w="11900" w:h="16838" w:orient="portrait"/>
          <w:cols w:equalWidth="0" w:num="1">
            <w:col w:w="11240"/>
          </w:cols>
          <w:pgMar w:left="320" w:top="331"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Keyvan Mohajer, certify that:</w:t>
      </w:r>
    </w:p>
    <w:p>
      <w:pPr>
        <w:spacing w:after="0" w:line="217"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SoundHound AI, Inc.;</w:t>
      </w:r>
    </w:p>
    <w:p>
      <w:pPr>
        <w:spacing w:after="0" w:line="21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May 10, 2024</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Dr. Keyvan Mohajer</w:t>
            </w:r>
          </w:p>
        </w:tc>
      </w:tr>
      <w:tr>
        <w:trPr>
          <w:trHeight w:val="239"/>
        </w:trPr>
        <w:tc>
          <w:tcPr>
            <w:tcW w:w="6740" w:type="dxa"/>
            <w:vAlign w:val="bottom"/>
          </w:tcPr>
          <w:p>
            <w:pPr>
              <w:ind w:left="604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Keyvan Mohajer</w:t>
            </w:r>
          </w:p>
        </w:tc>
      </w:tr>
      <w:tr>
        <w:trPr>
          <w:trHeight w:val="252"/>
        </w:trPr>
        <w:tc>
          <w:tcPr>
            <w:tcW w:w="6740" w:type="dxa"/>
            <w:vAlign w:val="bottom"/>
          </w:tcPr>
          <w:p>
            <w:pPr>
              <w:ind w:left="60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2"/>
        </w:trPr>
        <w:tc>
          <w:tcPr>
            <w:tcW w:w="674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26"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Nitesh Sharan, certify that:</w:t>
      </w:r>
    </w:p>
    <w:p>
      <w:pPr>
        <w:spacing w:after="0" w:line="217"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SoundHound AI, Inc.;</w:t>
      </w:r>
    </w:p>
    <w:p>
      <w:pPr>
        <w:spacing w:after="0" w:line="21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May 10, 2024</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Nitesh Sharan</w:t>
            </w:r>
          </w:p>
        </w:tc>
      </w:tr>
      <w:tr>
        <w:trPr>
          <w:trHeight w:val="239"/>
        </w:trPr>
        <w:tc>
          <w:tcPr>
            <w:tcW w:w="6740" w:type="dxa"/>
            <w:vAlign w:val="bottom"/>
          </w:tcPr>
          <w:p>
            <w:pPr>
              <w:ind w:left="604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Nitesh Sharan</w:t>
            </w:r>
          </w:p>
        </w:tc>
      </w:tr>
      <w:tr>
        <w:trPr>
          <w:trHeight w:val="252"/>
        </w:trPr>
        <w:tc>
          <w:tcPr>
            <w:tcW w:w="6740" w:type="dxa"/>
            <w:vAlign w:val="bottom"/>
          </w:tcPr>
          <w:p>
            <w:pPr>
              <w:ind w:left="60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2"/>
        </w:trPr>
        <w:tc>
          <w:tcPr>
            <w:tcW w:w="674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26"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of SoundHound AI, Inc. (the “Company’s Quarterly Report”) on Form 10-Q for the period ended March 31, 2024, as filed with the Securities and Exchange Commission on the date hereof (the “Report”), Dr. Keyvan Mohajer, as Chief Executive Officer and principal executive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33318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Dr. Keyvan Mohajer</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10, 2024</w:t>
      </w:r>
    </w:p>
    <w:p>
      <w:pPr>
        <w:spacing w:after="0" w:line="32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1126"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of SoundHound AI, Inc. (the “Company’s Quarterly Report”) on Form 10-Q for the period ended March 31, 2024, as filed with the Securities and Exchange Commission on the date hereof (the “Report”), Nitesh Sharan, as Chief Financial Officer and principal financial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Nitesh Sharan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33318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Nitesh Sharan</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10, 2024</w:t>
      </w:r>
    </w:p>
    <w:p>
      <w:pPr>
        <w:spacing w:after="0" w:line="23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1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4"/>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lowerRoman"/>
      <w:start w:val="3"/>
    </w:lvl>
  </w:abstractNum>
  <w:abstractNum w:abstractNumId="4">
    <w:nsid w:val="1F16E9E8"/>
    <w:multiLevelType w:val="hybridMultilevel"/>
    <w:lvl w:ilvl="0">
      <w:lvlJc w:val="left"/>
      <w:lvlText w:val="\emdash "/>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01"/>
    </w:lvl>
    <w:lvl w:ilvl="1">
      <w:lvlJc w:val="left"/>
      <w:lvlText w:val="(%2)"/>
      <w:numFmt w:val="lowerRoman"/>
      <w:start w:val="2"/>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2024-05-10T15:10:39Z</dcterms:created>
  <dcterms:modified xsi:type="dcterms:W3CDTF">2024-05-10T15:10:39Z</dcterms:modified>
</cp:coreProperties>
</file>