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SoundHound AI,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836100 107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Global Catalyst Partners III, 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3903 Little Valley Road</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Sunol, CA 94586</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10,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201" w:lineRule="exact"/>
        <w:rPr>
          <w:sz w:val="24"/>
          <w:szCs w:val="24"/>
          <w:color w:val="auto"/>
        </w:rPr>
      </w:pPr>
    </w:p>
    <w:p>
      <w:pPr>
        <w:ind w:left="444" w:hanging="444"/>
        <w:spacing w:after="0" w:line="308" w:lineRule="auto"/>
        <w:tabs>
          <w:tab w:leader="none" w:pos="4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p>
      <w:pPr>
        <w:ind w:left="624" w:right="7840" w:hanging="377"/>
        <w:spacing w:after="0" w:line="457"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Name of Reporting Persons: Global Catalyst Partners III, L.P.</w:t>
      </w:r>
    </w:p>
    <w:p>
      <w:pPr>
        <w:spacing w:after="0" w:line="1" w:lineRule="exact"/>
        <w:rPr>
          <w:rFonts w:ascii="Arial" w:cs="Arial" w:eastAsia="Arial" w:hAnsi="Arial"/>
          <w:sz w:val="16"/>
          <w:szCs w:val="16"/>
          <w:color w:val="auto"/>
        </w:rPr>
      </w:pP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858000" cy="6155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6155055"/>
                    </a:xfrm>
                    <a:prstGeom prst="rect">
                      <a:avLst/>
                    </a:prstGeom>
                    <a:noFill/>
                  </pic:spPr>
                </pic:pic>
              </a:graphicData>
            </a:graphic>
          </wp:anchor>
        </w:drawing>
      </w:r>
    </w:p>
    <w:p>
      <w:pPr>
        <w:ind w:left="624"/>
        <w:spacing w:after="0" w:line="205"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88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Pr>
          <w:p>
            <w:pPr>
              <w:spacing w:after="0"/>
              <w:rPr>
                <w:sz w:val="24"/>
                <w:szCs w:val="24"/>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15,150,565</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880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Pr>
          <w:p>
            <w:pPr>
              <w:spacing w:after="0"/>
              <w:rPr>
                <w:sz w:val="18"/>
                <w:szCs w:val="18"/>
                <w:color w:val="auto"/>
              </w:rPr>
            </w:pPr>
          </w:p>
        </w:tc>
        <w:tc>
          <w:tcPr>
            <w:tcW w:w="88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00" w:type="dxa"/>
            <w:vAlign w:val="bottom"/>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00" w:type="dxa"/>
            <w:vAlign w:val="bottom"/>
            <w:vMerge w:val="continue"/>
          </w:tcPr>
          <w:p>
            <w:pPr>
              <w:spacing w:after="0"/>
              <w:rPr>
                <w:sz w:val="5"/>
                <w:szCs w:val="5"/>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88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40" w:type="dxa"/>
            <w:vAlign w:val="bottom"/>
          </w:tcPr>
          <w:p>
            <w:pPr>
              <w:spacing w:after="0"/>
              <w:rPr>
                <w:sz w:val="18"/>
                <w:szCs w:val="18"/>
                <w:color w:val="auto"/>
              </w:rPr>
            </w:pPr>
          </w:p>
        </w:tc>
        <w:tc>
          <w:tcPr>
            <w:tcW w:w="8800" w:type="dxa"/>
            <w:vAlign w:val="bottom"/>
            <w:vMerge w:val="restart"/>
          </w:tcPr>
          <w:p>
            <w:pPr>
              <w:ind w:left="120"/>
              <w:spacing w:after="0"/>
              <w:rPr>
                <w:sz w:val="20"/>
                <w:szCs w:val="20"/>
                <w:color w:val="auto"/>
              </w:rPr>
            </w:pPr>
            <w:r>
              <w:rPr>
                <w:rFonts w:ascii="Arial" w:cs="Arial" w:eastAsia="Arial" w:hAnsi="Arial"/>
                <w:sz w:val="18"/>
                <w:szCs w:val="18"/>
                <w:color w:val="auto"/>
              </w:rPr>
              <w:t>15,150,565</w:t>
            </w: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rPr>
              <w:t>WITH:</w:t>
            </w:r>
          </w:p>
        </w:tc>
        <w:tc>
          <w:tcPr>
            <w:tcW w:w="540" w:type="dxa"/>
            <w:vAlign w:val="bottom"/>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24" w:right="6820" w:hanging="536"/>
        <w:spacing w:after="0" w:line="397" w:lineRule="auto"/>
        <w:tabs>
          <w:tab w:leader="none" w:pos="2124"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24" w:right="5340" w:hanging="467"/>
        <w:spacing w:after="0" w:line="414" w:lineRule="auto"/>
        <w:tabs>
          <w:tab w:leader="none" w:pos="62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15,150,565</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24" w:hanging="467"/>
        <w:spacing w:after="0"/>
        <w:tabs>
          <w:tab w:leader="none" w:pos="62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8.5% (1)</w:t>
      </w:r>
    </w:p>
    <w:p>
      <w:pPr>
        <w:spacing w:after="0" w:line="36" w:lineRule="exact"/>
        <w:rPr>
          <w:rFonts w:ascii="Arial" w:cs="Arial" w:eastAsia="Arial" w:hAnsi="Arial"/>
          <w:sz w:val="18"/>
          <w:szCs w:val="18"/>
          <w:color w:val="auto"/>
        </w:rPr>
      </w:pPr>
    </w:p>
    <w:p>
      <w:pPr>
        <w:ind w:left="624" w:hanging="467"/>
        <w:spacing w:after="0"/>
        <w:tabs>
          <w:tab w:leader="none" w:pos="62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92" w:lineRule="exact"/>
        <w:rPr>
          <w:rFonts w:ascii="Arial" w:cs="Arial" w:eastAsia="Arial" w:hAnsi="Arial"/>
          <w:sz w:val="18"/>
          <w:szCs w:val="18"/>
          <w:color w:val="auto"/>
        </w:rPr>
      </w:pPr>
    </w:p>
    <w:p>
      <w:pPr>
        <w:ind w:left="444" w:hanging="444"/>
        <w:spacing w:after="0" w:line="342" w:lineRule="auto"/>
        <w:tabs>
          <w:tab w:leader="none" w:pos="4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percent of class was calculated based on 177,656,940 shares of Class A Common Stock outstanding as of May 15, 2023, as disclosed in the Issuer’s Definitive Proxy Statement on Schedule 14A filed with the Securities and Exchange Commission on May 30, 2023.</w:t>
      </w:r>
    </w:p>
    <w:p>
      <w:pPr>
        <w:sectPr>
          <w:pgSz w:w="11900" w:h="16838" w:orient="portrait"/>
          <w:cols w:equalWidth="0" w:num="1">
            <w:col w:w="10804"/>
          </w:cols>
          <w:pgMar w:left="436" w:top="503" w:right="659" w:bottom="1440" w:gutter="0" w:footer="0" w:header="0"/>
        </w:sectPr>
      </w:pPr>
    </w:p>
    <w:bookmarkStart w:id="2" w:name="page3"/>
    <w:bookmarkEnd w:id="2"/>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Name of Reporting Persons: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Global Catalyst Venture Management III, LLC</w:t>
      </w:r>
    </w:p>
    <w:p>
      <w:pPr>
        <w:spacing w:after="0" w:line="36" w:lineRule="exact"/>
        <w:rPr>
          <w:rFonts w:ascii="Arial" w:cs="Arial" w:eastAsia="Arial" w:hAnsi="Arial"/>
          <w:sz w:val="18"/>
          <w:szCs w:val="18"/>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858000" cy="6155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0" cy="6155055"/>
                    </a:xfrm>
                    <a:prstGeom prst="rect">
                      <a:avLst/>
                    </a:prstGeom>
                    <a:noFill/>
                  </pic:spPr>
                </pic:pic>
              </a:graphicData>
            </a:graphic>
          </wp:anchor>
        </w:drawing>
      </w:r>
    </w:p>
    <w:p>
      <w:pPr>
        <w:ind w:left="624"/>
        <w:spacing w:after="0" w:line="205"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624" w:hanging="377"/>
        <w:spacing w:after="0"/>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24" w:hanging="377"/>
        <w:spacing w:after="0"/>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24" w:hanging="377"/>
        <w:spacing w:after="0"/>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24" w:hanging="377"/>
        <w:spacing w:after="0"/>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8800" w:type="dxa"/>
            <w:vAlign w:val="bottom"/>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Pr>
          <w:p>
            <w:pPr>
              <w:spacing w:after="0"/>
              <w:rPr>
                <w:sz w:val="24"/>
                <w:szCs w:val="24"/>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15,150,565</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4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(8)</w:t>
            </w:r>
          </w:p>
        </w:tc>
        <w:tc>
          <w:tcPr>
            <w:tcW w:w="880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Pr>
          <w:p>
            <w:pPr>
              <w:spacing w:after="0"/>
              <w:rPr>
                <w:sz w:val="18"/>
                <w:szCs w:val="18"/>
                <w:color w:val="auto"/>
              </w:rPr>
            </w:pPr>
          </w:p>
        </w:tc>
        <w:tc>
          <w:tcPr>
            <w:tcW w:w="880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4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00" w:type="dxa"/>
            <w:vAlign w:val="bottom"/>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00" w:type="dxa"/>
            <w:vAlign w:val="bottom"/>
            <w:vMerge w:val="continue"/>
          </w:tcPr>
          <w:p>
            <w:pPr>
              <w:spacing w:after="0"/>
              <w:rPr>
                <w:sz w:val="5"/>
                <w:szCs w:val="5"/>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8"/>
                <w:szCs w:val="18"/>
                <w:color w:val="auto"/>
              </w:rPr>
              <w:t>(9)</w:t>
            </w:r>
          </w:p>
        </w:tc>
        <w:tc>
          <w:tcPr>
            <w:tcW w:w="880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40" w:type="dxa"/>
            <w:vAlign w:val="bottom"/>
          </w:tcPr>
          <w:p>
            <w:pPr>
              <w:spacing w:after="0"/>
              <w:rPr>
                <w:sz w:val="18"/>
                <w:szCs w:val="18"/>
                <w:color w:val="auto"/>
              </w:rPr>
            </w:pPr>
          </w:p>
        </w:tc>
        <w:tc>
          <w:tcPr>
            <w:tcW w:w="8800" w:type="dxa"/>
            <w:vAlign w:val="bottom"/>
            <w:vMerge w:val="restart"/>
          </w:tcPr>
          <w:p>
            <w:pPr>
              <w:ind w:left="120"/>
              <w:spacing w:after="0"/>
              <w:rPr>
                <w:sz w:val="20"/>
                <w:szCs w:val="20"/>
                <w:color w:val="auto"/>
              </w:rPr>
            </w:pPr>
            <w:r>
              <w:rPr>
                <w:rFonts w:ascii="Arial" w:cs="Arial" w:eastAsia="Arial" w:hAnsi="Arial"/>
                <w:sz w:val="18"/>
                <w:szCs w:val="18"/>
                <w:color w:val="auto"/>
              </w:rPr>
              <w:t>15,150,565</w:t>
            </w:r>
          </w:p>
        </w:tc>
        <w:tc>
          <w:tcPr>
            <w:tcW w:w="0" w:type="dxa"/>
            <w:vAlign w:val="bottom"/>
          </w:tcPr>
          <w:p>
            <w:pPr>
              <w:spacing w:after="0"/>
              <w:rPr>
                <w:sz w:val="1"/>
                <w:szCs w:val="1"/>
                <w:color w:val="auto"/>
              </w:rPr>
            </w:pPr>
          </w:p>
        </w:tc>
      </w:tr>
      <w:tr>
        <w:trPr>
          <w:trHeight w:val="205"/>
        </w:trPr>
        <w:tc>
          <w:tcPr>
            <w:tcW w:w="1300" w:type="dxa"/>
            <w:vAlign w:val="bottom"/>
          </w:tcPr>
          <w:p>
            <w:pPr>
              <w:jc w:val="center"/>
              <w:spacing w:after="0" w:line="205" w:lineRule="exact"/>
              <w:rPr>
                <w:sz w:val="20"/>
                <w:szCs w:val="20"/>
                <w:color w:val="auto"/>
              </w:rPr>
            </w:pPr>
            <w:r>
              <w:rPr>
                <w:rFonts w:ascii="Arial" w:cs="Arial" w:eastAsia="Arial" w:hAnsi="Arial"/>
                <w:sz w:val="18"/>
                <w:szCs w:val="18"/>
                <w:color w:val="auto"/>
              </w:rPr>
              <w:t>WITH:</w:t>
            </w:r>
          </w:p>
        </w:tc>
        <w:tc>
          <w:tcPr>
            <w:tcW w:w="540" w:type="dxa"/>
            <w:vAlign w:val="bottom"/>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24" w:right="6820" w:hanging="536"/>
        <w:spacing w:after="0" w:line="397" w:lineRule="auto"/>
        <w:tabs>
          <w:tab w:leader="none" w:pos="2124"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24" w:right="5340" w:hanging="467"/>
        <w:spacing w:after="0" w:line="414" w:lineRule="auto"/>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15,150,565</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24" w:hanging="467"/>
        <w:spacing w:after="0"/>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8.5% (1)</w:t>
      </w:r>
    </w:p>
    <w:p>
      <w:pPr>
        <w:spacing w:after="0" w:line="36" w:lineRule="exact"/>
        <w:rPr>
          <w:rFonts w:ascii="Arial" w:cs="Arial" w:eastAsia="Arial" w:hAnsi="Arial"/>
          <w:sz w:val="18"/>
          <w:szCs w:val="18"/>
          <w:color w:val="auto"/>
        </w:rPr>
      </w:pPr>
    </w:p>
    <w:p>
      <w:pPr>
        <w:ind w:left="624" w:hanging="467"/>
        <w:spacing w:after="0"/>
        <w:tabs>
          <w:tab w:leader="none" w:pos="62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92" w:lineRule="exact"/>
        <w:rPr>
          <w:rFonts w:ascii="Arial" w:cs="Arial" w:eastAsia="Arial" w:hAnsi="Arial"/>
          <w:sz w:val="18"/>
          <w:szCs w:val="18"/>
          <w:color w:val="auto"/>
        </w:rPr>
      </w:pPr>
    </w:p>
    <w:p>
      <w:pPr>
        <w:ind w:left="444" w:hanging="444"/>
        <w:spacing w:after="0" w:line="342" w:lineRule="auto"/>
        <w:tabs>
          <w:tab w:leader="none" w:pos="4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 of class was calculated based on 177,656,940 shares of Class A Common Stock outstanding as of May 15, 2023, as disclosed in the Issuer’s Definitive Proxy Statement on Schedule 14A filed with the Securities and Exchange Commission on May 30, 2023.</w:t>
      </w:r>
    </w:p>
    <w:p>
      <w:pPr>
        <w:sectPr>
          <w:pgSz w:w="11900" w:h="16838" w:orient="portrait"/>
          <w:cols w:equalWidth="0" w:num="1">
            <w:col w:w="10804"/>
          </w:cols>
          <w:pgMar w:left="436" w:top="503" w:right="6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EXPLANATORY STATEMENT</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This Amendment No. 4 (this “Amendment”) amends and supplements the statement on Schedule 13D originally filed by Reporting Persons on May 6, 2022, as amended (the “Schedule 13D”). Unless otherwise indicated, each capitalized term used but not defined in this Amendment shall have the meaning assigned to such term in the Schedule 13D.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5(a)-(c) of the Schedule 13D is hereby amended and restated as follows:</w:t>
      </w:r>
    </w:p>
    <w:p>
      <w:pPr>
        <w:spacing w:after="0" w:line="117" w:lineRule="exact"/>
        <w:rPr>
          <w:sz w:val="20"/>
          <w:szCs w:val="20"/>
          <w:color w:val="auto"/>
        </w:rPr>
      </w:pPr>
    </w:p>
    <w:p>
      <w:pPr>
        <w:ind w:left="4" w:right="320"/>
        <w:spacing w:after="0" w:line="286" w:lineRule="auto"/>
        <w:rPr>
          <w:sz w:val="20"/>
          <w:szCs w:val="20"/>
          <w:color w:val="auto"/>
        </w:rPr>
      </w:pPr>
      <w:r>
        <w:rPr>
          <w:rFonts w:ascii="Arial" w:cs="Arial" w:eastAsia="Arial" w:hAnsi="Arial"/>
          <w:sz w:val="17"/>
          <w:szCs w:val="17"/>
          <w:color w:val="auto"/>
        </w:rPr>
        <w:t>(a)-(b) The information set forth in rows 7 through 13 of the cover pages to this Schedule 13D is incorporated by reference. The percent of class was calculated based on 177,656,940 shares of Class A Common Stock outstanding as of May 15, 2023, as disclosed in the Issuer’s Definitive Proxy Statement on Schedule 14A filed with the Securities and Exchange Commission on May 30, 2023.</w:t>
      </w:r>
    </w:p>
    <w:p>
      <w:pPr>
        <w:spacing w:after="0" w:line="16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Global Catalyst Partners III LP (“GCP III”) directly owns 15,150,565 shares of Class A Common Stock, which represents approximately 8.5% of the outstanding Class A Common Stock. Global Catalyst Venture Management III, LLC (“GCVM III”), as the general partner of GCP III, may be deemed to beneficially own the shares of Class A Common Stock held directly by GCP III.</w:t>
      </w:r>
    </w:p>
    <w:p>
      <w:pPr>
        <w:spacing w:after="0" w:line="184" w:lineRule="exact"/>
        <w:rPr>
          <w:sz w:val="20"/>
          <w:szCs w:val="20"/>
          <w:color w:val="auto"/>
        </w:rPr>
      </w:pPr>
    </w:p>
    <w:p>
      <w:pPr>
        <w:jc w:val="both"/>
        <w:ind w:left="4" w:hanging="4"/>
        <w:spacing w:after="0" w:line="301"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July 10, 2023, GCP III distributed in-kind, without consideration, 5,000,000 shares of Class A Common Stock pro-rata to its partners, including its limited partners and its general partner, GCVM III. Upon receipt by GCVM III of its pro rata interest of the distribution (667,141 shares of Class A Common Stock), GCVM III distributed in-kind, without consideration, all such shares pro-rata to its members. Except as reported in this Item 5(c), none of the Reporting Persons have effected any transactions of the Issuer’s Class A Common Stock since the most recent filing of Schedule 13D.</w:t>
      </w:r>
    </w:p>
    <w:p>
      <w:pPr>
        <w:sectPr>
          <w:pgSz w:w="11900" w:h="16838" w:orient="portrait"/>
          <w:cols w:equalWidth="0" w:num="1">
            <w:col w:w="11004"/>
          </w:cols>
          <w:pgMar w:left="436" w:top="486" w:right="45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12,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PARTNERS III,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Global Catalyst Venture Management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VENTURE MANAGEMENT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0600"/>
      </w:cols>
      <w:pgMar w:left="440" w:top="48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515F007C"/>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5BD062C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
    <w:nsid w:val="1F16E9E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0">
    <w:nsid w:val="1190CDE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2023-07-12T15:11:39Z</dcterms:created>
  <dcterms:modified xsi:type="dcterms:W3CDTF">2023-07-12T15:11:39Z</dcterms:modified>
</cp:coreProperties>
</file>