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30" w:lineRule="exact"/>
        <w:rPr>
          <w:sz w:val="24"/>
          <w:szCs w:val="24"/>
          <w:color w:val="auto"/>
        </w:rPr>
      </w:pPr>
    </w:p>
    <w:p>
      <w:pPr>
        <w:jc w:val="center"/>
        <w:ind w:left="3980" w:right="1120" w:hanging="2854"/>
        <w:spacing w:after="0" w:line="503" w:lineRule="auto"/>
        <w:tabs>
          <w:tab w:leader="none" w:pos="13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2021</w:t>
      </w:r>
    </w:p>
    <w:p>
      <w:pPr>
        <w:ind w:left="55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1" w:lineRule="exact"/>
        <w:rPr>
          <w:rFonts w:ascii="MS PGothic" w:cs="MS PGothic" w:eastAsia="MS PGothic" w:hAnsi="MS PGothic"/>
          <w:sz w:val="18"/>
          <w:szCs w:val="18"/>
          <w:color w:val="auto"/>
        </w:rPr>
      </w:pPr>
    </w:p>
    <w:p>
      <w:pPr>
        <w:jc w:val="center"/>
        <w:ind w:left="3600" w:right="1260" w:hanging="2338"/>
        <w:spacing w:after="0" w:line="500" w:lineRule="auto"/>
        <w:tabs>
          <w:tab w:leader="none" w:pos="1462"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UNDER SECTION 13 OR 15(d) OF THE SECURITIES EXCHANGE ACT OF 1934 </w:t>
      </w:r>
      <w:r>
        <w:rPr>
          <w:rFonts w:ascii="Arial" w:cs="Arial" w:eastAsia="Arial" w:hAnsi="Arial"/>
          <w:sz w:val="18"/>
          <w:szCs w:val="18"/>
          <w:color w:val="auto"/>
        </w:rPr>
        <w:t>For the transition period from _________ to 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001-40193</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Archimedes Tech SPAC Partners Co.</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gridSpan w:val="2"/>
          </w:tcPr>
          <w:p>
            <w:pPr>
              <w:jc w:val="right"/>
              <w:ind w:right="2230"/>
              <w:spacing w:after="0"/>
              <w:rPr>
                <w:sz w:val="20"/>
                <w:szCs w:val="20"/>
                <w:color w:val="auto"/>
              </w:rPr>
            </w:pPr>
            <w:r>
              <w:rPr>
                <w:rFonts w:ascii="Arial" w:cs="Arial" w:eastAsia="Arial" w:hAnsi="Arial"/>
                <w:sz w:val="18"/>
                <w:szCs w:val="18"/>
                <w:b w:val="1"/>
                <w:bCs w:val="1"/>
                <w:color w:val="auto"/>
              </w:rPr>
              <w:t>86-1286799</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5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0"/>
              </w:rPr>
              <w:t>2093 Philadelphia Pike #1968</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41"/>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2"/>
              </w:rPr>
              <w:t>Claymont, DE 19703</w:t>
            </w:r>
          </w:p>
        </w:tc>
        <w:tc>
          <w:tcPr>
            <w:tcW w:w="5720" w:type="dxa"/>
            <w:vAlign w:val="bottom"/>
            <w:gridSpan w:val="2"/>
          </w:tcPr>
          <w:p>
            <w:pPr>
              <w:jc w:val="right"/>
              <w:ind w:right="2430"/>
              <w:spacing w:after="0"/>
              <w:rPr>
                <w:sz w:val="20"/>
                <w:szCs w:val="20"/>
                <w:color w:val="auto"/>
              </w:rPr>
            </w:pPr>
            <w:r>
              <w:rPr>
                <w:rFonts w:ascii="Arial" w:cs="Arial" w:eastAsia="Arial" w:hAnsi="Arial"/>
                <w:sz w:val="18"/>
                <w:szCs w:val="18"/>
                <w:b w:val="1"/>
                <w:bCs w:val="1"/>
                <w:color w:val="auto"/>
              </w:rPr>
              <w:t>19703</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(650) 560-4753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2"/>
        </w:trPr>
        <w:tc>
          <w:tcPr>
            <w:tcW w:w="4280" w:type="dxa"/>
            <w:vAlign w:val="bottom"/>
            <w:shd w:val="clear" w:color="auto" w:fill="CCECFF"/>
          </w:tcPr>
          <w:p>
            <w:pPr>
              <w:jc w:val="center"/>
              <w:spacing w:after="0" w:line="201" w:lineRule="exact"/>
              <w:rPr>
                <w:sz w:val="20"/>
                <w:szCs w:val="20"/>
                <w:color w:val="auto"/>
              </w:rPr>
            </w:pPr>
            <w:r>
              <w:rPr>
                <w:rFonts w:ascii="Arial" w:cs="Arial" w:eastAsia="Arial" w:hAnsi="Arial"/>
                <w:sz w:val="18"/>
                <w:szCs w:val="18"/>
                <w:color w:val="auto"/>
                <w:w w:val="90"/>
              </w:rPr>
              <w:t>Units, each consisting of one subunit and one-quarter of</w:t>
            </w:r>
          </w:p>
        </w:tc>
        <w:tc>
          <w:tcPr>
            <w:tcW w:w="240" w:type="dxa"/>
            <w:vAlign w:val="bottom"/>
            <w:shd w:val="clear" w:color="auto" w:fill="CCECFF"/>
          </w:tcPr>
          <w:p>
            <w:pPr>
              <w:spacing w:after="0"/>
              <w:rPr>
                <w:sz w:val="17"/>
                <w:szCs w:val="17"/>
                <w:color w:val="auto"/>
              </w:rPr>
            </w:pPr>
          </w:p>
        </w:tc>
        <w:tc>
          <w:tcPr>
            <w:tcW w:w="2240" w:type="dxa"/>
            <w:vAlign w:val="bottom"/>
            <w:shd w:val="clear" w:color="auto" w:fill="CCECFF"/>
          </w:tcPr>
          <w:p>
            <w:pPr>
              <w:jc w:val="center"/>
              <w:spacing w:after="0" w:line="201" w:lineRule="exact"/>
              <w:rPr>
                <w:sz w:val="20"/>
                <w:szCs w:val="20"/>
                <w:color w:val="auto"/>
              </w:rPr>
            </w:pPr>
            <w:r>
              <w:rPr>
                <w:rFonts w:ascii="Arial" w:cs="Arial" w:eastAsia="Arial" w:hAnsi="Arial"/>
                <w:sz w:val="18"/>
                <w:szCs w:val="18"/>
                <w:color w:val="auto"/>
                <w:w w:val="93"/>
              </w:rPr>
              <w:t>ATSPU</w:t>
            </w:r>
          </w:p>
        </w:tc>
        <w:tc>
          <w:tcPr>
            <w:tcW w:w="220" w:type="dxa"/>
            <w:vAlign w:val="bottom"/>
            <w:shd w:val="clear" w:color="auto" w:fill="CCECFF"/>
          </w:tcPr>
          <w:p>
            <w:pPr>
              <w:spacing w:after="0"/>
              <w:rPr>
                <w:sz w:val="17"/>
                <w:szCs w:val="17"/>
                <w:color w:val="auto"/>
              </w:rPr>
            </w:pPr>
          </w:p>
        </w:tc>
        <w:tc>
          <w:tcPr>
            <w:tcW w:w="4260" w:type="dxa"/>
            <w:vAlign w:val="bottom"/>
            <w:shd w:val="clear" w:color="auto" w:fill="CCEC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2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0"/>
              </w:rPr>
              <w:t>one warrant</w:t>
            </w:r>
          </w:p>
        </w:tc>
        <w:tc>
          <w:tcPr>
            <w:tcW w:w="240" w:type="dxa"/>
            <w:vAlign w:val="bottom"/>
            <w:shd w:val="clear" w:color="auto" w:fill="CCECFF"/>
          </w:tcPr>
          <w:p>
            <w:pPr>
              <w:spacing w:after="0"/>
              <w:rPr>
                <w:sz w:val="20"/>
                <w:szCs w:val="20"/>
                <w:color w:val="auto"/>
              </w:rPr>
            </w:pPr>
          </w:p>
        </w:tc>
        <w:tc>
          <w:tcPr>
            <w:tcW w:w="224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4260" w:type="dxa"/>
            <w:vAlign w:val="bottom"/>
            <w:shd w:val="clear" w:color="auto" w:fill="CCECFF"/>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02"/>
        </w:trPr>
        <w:tc>
          <w:tcPr>
            <w:tcW w:w="4280" w:type="dxa"/>
            <w:vAlign w:val="bottom"/>
            <w:shd w:val="clear" w:color="auto" w:fill="CCECFF"/>
          </w:tcPr>
          <w:p>
            <w:pPr>
              <w:jc w:val="center"/>
              <w:spacing w:after="0" w:line="201" w:lineRule="exact"/>
              <w:rPr>
                <w:sz w:val="20"/>
                <w:szCs w:val="20"/>
                <w:color w:val="auto"/>
              </w:rPr>
            </w:pPr>
            <w:r>
              <w:rPr>
                <w:rFonts w:ascii="Arial" w:cs="Arial" w:eastAsia="Arial" w:hAnsi="Arial"/>
                <w:sz w:val="18"/>
                <w:szCs w:val="18"/>
                <w:color w:val="auto"/>
                <w:w w:val="90"/>
              </w:rPr>
              <w:t>Subunits included as part of the units, each consisting of</w:t>
            </w:r>
          </w:p>
        </w:tc>
        <w:tc>
          <w:tcPr>
            <w:tcW w:w="240" w:type="dxa"/>
            <w:vAlign w:val="bottom"/>
            <w:shd w:val="clear" w:color="auto" w:fill="CCECFF"/>
          </w:tcPr>
          <w:p>
            <w:pPr>
              <w:spacing w:after="0"/>
              <w:rPr>
                <w:sz w:val="17"/>
                <w:szCs w:val="17"/>
                <w:color w:val="auto"/>
              </w:rPr>
            </w:pPr>
          </w:p>
        </w:tc>
        <w:tc>
          <w:tcPr>
            <w:tcW w:w="2240" w:type="dxa"/>
            <w:vAlign w:val="bottom"/>
            <w:shd w:val="clear" w:color="auto" w:fill="CCECFF"/>
          </w:tcPr>
          <w:p>
            <w:pPr>
              <w:jc w:val="center"/>
              <w:spacing w:after="0" w:line="201" w:lineRule="exact"/>
              <w:rPr>
                <w:sz w:val="20"/>
                <w:szCs w:val="20"/>
                <w:color w:val="auto"/>
              </w:rPr>
            </w:pPr>
            <w:r>
              <w:rPr>
                <w:rFonts w:ascii="Arial" w:cs="Arial" w:eastAsia="Arial" w:hAnsi="Arial"/>
                <w:sz w:val="18"/>
                <w:szCs w:val="18"/>
                <w:color w:val="auto"/>
                <w:w w:val="89"/>
              </w:rPr>
              <w:t>ATSPT</w:t>
            </w:r>
          </w:p>
        </w:tc>
        <w:tc>
          <w:tcPr>
            <w:tcW w:w="220" w:type="dxa"/>
            <w:vAlign w:val="bottom"/>
            <w:shd w:val="clear" w:color="auto" w:fill="CCECFF"/>
          </w:tcPr>
          <w:p>
            <w:pPr>
              <w:spacing w:after="0"/>
              <w:rPr>
                <w:sz w:val="17"/>
                <w:szCs w:val="17"/>
                <w:color w:val="auto"/>
              </w:rPr>
            </w:pPr>
          </w:p>
        </w:tc>
        <w:tc>
          <w:tcPr>
            <w:tcW w:w="4260" w:type="dxa"/>
            <w:vAlign w:val="bottom"/>
            <w:shd w:val="clear" w:color="auto" w:fill="CCEC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2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one share of common stock, $0.0001 par value, and one-</w:t>
            </w:r>
          </w:p>
        </w:tc>
        <w:tc>
          <w:tcPr>
            <w:tcW w:w="240" w:type="dxa"/>
            <w:vAlign w:val="bottom"/>
            <w:shd w:val="clear" w:color="auto" w:fill="CCECFF"/>
          </w:tcPr>
          <w:p>
            <w:pPr>
              <w:spacing w:after="0"/>
              <w:rPr>
                <w:sz w:val="18"/>
                <w:szCs w:val="18"/>
                <w:color w:val="auto"/>
              </w:rPr>
            </w:pPr>
          </w:p>
        </w:tc>
        <w:tc>
          <w:tcPr>
            <w:tcW w:w="22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4260" w:type="dxa"/>
            <w:vAlign w:val="bottom"/>
            <w:shd w:val="clear" w:color="auto" w:fill="CCECFF"/>
          </w:tcPr>
          <w:p>
            <w:pPr>
              <w:spacing w:after="0"/>
              <w:rPr>
                <w:sz w:val="18"/>
                <w:szCs w:val="18"/>
                <w:color w:val="auto"/>
              </w:rPr>
            </w:pPr>
          </w:p>
        </w:tc>
      </w:tr>
      <w:tr>
        <w:trPr>
          <w:trHeight w:val="230"/>
        </w:trPr>
        <w:tc>
          <w:tcPr>
            <w:tcW w:w="42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0"/>
              </w:rPr>
              <w:t>quarter of one warrant</w:t>
            </w:r>
          </w:p>
        </w:tc>
        <w:tc>
          <w:tcPr>
            <w:tcW w:w="240" w:type="dxa"/>
            <w:vAlign w:val="bottom"/>
            <w:shd w:val="clear" w:color="auto" w:fill="CCECFF"/>
          </w:tcPr>
          <w:p>
            <w:pPr>
              <w:spacing w:after="0"/>
              <w:rPr>
                <w:sz w:val="20"/>
                <w:szCs w:val="20"/>
                <w:color w:val="auto"/>
              </w:rPr>
            </w:pPr>
          </w:p>
        </w:tc>
        <w:tc>
          <w:tcPr>
            <w:tcW w:w="224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4260" w:type="dxa"/>
            <w:vAlign w:val="bottom"/>
            <w:shd w:val="clear" w:color="auto" w:fill="CCECFF"/>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2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40" w:type="dxa"/>
            <w:vAlign w:val="bottom"/>
            <w:shd w:val="clear" w:color="auto" w:fill="CCECFF"/>
          </w:tcPr>
          <w:p>
            <w:pPr>
              <w:spacing w:after="0"/>
              <w:rPr>
                <w:sz w:val="18"/>
                <w:szCs w:val="18"/>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ATSP</w:t>
            </w:r>
          </w:p>
        </w:tc>
        <w:tc>
          <w:tcPr>
            <w:tcW w:w="220" w:type="dxa"/>
            <w:vAlign w:val="bottom"/>
            <w:shd w:val="clear" w:color="auto" w:fill="CCECFF"/>
          </w:tcPr>
          <w:p>
            <w:pPr>
              <w:spacing w:after="0"/>
              <w:rPr>
                <w:sz w:val="18"/>
                <w:szCs w:val="18"/>
                <w:color w:val="auto"/>
              </w:rPr>
            </w:pPr>
          </w:p>
        </w:tc>
        <w:tc>
          <w:tcPr>
            <w:tcW w:w="42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2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7"/>
              </w:rPr>
              <w:t>Redeemable warrants</w:t>
            </w:r>
          </w:p>
        </w:tc>
        <w:tc>
          <w:tcPr>
            <w:tcW w:w="240" w:type="dxa"/>
            <w:vAlign w:val="bottom"/>
            <w:shd w:val="clear" w:color="auto" w:fill="CCECFF"/>
          </w:tcPr>
          <w:p>
            <w:pPr>
              <w:spacing w:after="0"/>
              <w:rPr>
                <w:sz w:val="18"/>
                <w:szCs w:val="18"/>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3"/>
              </w:rPr>
              <w:t>ATSPW</w:t>
            </w:r>
          </w:p>
        </w:tc>
        <w:tc>
          <w:tcPr>
            <w:tcW w:w="220" w:type="dxa"/>
            <w:vAlign w:val="bottom"/>
            <w:shd w:val="clear" w:color="auto" w:fill="CCECFF"/>
          </w:tcPr>
          <w:p>
            <w:pPr>
              <w:spacing w:after="0"/>
              <w:rPr>
                <w:sz w:val="18"/>
                <w:szCs w:val="18"/>
                <w:color w:val="auto"/>
              </w:rPr>
            </w:pPr>
          </w:p>
        </w:tc>
        <w:tc>
          <w:tcPr>
            <w:tcW w:w="42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7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60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513" w:right="339" w:bottom="0" w:gutter="0" w:footer="0" w:header="0"/>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Auditor PCAOB ID Number: 1195 Auditor Name: UHY LLP Auditor Location: New York, New York, United States of America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the aggregate market value of the Registrant’s common equity held by non-affiliates of the Registrant was $137,740,405 based on the closing price of the Registrant’s subunits on the Nasdaq Stock Market on that date. The Registrant’s subunits include one share of common stock and one-quarter of one warrant.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shares outstanding of the Registrant’s shares of common stock as of March 9, 2022 was 17,461,000, including shares of common stock underlying the units and subunits.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9"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40" w:type="dxa"/>
            <w:vAlign w:val="bottom"/>
            <w:gridSpan w:val="14"/>
          </w:tcPr>
          <w:p>
            <w:pPr>
              <w:jc w:val="center"/>
              <w:ind w:right="3020"/>
              <w:spacing w:after="0"/>
              <w:rPr>
                <w:sz w:val="20"/>
                <w:szCs w:val="20"/>
                <w:color w:val="auto"/>
              </w:rPr>
            </w:pPr>
            <w:r>
              <w:rPr>
                <w:rFonts w:ascii="Arial" w:cs="Arial" w:eastAsia="Arial" w:hAnsi="Arial"/>
                <w:sz w:val="18"/>
                <w:szCs w:val="18"/>
                <w:b w:val="1"/>
                <w:bCs w:val="1"/>
                <w:color w:val="auto"/>
                <w:w w:val="89"/>
              </w:rPr>
              <w:t>Archimedes Tech SPAC Partners Co.</w:t>
            </w:r>
          </w:p>
        </w:tc>
        <w:tc>
          <w:tcPr>
            <w:tcW w:w="114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20" w:type="dxa"/>
            <w:vAlign w:val="bottom"/>
            <w:gridSpan w:val="20"/>
          </w:tcPr>
          <w:p>
            <w:pPr>
              <w:jc w:val="center"/>
              <w:ind w:right="1440"/>
              <w:spacing w:after="0"/>
              <w:rPr>
                <w:sz w:val="20"/>
                <w:szCs w:val="20"/>
                <w:color w:val="auto"/>
              </w:rPr>
            </w:pPr>
            <w:r>
              <w:rPr>
                <w:rFonts w:ascii="Arial" w:cs="Arial" w:eastAsia="Arial" w:hAnsi="Arial"/>
                <w:sz w:val="18"/>
                <w:szCs w:val="18"/>
                <w:b w:val="1"/>
                <w:bCs w:val="1"/>
                <w:color w:val="auto"/>
                <w:w w:val="91"/>
              </w:rPr>
              <w:t>Annual Report on Form 10-K for the Fiscal Year Ended December 31, 2021</w:t>
            </w:r>
          </w:p>
        </w:tc>
        <w:tc>
          <w:tcPr>
            <w:tcW w:w="11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75"/>
        </w:trPr>
        <w:tc>
          <w:tcPr>
            <w:tcW w:w="1300" w:type="dxa"/>
            <w:vAlign w:val="bottom"/>
            <w:gridSpan w:val="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960" w:type="dxa"/>
            <w:vAlign w:val="bottom"/>
            <w:gridSpan w:val="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80" w:type="dxa"/>
            <w:vAlign w:val="bottom"/>
            <w:gridSpan w:val="5"/>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jc w:val="center"/>
              <w:ind w:left="50"/>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ITEM 1A.</w:t>
              </w:r>
            </w:hyperlink>
          </w:p>
        </w:tc>
        <w:tc>
          <w:tcPr>
            <w:tcW w:w="220" w:type="dxa"/>
            <w:vAlign w:val="bottom"/>
            <w:gridSpan w:val="2"/>
            <w:shd w:val="clear" w:color="auto" w:fill="CCEEFF"/>
          </w:tcPr>
          <w:p>
            <w:pPr>
              <w:spacing w:after="0"/>
              <w:rPr>
                <w:sz w:val="15"/>
                <w:szCs w:val="15"/>
                <w:color w:val="auto"/>
              </w:rPr>
            </w:pPr>
          </w:p>
        </w:tc>
        <w:tc>
          <w:tcPr>
            <w:tcW w:w="7820" w:type="dxa"/>
            <w:vAlign w:val="bottom"/>
            <w:gridSpan w:val="24"/>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114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79"/>
              </w:rPr>
              <w:t>11</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0" w:type="dxa"/>
            <w:vAlign w:val="bottom"/>
            <w:gridSpan w:val="29"/>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1B.   UNRESOLVED STAFF COMMENTS</w:t>
              </w:r>
            </w:hyperlink>
          </w:p>
        </w:tc>
        <w:tc>
          <w:tcPr>
            <w:tcW w:w="1140" w:type="dxa"/>
            <w:vAlign w:val="bottom"/>
          </w:tcPr>
          <w:p>
            <w:pPr>
              <w:jc w:val="center"/>
              <w:ind w:left="50"/>
              <w:spacing w:after="0" w:line="176" w:lineRule="exact"/>
              <w:rPr>
                <w:sz w:val="20"/>
                <w:szCs w:val="20"/>
                <w:color w:val="auto"/>
              </w:rPr>
            </w:pPr>
            <w:r>
              <w:rPr>
                <w:rFonts w:ascii="Arial" w:cs="Arial" w:eastAsia="Arial" w:hAnsi="Arial"/>
                <w:sz w:val="18"/>
                <w:szCs w:val="18"/>
                <w:color w:val="auto"/>
                <w:w w:val="79"/>
              </w:rPr>
              <w:t>11</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ITEM 2.</w:t>
              </w:r>
            </w:hyperlink>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PROPERTIES</w:t>
              </w:r>
            </w:hyperlink>
          </w:p>
        </w:tc>
        <w:tc>
          <w:tcPr>
            <w:tcW w:w="7740" w:type="dxa"/>
            <w:vAlign w:val="bottom"/>
            <w:tcBorders>
              <w:bottom w:val="single" w:sz="8" w:color="CCEEFF"/>
            </w:tcBorders>
            <w:gridSpan w:val="2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79"/>
              </w:rPr>
              <w:t>11</w:t>
            </w:r>
          </w:p>
        </w:tc>
      </w:tr>
      <w:tr>
        <w:trPr>
          <w:trHeight w:val="175"/>
        </w:trPr>
        <w:tc>
          <w:tcPr>
            <w:tcW w:w="340" w:type="dxa"/>
            <w:vAlign w:val="bottom"/>
          </w:tcPr>
          <w:p>
            <w:pPr>
              <w:spacing w:after="0"/>
              <w:rPr>
                <w:sz w:val="15"/>
                <w:szCs w:val="15"/>
                <w:color w:val="auto"/>
              </w:rPr>
            </w:pPr>
          </w:p>
        </w:tc>
        <w:tc>
          <w:tcPr>
            <w:tcW w:w="960" w:type="dxa"/>
            <w:vAlign w:val="bottom"/>
            <w:gridSpan w:val="7"/>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3.</w:t>
              </w:r>
            </w:hyperlink>
          </w:p>
        </w:tc>
        <w:tc>
          <w:tcPr>
            <w:tcW w:w="8800" w:type="dxa"/>
            <w:vAlign w:val="bottom"/>
            <w:gridSpan w:val="29"/>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1140" w:type="dxa"/>
            <w:vAlign w:val="bottom"/>
          </w:tcPr>
          <w:p>
            <w:pPr>
              <w:jc w:val="center"/>
              <w:ind w:left="50"/>
              <w:spacing w:after="0" w:line="176" w:lineRule="exact"/>
              <w:rPr>
                <w:sz w:val="20"/>
                <w:szCs w:val="20"/>
                <w:color w:val="auto"/>
              </w:rPr>
            </w:pPr>
            <w:r>
              <w:rPr>
                <w:rFonts w:ascii="Arial" w:cs="Arial" w:eastAsia="Arial" w:hAnsi="Arial"/>
                <w:sz w:val="18"/>
                <w:szCs w:val="18"/>
                <w:color w:val="auto"/>
                <w:w w:val="79"/>
              </w:rPr>
              <w:t>11</w:t>
            </w:r>
          </w:p>
        </w:tc>
      </w:tr>
      <w:tr>
        <w:trPr>
          <w:trHeight w:val="21"/>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960" w:type="dxa"/>
            <w:vAlign w:val="bottom"/>
            <w:gridSpan w:val="7"/>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4.</w:t>
              </w:r>
            </w:hyperlink>
          </w:p>
        </w:tc>
        <w:tc>
          <w:tcPr>
            <w:tcW w:w="8800" w:type="dxa"/>
            <w:vAlign w:val="bottom"/>
            <w:gridSpan w:val="29"/>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MINE SAFETY DISCLOSURES</w:t>
              </w:r>
            </w:hyperlink>
          </w:p>
        </w:tc>
        <w:tc>
          <w:tcPr>
            <w:tcW w:w="114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79"/>
              </w:rPr>
              <w:t>11</w:t>
            </w: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6"/>
        </w:trPr>
        <w:tc>
          <w:tcPr>
            <w:tcW w:w="1300" w:type="dxa"/>
            <w:vAlign w:val="bottom"/>
            <w:gridSpan w:val="8"/>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PART II</w:t>
              </w:r>
            </w:hyperlink>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620" w:type="dxa"/>
            <w:vAlign w:val="bottom"/>
            <w:gridSpan w:val="5"/>
          </w:tcPr>
          <w:p>
            <w:pPr>
              <w:spacing w:after="0" w:line="17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ITEM 5.</w:t>
              </w:r>
            </w:hyperlink>
          </w:p>
        </w:tc>
        <w:tc>
          <w:tcPr>
            <w:tcW w:w="340" w:type="dxa"/>
            <w:vAlign w:val="bottom"/>
            <w:gridSpan w:val="2"/>
          </w:tcPr>
          <w:p>
            <w:pPr>
              <w:spacing w:after="0"/>
              <w:rPr>
                <w:sz w:val="15"/>
                <w:szCs w:val="15"/>
                <w:color w:val="auto"/>
              </w:rPr>
            </w:pPr>
          </w:p>
        </w:tc>
        <w:tc>
          <w:tcPr>
            <w:tcW w:w="8800" w:type="dxa"/>
            <w:vAlign w:val="bottom"/>
            <w:gridSpan w:val="29"/>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MARKET FOR REGISTRANT’S COMMON EQUITY, RELATED STOCKHOLDER MATTERS AND ISSUER</w:t>
              </w:r>
            </w:hyperlink>
          </w:p>
        </w:tc>
        <w:tc>
          <w:tcPr>
            <w:tcW w:w="1140" w:type="dxa"/>
            <w:vAlign w:val="bottom"/>
          </w:tcPr>
          <w:p>
            <w:pPr>
              <w:spacing w:after="0"/>
              <w:rPr>
                <w:sz w:val="15"/>
                <w:szCs w:val="15"/>
                <w:color w:val="auto"/>
              </w:rPr>
            </w:pPr>
          </w:p>
        </w:tc>
      </w:tr>
      <w:tr>
        <w:trPr>
          <w:trHeight w:val="196"/>
        </w:trPr>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1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PURCHASES OF EQUITY SECURITIES</w:t>
              </w:r>
            </w:hyperlink>
          </w:p>
        </w:tc>
        <w:tc>
          <w:tcPr>
            <w:tcW w:w="540" w:type="dxa"/>
            <w:vAlign w:val="bottom"/>
          </w:tcPr>
          <w:p>
            <w:pPr>
              <w:spacing w:after="0"/>
              <w:rPr>
                <w:sz w:val="17"/>
                <w:szCs w:val="17"/>
                <w:color w:val="auto"/>
              </w:rPr>
            </w:pPr>
          </w:p>
        </w:tc>
        <w:tc>
          <w:tcPr>
            <w:tcW w:w="1140" w:type="dxa"/>
            <w:vAlign w:val="bottom"/>
          </w:tcPr>
          <w:p>
            <w:pPr>
              <w:jc w:val="center"/>
              <w:ind w:left="70"/>
              <w:spacing w:after="0" w:line="196" w:lineRule="exact"/>
              <w:rPr>
                <w:sz w:val="20"/>
                <w:szCs w:val="20"/>
                <w:color w:val="auto"/>
              </w:rPr>
            </w:pPr>
            <w:r>
              <w:rPr>
                <w:rFonts w:ascii="Arial" w:cs="Arial" w:eastAsia="Arial" w:hAnsi="Arial"/>
                <w:sz w:val="18"/>
                <w:szCs w:val="18"/>
                <w:color w:val="auto"/>
                <w:w w:val="89"/>
              </w:rPr>
              <w:t>12</w:t>
            </w:r>
          </w:p>
        </w:tc>
      </w:tr>
      <w:tr>
        <w:trPr>
          <w:trHeight w:val="21"/>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ITEM 6.</w:t>
              </w:r>
            </w:hyperlink>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1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[RESERVED]</w:t>
              </w:r>
            </w:hyperlink>
          </w:p>
        </w:tc>
        <w:tc>
          <w:tcPr>
            <w:tcW w:w="7760" w:type="dxa"/>
            <w:vAlign w:val="bottom"/>
            <w:tcBorders>
              <w:bottom w:val="single" w:sz="8" w:color="CCEEFF"/>
            </w:tcBorders>
            <w:gridSpan w:val="23"/>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13</w:t>
            </w:r>
          </w:p>
        </w:tc>
      </w:tr>
      <w:tr>
        <w:trPr>
          <w:trHeight w:val="175"/>
        </w:trPr>
        <w:tc>
          <w:tcPr>
            <w:tcW w:w="340" w:type="dxa"/>
            <w:vAlign w:val="bottom"/>
          </w:tcPr>
          <w:p>
            <w:pPr>
              <w:spacing w:after="0"/>
              <w:rPr>
                <w:sz w:val="15"/>
                <w:szCs w:val="15"/>
                <w:color w:val="auto"/>
              </w:rPr>
            </w:pPr>
          </w:p>
        </w:tc>
        <w:tc>
          <w:tcPr>
            <w:tcW w:w="620" w:type="dxa"/>
            <w:vAlign w:val="bottom"/>
            <w:tcBorders>
              <w:bottom w:val="single" w:sz="8" w:color="0000EE"/>
            </w:tcBorders>
            <w:gridSpan w:val="5"/>
          </w:tcPr>
          <w:p>
            <w:pPr>
              <w:spacing w:after="0" w:line="176"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ITEM 7.</w:t>
              </w:r>
            </w:hyperlink>
          </w:p>
        </w:tc>
        <w:tc>
          <w:tcPr>
            <w:tcW w:w="340" w:type="dxa"/>
            <w:vAlign w:val="bottom"/>
            <w:gridSpan w:val="2"/>
          </w:tcPr>
          <w:p>
            <w:pPr>
              <w:spacing w:after="0"/>
              <w:rPr>
                <w:sz w:val="15"/>
                <w:szCs w:val="15"/>
                <w:color w:val="auto"/>
              </w:rPr>
            </w:pPr>
          </w:p>
        </w:tc>
        <w:tc>
          <w:tcPr>
            <w:tcW w:w="7780" w:type="dxa"/>
            <w:vAlign w:val="bottom"/>
            <w:tcBorders>
              <w:bottom w:val="single" w:sz="8" w:color="0000EE"/>
            </w:tcBorders>
            <w:gridSpan w:val="25"/>
          </w:tcPr>
          <w:p>
            <w:pPr>
              <w:spacing w:after="0" w:line="176"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MANAGEMENT’S DISCUSSION AND ANALYSIS OF FINANCIAL CONDITION AND RESULTS OF</w:t>
              </w:r>
            </w:hyperlink>
          </w:p>
        </w:tc>
        <w:tc>
          <w:tcPr>
            <w:tcW w:w="1020" w:type="dxa"/>
            <w:vAlign w:val="bottom"/>
            <w:gridSpan w:val="4"/>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40" w:type="dxa"/>
            <w:vAlign w:val="bottom"/>
            <w:gridSpan w:val="2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OPERATIONS</w:t>
              </w:r>
            </w:hyperlink>
          </w:p>
        </w:tc>
        <w:tc>
          <w:tcPr>
            <w:tcW w:w="1140" w:type="dxa"/>
            <w:vAlign w:val="bottom"/>
          </w:tcPr>
          <w:p>
            <w:pPr>
              <w:jc w:val="center"/>
              <w:ind w:left="70"/>
              <w:spacing w:after="0" w:line="196" w:lineRule="exact"/>
              <w:rPr>
                <w:sz w:val="20"/>
                <w:szCs w:val="20"/>
                <w:color w:val="auto"/>
              </w:rPr>
            </w:pPr>
            <w:r>
              <w:rPr>
                <w:rFonts w:ascii="Arial" w:cs="Arial" w:eastAsia="Arial" w:hAnsi="Arial"/>
                <w:sz w:val="18"/>
                <w:szCs w:val="18"/>
                <w:color w:val="auto"/>
                <w:w w:val="89"/>
              </w:rPr>
              <w:t>14</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0" w:type="dxa"/>
            <w:vAlign w:val="bottom"/>
            <w:gridSpan w:val="29"/>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7A.   QUANTITATIVE AND QUALITATIVE DISCLOSURES ABOUT MARKET RISK</w:t>
              </w:r>
            </w:hyperlink>
          </w:p>
        </w:tc>
        <w:tc>
          <w:tcPr>
            <w:tcW w:w="114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18</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960" w:type="dxa"/>
            <w:vAlign w:val="bottom"/>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8.</w:t>
              </w:r>
            </w:hyperlink>
          </w:p>
        </w:tc>
        <w:tc>
          <w:tcPr>
            <w:tcW w:w="8800" w:type="dxa"/>
            <w:vAlign w:val="bottom"/>
            <w:gridSpan w:val="29"/>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FINANCIAL STATEMENTS AND SUPPLEMENTARY DATA</w:t>
              </w:r>
            </w:hyperlink>
          </w:p>
        </w:tc>
        <w:tc>
          <w:tcPr>
            <w:tcW w:w="1140" w:type="dxa"/>
            <w:vAlign w:val="bottom"/>
          </w:tcPr>
          <w:p>
            <w:pPr>
              <w:jc w:val="center"/>
              <w:ind w:left="70"/>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620" w:type="dxa"/>
            <w:vAlign w:val="bottom"/>
            <w:gridSpan w:val="5"/>
            <w:shd w:val="clear" w:color="auto" w:fill="CCEEFF"/>
          </w:tcPr>
          <w:p>
            <w:pPr>
              <w:spacing w:after="0" w:line="17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ITEM 9.</w:t>
              </w:r>
            </w:hyperlink>
          </w:p>
        </w:tc>
        <w:tc>
          <w:tcPr>
            <w:tcW w:w="340" w:type="dxa"/>
            <w:vAlign w:val="bottom"/>
            <w:gridSpan w:val="2"/>
            <w:shd w:val="clear" w:color="auto" w:fill="CCEEFF"/>
          </w:tcPr>
          <w:p>
            <w:pPr>
              <w:spacing w:after="0"/>
              <w:rPr>
                <w:sz w:val="15"/>
                <w:szCs w:val="15"/>
                <w:color w:val="auto"/>
              </w:rPr>
            </w:pPr>
          </w:p>
        </w:tc>
        <w:tc>
          <w:tcPr>
            <w:tcW w:w="8800" w:type="dxa"/>
            <w:vAlign w:val="bottom"/>
            <w:gridSpan w:val="29"/>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CHANGES IN AND DISAGREEMENTS WITH ACCOUNTANTS ON ACCOUNTING AND FINANCIAL</w:t>
              </w:r>
            </w:hyperlink>
          </w:p>
        </w:tc>
        <w:tc>
          <w:tcPr>
            <w:tcW w:w="1140" w:type="dxa"/>
            <w:vAlign w:val="bottom"/>
            <w:shd w:val="clear" w:color="auto" w:fill="CCEEFF"/>
          </w:tcPr>
          <w:p>
            <w:pPr>
              <w:spacing w:after="0"/>
              <w:rPr>
                <w:sz w:val="15"/>
                <w:szCs w:val="15"/>
                <w:color w:val="auto"/>
              </w:rPr>
            </w:pPr>
          </w:p>
        </w:tc>
      </w:tr>
      <w:tr>
        <w:trPr>
          <w:trHeight w:val="217"/>
        </w:trPr>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1120" w:type="dxa"/>
            <w:vAlign w:val="bottom"/>
            <w:tcBorders>
              <w:top w:val="single" w:sz="8" w:color="0000EE"/>
              <w:bottom w:val="single" w:sz="8" w:color="0000EE"/>
            </w:tcBorders>
            <w:gridSpan w:val="8"/>
            <w:shd w:val="clear" w:color="auto" w:fill="CCEEFF"/>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DISCLOSURE</w:t>
              </w:r>
            </w:hyperlink>
          </w:p>
        </w:tc>
        <w:tc>
          <w:tcPr>
            <w:tcW w:w="6660" w:type="dxa"/>
            <w:vAlign w:val="bottom"/>
            <w:tcBorders>
              <w:top w:val="single" w:sz="8" w:color="0000EE"/>
              <w:bottom w:val="single" w:sz="8" w:color="CCEEFF"/>
            </w:tcBorders>
            <w:gridSpan w:val="17"/>
            <w:shd w:val="clear" w:color="auto" w:fill="CCEEFF"/>
          </w:tcPr>
          <w:p>
            <w:pPr>
              <w:spacing w:after="0"/>
              <w:rPr>
                <w:sz w:val="18"/>
                <w:szCs w:val="18"/>
                <w:color w:val="auto"/>
              </w:rPr>
            </w:pPr>
          </w:p>
        </w:tc>
        <w:tc>
          <w:tcPr>
            <w:tcW w:w="8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89"/>
              </w:rPr>
              <w:t>18</w:t>
            </w:r>
          </w:p>
        </w:tc>
      </w:tr>
      <w:tr>
        <w:trPr>
          <w:trHeight w:val="176"/>
        </w:trPr>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0" w:type="dxa"/>
            <w:vAlign w:val="bottom"/>
            <w:gridSpan w:val="29"/>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9A.   CONTROLS AND PROCEDURES</w:t>
              </w:r>
            </w:hyperlink>
          </w:p>
        </w:tc>
        <w:tc>
          <w:tcPr>
            <w:tcW w:w="1140" w:type="dxa"/>
            <w:vAlign w:val="bottom"/>
          </w:tcPr>
          <w:p>
            <w:pPr>
              <w:jc w:val="center"/>
              <w:ind w:left="70"/>
              <w:spacing w:after="0" w:line="176" w:lineRule="exact"/>
              <w:rPr>
                <w:sz w:val="20"/>
                <w:szCs w:val="20"/>
                <w:color w:val="auto"/>
              </w:rPr>
            </w:pPr>
            <w:r>
              <w:rPr>
                <w:rFonts w:ascii="Arial" w:cs="Arial" w:eastAsia="Arial" w:hAnsi="Arial"/>
                <w:sz w:val="18"/>
                <w:szCs w:val="18"/>
                <w:color w:val="auto"/>
                <w:w w:val="89"/>
              </w:rPr>
              <w:t>18</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5"/>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9B.</w:t>
              </w:r>
            </w:hyperlink>
          </w:p>
        </w:tc>
        <w:tc>
          <w:tcPr>
            <w:tcW w:w="7820" w:type="dxa"/>
            <w:vAlign w:val="bottom"/>
            <w:gridSpan w:val="2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114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18</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5"/>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9C.</w:t>
              </w:r>
            </w:hyperlink>
          </w:p>
        </w:tc>
        <w:tc>
          <w:tcPr>
            <w:tcW w:w="7820" w:type="dxa"/>
            <w:vAlign w:val="bottom"/>
            <w:gridSpan w:val="2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DISCLOSURE REGARDING FOREIGN JURISDICTIONS THAT PREVENT INSPECTIONS</w:t>
              </w:r>
            </w:hyperlink>
          </w:p>
        </w:tc>
        <w:tc>
          <w:tcPr>
            <w:tcW w:w="1140" w:type="dxa"/>
            <w:vAlign w:val="bottom"/>
          </w:tcPr>
          <w:p>
            <w:pPr>
              <w:jc w:val="center"/>
              <w:ind w:left="70"/>
              <w:spacing w:after="0" w:line="176" w:lineRule="exact"/>
              <w:rPr>
                <w:sz w:val="20"/>
                <w:szCs w:val="20"/>
                <w:color w:val="auto"/>
              </w:rPr>
            </w:pPr>
            <w:r>
              <w:rPr>
                <w:rFonts w:ascii="Arial" w:cs="Arial" w:eastAsia="Arial" w:hAnsi="Arial"/>
                <w:sz w:val="18"/>
                <w:szCs w:val="18"/>
                <w:color w:val="auto"/>
                <w:w w:val="89"/>
              </w:rPr>
              <w:t>18</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75"/>
        </w:trPr>
        <w:tc>
          <w:tcPr>
            <w:tcW w:w="1300" w:type="dxa"/>
            <w:vAlign w:val="bottom"/>
            <w:gridSpan w:val="8"/>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III</w:t>
              </w:r>
            </w:hyperlink>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960" w:type="dxa"/>
            <w:vAlign w:val="bottom"/>
            <w:gridSpan w:val="7"/>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10.</w:t>
              </w:r>
            </w:hyperlink>
          </w:p>
        </w:tc>
        <w:tc>
          <w:tcPr>
            <w:tcW w:w="8800" w:type="dxa"/>
            <w:vAlign w:val="bottom"/>
            <w:gridSpan w:val="2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DIRECTORS, EXECUTIVE OFFICERS AND CORPORATE GOVERNANCE</w:t>
              </w:r>
            </w:hyperlink>
          </w:p>
        </w:tc>
        <w:tc>
          <w:tcPr>
            <w:tcW w:w="114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19</w:t>
            </w:r>
          </w:p>
        </w:tc>
      </w:tr>
      <w:tr>
        <w:trPr>
          <w:trHeight w:val="175"/>
        </w:trPr>
        <w:tc>
          <w:tcPr>
            <w:tcW w:w="3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6"/>
          </w:tcPr>
          <w:p>
            <w:pPr>
              <w:spacing w:after="0" w:line="17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ITEM 11.</w:t>
              </w:r>
            </w:hyperlink>
          </w:p>
        </w:tc>
        <w:tc>
          <w:tcPr>
            <w:tcW w:w="260" w:type="dxa"/>
            <w:vAlign w:val="bottom"/>
            <w:tcBorders>
              <w:top w:val="single" w:sz="8" w:color="CCEEFF"/>
            </w:tcBorders>
          </w:tcPr>
          <w:p>
            <w:pPr>
              <w:spacing w:after="0"/>
              <w:rPr>
                <w:sz w:val="15"/>
                <w:szCs w:val="15"/>
                <w:color w:val="auto"/>
              </w:rPr>
            </w:pPr>
          </w:p>
        </w:tc>
        <w:tc>
          <w:tcPr>
            <w:tcW w:w="580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EXECUTIVE COMPENSATION</w:t>
              </w:r>
            </w:hyperlink>
          </w:p>
        </w:tc>
        <w:tc>
          <w:tcPr>
            <w:tcW w:w="3000" w:type="dxa"/>
            <w:vAlign w:val="bottom"/>
            <w:tcBorders>
              <w:top w:val="single" w:sz="8" w:color="CCEEFF"/>
            </w:tcBorders>
            <w:gridSpan w:val="7"/>
          </w:tcPr>
          <w:p>
            <w:pPr>
              <w:spacing w:after="0"/>
              <w:rPr>
                <w:sz w:val="15"/>
                <w:szCs w:val="15"/>
                <w:color w:val="auto"/>
              </w:rPr>
            </w:pPr>
          </w:p>
        </w:tc>
        <w:tc>
          <w:tcPr>
            <w:tcW w:w="1140" w:type="dxa"/>
            <w:vAlign w:val="bottom"/>
            <w:tcBorders>
              <w:top w:val="single" w:sz="8" w:color="CCEEFF"/>
            </w:tcBorders>
          </w:tcPr>
          <w:p>
            <w:pPr>
              <w:jc w:val="center"/>
              <w:ind w:left="70"/>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960" w:type="dxa"/>
            <w:vAlign w:val="bottom"/>
            <w:gridSpan w:val="7"/>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12.</w:t>
              </w:r>
            </w:hyperlink>
          </w:p>
        </w:tc>
        <w:tc>
          <w:tcPr>
            <w:tcW w:w="8800" w:type="dxa"/>
            <w:vAlign w:val="bottom"/>
            <w:gridSpan w:val="29"/>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SECURITY OWNERSHIP OF CERTAIN BENEFICIAL OWNERS AND MANAGEMENT AND RELATED</w:t>
              </w:r>
            </w:hyperlink>
          </w:p>
        </w:tc>
        <w:tc>
          <w:tcPr>
            <w:tcW w:w="1140" w:type="dxa"/>
            <w:vAlign w:val="bottom"/>
            <w:shd w:val="clear" w:color="auto" w:fill="CCEEFF"/>
          </w:tcPr>
          <w:p>
            <w:pPr>
              <w:spacing w:after="0"/>
              <w:rPr>
                <w:sz w:val="15"/>
                <w:szCs w:val="15"/>
                <w:color w:val="auto"/>
              </w:rPr>
            </w:pPr>
          </w:p>
        </w:tc>
      </w:tr>
      <w:tr>
        <w:trPr>
          <w:trHeight w:val="196"/>
        </w:trPr>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7860" w:type="dxa"/>
            <w:vAlign w:val="bottom"/>
            <w:tcBorders>
              <w:top w:val="single" w:sz="8" w:color="0000EE"/>
            </w:tcBorders>
            <w:gridSpan w:val="26"/>
            <w:shd w:val="clear" w:color="auto" w:fill="CCEEFF"/>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STOCKHOLDER MATTERS</w:t>
              </w:r>
            </w:hyperlink>
          </w:p>
        </w:tc>
        <w:tc>
          <w:tcPr>
            <w:tcW w:w="780" w:type="dxa"/>
            <w:vAlign w:val="bottom"/>
            <w:tcBorders>
              <w:top w:val="single" w:sz="8" w:color="CCEEFF"/>
            </w:tcBorders>
            <w:gridSpan w:val="2"/>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89"/>
              </w:rPr>
              <w:t>26</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960" w:type="dxa"/>
            <w:vAlign w:val="bottom"/>
            <w:gridSpan w:val="7"/>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13.</w:t>
              </w:r>
            </w:hyperlink>
          </w:p>
        </w:tc>
        <w:tc>
          <w:tcPr>
            <w:tcW w:w="8800" w:type="dxa"/>
            <w:vAlign w:val="bottom"/>
            <w:gridSpan w:val="29"/>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CERTAIN RELATIONSHIPS AND RELATED TRANSACTIONS, AND DIRECTOR INDEPENDENCE</w:t>
              </w:r>
            </w:hyperlink>
          </w:p>
        </w:tc>
        <w:tc>
          <w:tcPr>
            <w:tcW w:w="1140" w:type="dxa"/>
            <w:vAlign w:val="bottom"/>
          </w:tcPr>
          <w:p>
            <w:pPr>
              <w:jc w:val="center"/>
              <w:ind w:left="70"/>
              <w:spacing w:after="0" w:line="176" w:lineRule="exact"/>
              <w:rPr>
                <w:sz w:val="20"/>
                <w:szCs w:val="20"/>
                <w:color w:val="auto"/>
              </w:rPr>
            </w:pPr>
            <w:r>
              <w:rPr>
                <w:rFonts w:ascii="Arial" w:cs="Arial" w:eastAsia="Arial" w:hAnsi="Arial"/>
                <w:sz w:val="18"/>
                <w:szCs w:val="18"/>
                <w:color w:val="auto"/>
                <w:w w:val="89"/>
              </w:rPr>
              <w:t>27</w:t>
            </w:r>
          </w:p>
        </w:tc>
      </w:tr>
      <w:tr>
        <w:trPr>
          <w:trHeight w:val="20"/>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960" w:type="dxa"/>
            <w:vAlign w:val="bottom"/>
            <w:gridSpan w:val="7"/>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14.</w:t>
              </w:r>
            </w:hyperlink>
          </w:p>
        </w:tc>
        <w:tc>
          <w:tcPr>
            <w:tcW w:w="8800" w:type="dxa"/>
            <w:vAlign w:val="bottom"/>
            <w:gridSpan w:val="29"/>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PRINCIPAL ACCOUNTANT FEES AND SERVICES</w:t>
              </w:r>
            </w:hyperlink>
          </w:p>
        </w:tc>
        <w:tc>
          <w:tcPr>
            <w:tcW w:w="114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6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PART IV</w:t>
              </w:r>
            </w:hyperlink>
          </w:p>
        </w:tc>
        <w:tc>
          <w:tcPr>
            <w:tcW w:w="620" w:type="dxa"/>
            <w:vAlign w:val="bottom"/>
            <w:tcBorders>
              <w:bottom w:val="single" w:sz="8" w:color="CCEEFF"/>
            </w:tcBorders>
            <w:gridSpan w:val="3"/>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75"/>
        </w:trPr>
        <w:tc>
          <w:tcPr>
            <w:tcW w:w="340" w:type="dxa"/>
            <w:vAlign w:val="bottom"/>
          </w:tcPr>
          <w:p>
            <w:pPr>
              <w:spacing w:after="0"/>
              <w:rPr>
                <w:sz w:val="15"/>
                <w:szCs w:val="15"/>
                <w:color w:val="auto"/>
              </w:rPr>
            </w:pPr>
          </w:p>
        </w:tc>
        <w:tc>
          <w:tcPr>
            <w:tcW w:w="960" w:type="dxa"/>
            <w:vAlign w:val="bottom"/>
            <w:gridSpan w:val="7"/>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15.</w:t>
              </w:r>
            </w:hyperlink>
          </w:p>
        </w:tc>
        <w:tc>
          <w:tcPr>
            <w:tcW w:w="8800" w:type="dxa"/>
            <w:vAlign w:val="bottom"/>
            <w:gridSpan w:val="29"/>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EXHIBITS AND FINANCIAL STATEMENT SCHEDULES</w:t>
              </w:r>
            </w:hyperlink>
          </w:p>
        </w:tc>
        <w:tc>
          <w:tcPr>
            <w:tcW w:w="1140" w:type="dxa"/>
            <w:vAlign w:val="bottom"/>
          </w:tcPr>
          <w:p>
            <w:pPr>
              <w:jc w:val="center"/>
              <w:ind w:left="70"/>
              <w:spacing w:after="0" w:line="176" w:lineRule="exact"/>
              <w:rPr>
                <w:sz w:val="20"/>
                <w:szCs w:val="20"/>
                <w:color w:val="auto"/>
              </w:rPr>
            </w:pPr>
            <w:r>
              <w:rPr>
                <w:rFonts w:ascii="Arial" w:cs="Arial" w:eastAsia="Arial" w:hAnsi="Arial"/>
                <w:sz w:val="18"/>
                <w:szCs w:val="18"/>
                <w:color w:val="auto"/>
                <w:w w:val="89"/>
              </w:rPr>
              <w:t>31</w:t>
            </w:r>
          </w:p>
        </w:tc>
      </w:tr>
      <w:tr>
        <w:trPr>
          <w:trHeight w:val="20"/>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960" w:type="dxa"/>
            <w:vAlign w:val="bottom"/>
            <w:gridSpan w:val="7"/>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16.</w:t>
              </w:r>
            </w:hyperlink>
          </w:p>
        </w:tc>
        <w:tc>
          <w:tcPr>
            <w:tcW w:w="8800" w:type="dxa"/>
            <w:vAlign w:val="bottom"/>
            <w:gridSpan w:val="29"/>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FORM 10-K SUMMARY</w:t>
              </w:r>
            </w:hyperlink>
          </w:p>
        </w:tc>
        <w:tc>
          <w:tcPr>
            <w:tcW w:w="114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33</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 our:</w:t>
      </w:r>
    </w:p>
    <w:p>
      <w:pPr>
        <w:spacing w:after="0" w:line="17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success in retaining or recruiting, or changes required in, our officers, key employees or directors following our initial business combination;</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performance following our initial public offering.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In this Annual Report on Form 10-K (the “Form 10-K”), references to the “Company” and to “we,” “us,” and “our” refer to Archimedes Tech SPAC Partners 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blank check company formed under the laws of the State of Delaware on September 15, 2020. We were formed for the purpose of entering into a merger, share exchange, asset acquisition, stock purchase, recapitalization, reorganization or other similar business combination with one or more businesses or entities, which we refer to as a “target business.” To date, our efforts have been limited to organizational activities as well as activities related to identifying target businesses and consummating our initial business combination with a target business. Our initial business combination and value creation strategy is to identify, acquire and, after our initial business combination, assist in the growth of a technology business in the United States. Our focus will be on the artificial intelligence, cloud services and automotive technology sectors. However, we are not limited to the technology industry, or the named sectors, and we may pursue a business combination opportunity in any business or industry we choose and we may pursue a company with operations or opportunities outside of the United States.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Chairman, Dr. Eric R. Ball, and special advisor, Mr. Brent Callinicos, both have long track records of senior management leadership in high growth technology companies. Within the technology industry, our initial focus will be on the artificial intelligence, cloud services and automotive technology sectors. Our management team possesses a strong understanding of the SPAC structure and market. Our Chief Executive Officer, Stephen N. Cannon, has served as a member of management for seven SPACs that have completed initial public offerings, four of which have consummated a business combination.</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Dr. Eric R. Ball, our Chairman, is the founder and General Partner of Impact Venture Capital, or Impact VC. Impact VC is a Silicon Valley based venture firm investing in early-stage applied artificial intelligence startup companies since 2016. Previously Mr. Ball held several senior level management positions in high growth technology companies. He was the Chief Financial Officer for C3.AI from 2015 to 2016. Prior to that Dr. Ball spent over a decade with Oracle Corp, including acting as Senior Vice President &amp; Treasurer, and previously was a senior financial professional for Flextronics International, Cisco Systems, Avery Dennison, and AT&amp;T. Dr. Ball has served as advisor and board member of several technology companies, including currently serving as chairman of the audit committee for the board of Glu Mobile Inc. Dr. Ball is also the co-author of the book “Unlocking the Ivory Tower”.</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Brent Callinicos is our special advisor. Mr. Callinicos is currently an angel investor, active in investing in early-stage technology companies. Mr. Callinicos was formerly the Chief Operating Officer and Chief Financial Officer of Virgin Hyperloop One. Prior to that, Mr. Callinicos was the Chief Financial Officer of Uber Technologies Inc. Prior to that, Mr. Callinicos was the Vice President, Treasurer and Chief Accountant of Google Inc., now known as Alphabet Inc. Prior to that, Mr. Callinicos held several senior management roles at Microsoft, including as Treasurer, Vice President of Worldwide Licensing and Pricing, and CFO of the Platforms and Services Division. Mr. Callinicos has served as an advisor to several technology companies and currently sits on several boards.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Stephen N. Cannon, our Chief Executive Officer, has served as a member of management for seven SPACs that have completed initial public offerings, four of which have consummated a business combination. The fifth SPAC, Ackrell SPAC Partners I Co., completed its IPO in December 2020 and announced on December 23, 2021 that it had entered into a definitive business combination agreement with Blackstone Products, a consumer brand of outdoor cooking products. The sixth SPAC, Archimedes SPAC Partners Co. Completed its IPO in March 2021 and announced on November 16, 2021 that it had entered into a business combination agreement with SoundHound Inc., a company that focuses on Voice AI technology. The seventh SPAC, Global SPAC Partners Co. Completed its IPO in April 2021 and announced on December 22, 2021 that it had entered into a business combination agreement with Gorilla Technology Group Inc., a company that focuses on Edge analytics AI solutions.</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Daniel L. Sheehan, our Chief Operating Officer, and Long Long, our Chief Financial Officer, are also currently serving as members of the board and management, respectively, for Ackrell SPAC Partners I Co. In addition, Long Long is also serving as Chief Financial Officer for Global SPAC Partners Co.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Bryant B. Edwards, a director of ours, served as Chief Operating Officer and director for Twelve Seas Investment Co., a SPAC which successful closed its business combination in December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may pursue a business combination target in any business, industry or geographical location, we intend to focus our search for businesses in the technology industry, and our focus will be on the artificial intelligence, cloud services and automotive technology sectors.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team consists of seasoned professionals who have experience spanning the technology industry, including the sectors within the technology industry that we intend to focus on initially, mergers and acquisitions, corporate finance, corporate governance and compliance, legal and regulatory matters and investment management. We believe that our officers’ and directors’ industry expertise, transaction experience and relationships may provide us with a substantial number of attractive potential business combination targets.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past performance of our management team or of their affiliates is not a guarantee either (i) that we will be able to identify a suitable candidate for our initial business combination or (ii) of success with respect to any business combination we may consummate. You should not rely on the historical record of our management team’s or their affiliates’ performance as indicative of our future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there are a range of target businesses that could benefit from our industry knowledge, relationships, capital and public vehicle. Our strategy is to identify and complete our initial business combination with a target operating in the technology industry. Our focus will be on the artificial intelligence, cloud services and automotive technology sectors. While we intend to initially focus on potential opportunities in the United States, the technology industry is global and we may pursue opportunities internationally.</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intend to leverage our team’s collective experience in the technology industry and capital markets to successfully complete a business combination, and then continue to support our target business with our industry relationships, insights and regulatory knowledge, financial expertise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we are well positioned to find and attract an exciting technology business, and to help them as a newly public company grow and thrive, offering a partnership that extends far beyond our capital. Our management team’s deep operational experience, product experience, extensive networks, and track records as investors, advisors, and board members make us an attractive partner.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dedicated to finding bold founders, operators, and inventors who are committed to building a leading business and would benefit from access to the public markets as well as working with our team. We have a proven track record of success in the technology industry as senior executives, investors and board members and are confident that we can partner with other founders, shareholder and management to help support building a category-defining business. We believe we possess the following tools to drive value creation at a company:</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Experience recognizing key technology trends: </w:t>
      </w:r>
      <w:r>
        <w:rPr>
          <w:rFonts w:ascii="Arial" w:cs="Arial" w:eastAsia="Arial" w:hAnsi="Arial"/>
          <w:sz w:val="18"/>
          <w:szCs w:val="18"/>
          <w:color w:val="auto"/>
        </w:rPr>
        <w:t>Our team has demonstrated a long history of managing and growing businesses at the epicenter of major</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trends. More recently, certain team members have been active in identifying and investing, at earlier stages, in companies focused on the next big trend, such as artificial intelligence, cloud services and automotive technology. For the technology industry especially, history has shown that small early stage companies, of even just five years ago, are often among the most exciting group of companies seeking a public listing in the near future. We believe our recent activity in identifying investment opportunities in early stage companies in key technology trends, is an advantage when combined with our track record of managing and growing successful public technology companies, and unique in our ability to identify and successful secure an initial business combination.</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Experience identifying strong management teams: </w:t>
      </w:r>
      <w:r>
        <w:rPr>
          <w:rFonts w:ascii="Arial" w:cs="Arial" w:eastAsia="Arial" w:hAnsi="Arial"/>
          <w:sz w:val="18"/>
          <w:szCs w:val="18"/>
          <w:color w:val="auto"/>
        </w:rPr>
        <w:t>With key members of our team having had significant senior executive roles at key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 believe we have an ability to identify the characteristics of successful business leaders, and effective in engaging with these management teams. In addition, key members of our team have more recently been investing in many founder-led businesses.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 w:name="page7"/>
    <w:bookmarkEnd w:id="6"/>
    <w:p>
      <w:pPr>
        <w:jc w:val="both"/>
        <w:spacing w:after="0" w:line="312" w:lineRule="auto"/>
        <w:rPr>
          <w:sz w:val="20"/>
          <w:szCs w:val="20"/>
          <w:color w:val="auto"/>
        </w:rPr>
      </w:pPr>
      <w:r>
        <w:rPr>
          <w:rFonts w:ascii="Arial" w:cs="Arial" w:eastAsia="Arial" w:hAnsi="Arial"/>
          <w:sz w:val="17"/>
          <w:szCs w:val="17"/>
          <w:b w:val="1"/>
          <w:bCs w:val="1"/>
          <w:color w:val="auto"/>
        </w:rPr>
        <w:t xml:space="preserve">History of operating experience: </w:t>
      </w:r>
      <w:r>
        <w:rPr>
          <w:rFonts w:ascii="Arial" w:cs="Arial" w:eastAsia="Arial" w:hAnsi="Arial"/>
          <w:sz w:val="17"/>
          <w:szCs w:val="17"/>
          <w:color w:val="auto"/>
        </w:rPr>
        <w:t>The members of our team are seasoned operators having held executive level roles in various companies. We have</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developing and executing strategy, building and retaining teams, and executing business combinations among other activities.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Deep network and connections to company founders: </w:t>
      </w:r>
      <w:r>
        <w:rPr>
          <w:rFonts w:ascii="Arial" w:cs="Arial" w:eastAsia="Arial" w:hAnsi="Arial"/>
          <w:sz w:val="17"/>
          <w:szCs w:val="17"/>
          <w:color w:val="auto"/>
        </w:rPr>
        <w:t>Our team has numerous existing connections to company founders and business leaders across</w:t>
      </w:r>
      <w:r>
        <w:rPr>
          <w:rFonts w:ascii="Arial" w:cs="Arial" w:eastAsia="Arial" w:hAnsi="Arial"/>
          <w:sz w:val="17"/>
          <w:szCs w:val="17"/>
          <w:b w:val="1"/>
          <w:bCs w:val="1"/>
          <w:color w:val="auto"/>
        </w:rPr>
        <w:t xml:space="preserve"> </w:t>
      </w:r>
      <w:r>
        <w:rPr>
          <w:rFonts w:ascii="Arial" w:cs="Arial" w:eastAsia="Arial" w:hAnsi="Arial"/>
          <w:sz w:val="17"/>
          <w:szCs w:val="17"/>
          <w:color w:val="auto"/>
        </w:rPr>
        <w:t>sectors within the technology industry. We have invested in many companies, served on many boards and have worked with many influential founders and senior management teams within the technology industry, and specifically the sectors we intend to initially focus on. We believe our network and our connections will assist in the successful selection of our initial business combination and subsequent guidance of the company.</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Significant Prior SPAC Experience: </w:t>
      </w:r>
      <w:r>
        <w:rPr>
          <w:rFonts w:ascii="Arial" w:cs="Arial" w:eastAsia="Arial" w:hAnsi="Arial"/>
          <w:sz w:val="18"/>
          <w:szCs w:val="18"/>
          <w:color w:val="auto"/>
        </w:rPr>
        <w:t>Our management team possesses a strong understanding of the SPAC structure and market. Our CEO, Stephen N.</w:t>
      </w:r>
      <w:r>
        <w:rPr>
          <w:rFonts w:ascii="Arial" w:cs="Arial" w:eastAsia="Arial" w:hAnsi="Arial"/>
          <w:sz w:val="18"/>
          <w:szCs w:val="18"/>
          <w:b w:val="1"/>
          <w:bCs w:val="1"/>
          <w:color w:val="auto"/>
        </w:rPr>
        <w:t xml:space="preserve"> </w:t>
      </w:r>
      <w:r>
        <w:rPr>
          <w:rFonts w:ascii="Arial" w:cs="Arial" w:eastAsia="Arial" w:hAnsi="Arial"/>
          <w:sz w:val="18"/>
          <w:szCs w:val="18"/>
          <w:color w:val="auto"/>
        </w:rPr>
        <w:t>Cannon, has served as a member of management for seven SPACs that have completed initial public offerings, four of which have consummated business combinations. The stock price performance of Mr. Cannon’s prior SPACs has not always been positive for investors. For example, the common shares of the four SPACs that previously consummated business combinations are currently trading below $10.00 per share. Further, Mr. Cannon’s other SPAC never consummated its IPO due to market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leveraging the extensive network and experience of our management team in identifying a suitable target within the technology industry and structuring a business combination that is attractive to both the target and our public stockholders. We have identified the following general criteria and guidelines that we believe are important in evaluating prospective target businesses. While we intend to use these criteria and guidelines in evaluating prospective businesses, we may deviate from these criteria and guidelines should we see fit to do so:</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Clear and Sustainable Competitive Advantages: </w:t>
      </w:r>
      <w:r>
        <w:rPr>
          <w:rFonts w:ascii="Arial" w:cs="Arial" w:eastAsia="Arial" w:hAnsi="Arial"/>
          <w:sz w:val="18"/>
          <w:szCs w:val="18"/>
          <w:color w:val="auto"/>
        </w:rPr>
        <w:t>We intend to target businesses that differentiate themselves from their peers in ways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difficult to replicate and have clear competitive advantages. Members of our team have accomplished track records of founding, operating, and investing in the technology industry and intend to focus on prospective businesses that engage with technology to serve customers in novel and transformational manner. We believe our team’s expertise and understanding of innovative businesses will be paramount in identifying and assessing initial business combination candidates.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High Growth Potential: </w:t>
      </w:r>
      <w:r>
        <w:rPr>
          <w:rFonts w:ascii="Arial" w:cs="Arial" w:eastAsia="Arial" w:hAnsi="Arial"/>
          <w:sz w:val="18"/>
          <w:szCs w:val="18"/>
          <w:color w:val="auto"/>
        </w:rPr>
        <w:t>We intend to seek businesses that are well positioned to grow in their respective markets and which have clear plans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 to leverage additional capital to accelerate growth. We expect to target businesses that have had, or expect to have, strong cash flow generation. We believe that our team’s collective experiences engaging with innovative businesses positions us well to identify, nurture, and expand high potential businesses.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 xml:space="preserve">Experienced Management Teams: </w:t>
      </w:r>
      <w:r>
        <w:rPr>
          <w:rFonts w:ascii="Arial" w:cs="Arial" w:eastAsia="Arial" w:hAnsi="Arial"/>
          <w:sz w:val="16"/>
          <w:szCs w:val="16"/>
          <w:color w:val="auto"/>
        </w:rPr>
        <w:t>We intend to seek to target businesses that have strong, experienced and dynamic management teams, many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whom will be founders of the businesses, but whom we believe may benefit from our financial, managerial and investment expertise as well as our extensive industry networks and insights. We believe that identifying such management teams is particularly important given our target industry.</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Attractive Valuations: </w:t>
      </w:r>
      <w:r>
        <w:rPr>
          <w:rFonts w:ascii="Arial" w:cs="Arial" w:eastAsia="Arial" w:hAnsi="Arial"/>
          <w:sz w:val="18"/>
          <w:szCs w:val="18"/>
          <w:color w:val="auto"/>
        </w:rPr>
        <w:t>We intend to only evaluate a business that, based on our due diligence and industry experience, represents an attractive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valuation relative to publicly listed companies with similar characteristics or in similar industry segments. We intend to seek businesses in which we believe we can add operational value through mentorship of management, knowledge of operating challenges, experience with industry dynamics, expertise in navigating public markets, and strategic relationships with investors, among others.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Will Benefit from Being a Public Company: </w:t>
      </w:r>
      <w:r>
        <w:rPr>
          <w:rFonts w:ascii="Arial" w:cs="Arial" w:eastAsia="Arial" w:hAnsi="Arial"/>
          <w:sz w:val="18"/>
          <w:szCs w:val="18"/>
          <w:color w:val="auto"/>
        </w:rPr>
        <w:t>We intend to pursue a business that will benefit from being a public company, including potentially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having broader access to capital and a public currency for acquisitions.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not presently engaged in, and we will not engage in, any substantive commercial business for an indefinite period of time. We intend to utilize cash derived from the proceeds of our initial public offering and the private placement of private units, our capital stock, debt or a combination of these in effecting a business combination.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our management team’s pre-existing fiduciary obligations and the limitations that a target business have a fair market value of at least 80% of the balance in the trust account (excluding the taxes payable on the interest earned on the trust account)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time and costs required to select and evaluate a target business and to structure and complete the business combination cannot presently be ascertained with any degree of certainty.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Market Value of Target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Nasdaq listing rules require that the target business or businesses that we acquire must collectively have a fair market value equal to at least 80% of the balance of the funds in the trust account (excluding the taxes payable on the interest earned on the trust account) at the time of the execution of a definitive agreement for our initial business combination. Notwithstanding the foregoing, if we are not then listed on Nasdaq for whatever reason, we would no longer be required to meet the foregoing 80% fair market value test.</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currently anticipate structuring a business combination to acquire 100% of the equity interests or assets of the target business or businesses. We may, however, structure our initial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trust account balance test.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8"/>
          <w:szCs w:val="18"/>
          <w:color w:val="auto"/>
        </w:rPr>
        <w:t>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to independently determine that the target business has a sufficient fair market value, we will obtain an opinion from an unaffiliated, independent investment banking firm, or another independent entity that commonly renders valuation opinions, with respect to the satisfaction of such criteria. Additionally, pursuant to Nasdaq rules, any initial business combination must be approved by a majority of our independent directors.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not be required to obtain an opinion from an investment banking firm as to the fair market value if our board of directors independently determines that the target business complies with the 80% threshold.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this process may entail the simultaneous acquisitions of several operating businesses and we may seek to effect a business combination with more than one target business, we expect to complete our business combination with a single business.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a business combination with only a single entity, our lack of diversification may:</w:t>
      </w:r>
    </w:p>
    <w:p>
      <w:pPr>
        <w:spacing w:after="0" w:line="192"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us to numerous economic, competitive and regulatory developments, any or all of which may have a substantial adverse impact upon the particular industry in which we may operate subsequent to a business combination,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 in our dependency upon the performance of a single operating business or the development or market acceptance of a single or limited number of products, processes or services.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determine to simultaneously acquire several businesses and such businesses are owned by different sellers, we will need for each of such sellers to agree that our purchase of its business is contingent on the simultaneous closings of the other acquisitions, which may make it more difficult for us, and delay our ability, to complete the business combination. With multiple acquisitions,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Ability to Evaluate the Target Business’ Management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Although we intend to scrutinize the management of a prospective target business when evaluating the desirability of effecting a business combination, we cannot assure you that our assessment of the target business’ management will prove to be correct. In addition, we cannot assure you that the future management will have the necessary skills, qualifications or abilities to manage a public company. Furthermore, the future role of our officers and directors, if any, in the target business following a business combination cannot presently be stated with any certainty. While it is possible that some of our key personnel will remain associated in senior management or advisory positions with us following a business combination, it is unlikely that they will devote their full time efforts to our affairs subsequent to a business combination. Moreover, they would only be able to remain with the company after the consummation of a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a business combination will not be the determining factor in our decision as to whether or not we will proceed with any potential business combination. Additionally, we cannot assure you that our officers and directors will have significant experience or knowledge relating to the operations of the particular target business.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any such additional managers we do recruit will have the requisite skills, knowledge or experience necessary to enhance the incumbent management.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any proposed business combination, we will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all of his, her or its subunits rather than some pro rata portion of his, her or its subunits.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decide to allow our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chose our net tangible asset threshold of $5,000,001 to ensure that we would avoid being subject to Rule 419 promulgated under the Securities Act of 1933, as amended.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either immediately prior to or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18 months in order to be able to receive a pro rata share of the trust account.</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sponsor, initial stockholders, officers and directors have agreed (1) to vote any shares of common stock owned by them in favor of any proposed business combination, (2) not to convert any founder shares or subunits in connection with a stockholder vote to approve a proposed initial business combination and (3) not sell any founder shares of subunits in any tender in connection with a proposed initial business combination.</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None of our officers, directors, sponsor, initial stockholders or their affiliates has indicated any intention to purchase units, subunits or warrants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sponsor, initial stockholders or their affiliates could make such purchases in the open market or in private transactions in order to influence the vote. Notwithstanding the foregoing, our officers, directors, sponsor, initial stockholders and their affiliates will not make purchases of units, subunits or warrants if the purchases would violate Section 9(a)(2) or Rule 10b-5 of the Exchange Act, which are rules designed to stop potential manipulation of a company’s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any meeting called to approve an initial business combination, public stockholders may seek to convert their subunits, regardless of whether they vote for or against the proposed business combination or do not vote at all, into their pro rata share of the aggregate amount then on deposit in the trust account as of two business days prior to the consummation of the initial business combination, less any taxes then due but not yet paid. Alternatively, we may provide our public stockholders with the opportunity to sell their subunits to us through a tender offer (and thereby avoid the need for a stockholder vote) for an amount equal to their pro rata share of the aggregate amount then on deposit in the trust account, less any taxes then due but not yet paid.</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sponsor, initial stockholders and our officers and directors will not have conversion rights with respect to any founder shares or subunits owned by them, directly or indirectly. Additionally, the holders of the representative shares will not have conversion rights with respect to the representative shares.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Furthermore, public stockholders who redeem or tender their subunits for their pro rata share of the trust account will continue to have the right to exercise any warrants held by them which are not included in a subunit, but will automatically forfeit the warrants included in the redeemed subunits. This is different than other similarly structured blank check companies where a redeeming or tendering stockholder is able to keep any warrants he may still hold, whether included in a unit or held separately. Common stock alone will not be entitled to receive the redemption amount. Accordingly, investors may have a disincentive to exercise the redemption rights because they will automatically forfeit, without the receipt of any additional consideration, the portion of the warrant included in the subunit.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require public holders of subunits, whether they are a record holder or hold their subunits in “street name,” to either (i) tender their certificates to our transfer agent or (ii) deliver their subunits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is a nominal cost associated with the above-referenced delivery process and the act of certificating the subunits or delivering them through the DWAC System. The transfer agent will typically charge the tendering broker $45.00 and it would be up to the broker whether or not to pass this cost on to the holder. However, this fee would be incurred regardless of whether or not we require holders seeking to exercise conversion rights. The need to deliver subunits is a requirement of exercising conversion rights regardless of the timing of when such delivery must be effectuated. However, in the event we require stockholders seeking to exercise conversion rights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proxy solicitation materials we furnish to stockholders in connection with a vote for any proposed business combination will indicate whether we are requiring stockholders to satisfy such certification and delivery requirements. Accordingly, a stockholder would have from the time the stockholder received our proxy statement up until the vote on the proposal to approve the business combination to deliver his shares if he wishes to seek to exercise his conversion rights. This time period varies depending on the specific facts of each transaction. However, as the delivery process can be accomplished by the stockholder, whether or not he is a record holder or his shares are held in “street name,” in a matter of hours by simply contacting the transfer agent or his broker and requesting delivery of his shares through the DWAC System, we believe this time period is sufficient for an average investor. However, we cannot assure you of this fact. Please see the risk factor titled “</w:t>
      </w:r>
      <w:r>
        <w:rPr>
          <w:rFonts w:ascii="Arial" w:cs="Arial" w:eastAsia="Arial" w:hAnsi="Arial"/>
          <w:sz w:val="17"/>
          <w:szCs w:val="17"/>
          <w:i w:val="1"/>
          <w:iCs w:val="1"/>
          <w:color w:val="auto"/>
        </w:rPr>
        <w:t>In connection with any stockholder meeting called to approve a proposed initial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we may require stockholders who wish to convert their subunits in connection with a proposed business combination to comply with specific requirements for conversion that may make it more difficult for them to exercise their conversion rights prior to the deadline for exercising their rights</w:t>
      </w:r>
      <w:r>
        <w:rPr>
          <w:rFonts w:ascii="Arial" w:cs="Arial" w:eastAsia="Arial" w:hAnsi="Arial"/>
          <w:sz w:val="17"/>
          <w:szCs w:val="17"/>
          <w:color w:val="auto"/>
        </w:rPr>
        <w:t>” for</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information on the risks of failing to comply with these requirements.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request to convert such subunits once made, may be withdrawn at any time up to the vote on the proposed business combination or the expiration of the tender offer. Furthermore, if a holder of a public subunit delivered his certificate in connection with an election of their conversion and subsequently decides prior to the applicable date not to elect to exercise such rights, he may simply request that the transfer agent return the certificate (physically or electronically).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conversion rights would not be entitled to convert their subunits for the applicable pro rata share of the trust account as of two business days prior to the consummation of the initial business combination. In such case, we will promptly return any subunits delivered by public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if No Business Combination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amended and restated certificate of incorporation provides that we will have only 18 months to complete an initial business combination from the closing of this offering. If we have not completed an initial business combination by such date, we will (i) cease all operations except for the purpose of winding up and (ii) as promptly as reasonably possible but not more than ten business days thereafter, redeem 100% of the outstanding public subunits, at a per-share price, payable in cash, equal to the aggregate amount then on deposit in the trust account, including any interest not previously released to us but net of taxes payable, divided by the number of then outstanding public subunits, which redemption will completely extinguish public stockholders’ rights as stockholders (including the right to receive further liquidation distributions, if any), subject to applicable law. Public stockholders will also forfeit the one-quarter of a warrant included in the subunits being redeemed. As promptly as reasonably possible following such redemption, subject to the approval of our remaining stockholders and our board of directors, we will dissolve and liquidate, subject to our obligations under Delaware law to provide for claims of creditors and the requirements of other applicable law.</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8"/>
          <w:szCs w:val="18"/>
          <w:color w:val="auto"/>
        </w:rPr>
        <w:t>Our sponsor, initial stockholders, officers and directors have agreed that they will not propose any amendment to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the Company’s initial offering unless we provide our public stockholders with the opportunity to convert their subunits upon such approval at a per-subunit price, payable in cash, equal to the aggregate amount then on deposit in the trust account, including interest not previously released to us but net of franchise and income taxes payable, divided by the number of then outstanding public subunits. This redemption right shall apply in the event of the approval of any such amendment, whether proposed by our sponsor, initial stockholders, executive officers, directors or any other person.</w:t>
      </w:r>
    </w:p>
    <w:p>
      <w:pPr>
        <w:spacing w:after="0" w:line="19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subunits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subunit as soon as reasonably possible following our</w:t>
      </w:r>
    </w:p>
    <w:p>
      <w:pPr>
        <w:spacing w:after="0" w:line="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after the initial public offering,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100% of our public subunits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required to seek to have all third parties (including any vendors or other entities we engage after this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UHY LLP, our independent registered public accounting firm, and the underwriters of the offering, will not execute agreements with us waiving such claims to the monies held in the trust account. Furthermore, there is no guarantee that other vendors, service providers and 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subunit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our sponsor entered into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this offering against certain liabilities, including liabilities under the Securities Act. As a result, if we liquidate, the per-subunit distribution from the trust account could be less than $10.00 due to claims or potential claims of creditors.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jc w:val="both"/>
        <w:spacing w:after="0" w:line="250" w:lineRule="auto"/>
        <w:rPr>
          <w:sz w:val="20"/>
          <w:szCs w:val="20"/>
          <w:color w:val="auto"/>
        </w:rPr>
      </w:pPr>
      <w:r>
        <w:rPr>
          <w:rFonts w:ascii="Arial" w:cs="Arial" w:eastAsia="Arial" w:hAnsi="Arial"/>
          <w:sz w:val="17"/>
          <w:szCs w:val="17"/>
          <w:color w:val="auto"/>
        </w:rPr>
        <w:t>We anticipate notifying the trustee of the trust account to begin liquidating such assets promptly after the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month and anticipate it will take no more than 10 business days to effectuate such distribution. The holders of the founder shares and private subunits have waived their rights to participate in any liquidation distribution from the trust account with respect to such shares and subunits.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complete an initial business combination and expend all of the net proceeds of our initial public offering, other than the proceeds deposited in the trust account, and without taking into account interest, if any, earned on the trust account, the initial per-subunit redemption price would be $10.00. The proceeds deposited in the trust account could, however, become subject to claims of our creditors that are in preference to the claims of public stockholders.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public stockholders shall be entitled to receive funds from the trust account only in the event of our failure to complete a business combination within the required time period, if the stockholders seek to have us convert or purchase their respective subunits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subunit.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18 months from the closing of this offering,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amended and restated certificate of incorporation contains certain requirements and restrictions that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this offering, we will provide dissenting public stockholders with the opportunity to convert their public subunits in connection with any such vote. This conversion right shall apply in the event of the approval of any such amendment, whether proposed by our sponsor, any executive officer, director or director nominee, or any other person. Our sponsor, officers and directors have agreed to waive any conversion rights with respect to any founder shares, private subunits, private shares and any public subunits they may hold in connection with any vote to amend our amended and restated certificate of incorporation. Specifically, our amended and restated certificate of incorporation provides, among other things, that:</w:t>
      </w:r>
    </w:p>
    <w:p>
      <w:pPr>
        <w:spacing w:after="0" w:line="185" w:lineRule="exact"/>
        <w:rPr>
          <w:sz w:val="20"/>
          <w:szCs w:val="20"/>
          <w:color w:val="auto"/>
        </w:rPr>
      </w:pPr>
    </w:p>
    <w:p>
      <w:pPr>
        <w:jc w:val="both"/>
        <w:ind w:left="660" w:hanging="328"/>
        <w:spacing w:after="0" w:line="29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shall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13" w:name="page14"/>
    <w:bookmarkEnd w:id="13"/>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months from the closing of this offering, then we will redeem all of the outstanding public subunits and thereafter liquidate and dissolve our company;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stock that participates in any manner in the proceeds of the trust account, or that votes as a class with the common stock sold in this offering on an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that there may be numerous potential target businesses that we could acquire with the net proceeds of this offering, our ability to compete in acquiring certain sizable target businesses may be limited by our available financial resources.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obligation to seek stockholder approval of a business combination or engage in a tender offer may delay the completion of a transaction;</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obligation to convert or repurchase subunits held by our public stockholders may reduce the resources available to us for a business combination;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outstanding warrants, and the potential future dilution they represent.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privately-held entities having a similar business objective as ours in acquiring a target business with significant growth potential on favorable terms.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three executive officers. These individuals are not obligated to devote any specific number of hours to our matters and intend to devote only as much time as they deem necessary to our affairs. We presently expect our executive officers to devote such amount of time as they reasonably believe is necessary to our business. We do not intend to have any full time employees prior to the consummation of a business combination.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maintain our principal executive offices at 2093 Philadelphia Pike #1968, Claymont, DE 19703. The cost for this space is included in the $10,000 per-month fee paid to SPAC Partners LLC, an affiliate of our Chief Executive Officer, pursuant to a letter agreement between us and SPAC Partners LLC. We believe that the fee charged by such party is at least as favorable as we could have obtained from an unaffiliated person. We consider our current office space, combined with the other office space otherwise available to our executive officers, adequate for our current operations.</w:t>
      </w:r>
    </w:p>
    <w:p>
      <w:pPr>
        <w:spacing w:after="0" w:line="1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be subject to legal proceedings, investigations and claims incidental to the conduct of our business from time to time. We are not currently a party to any material litigation or other legal proceedings brought against us. We are also not aware of any legal proceeding, investigation or claim, or other legal exposure that has a more than remote possibility of having a material adverse effect on our business, financial condition or results of operations.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units began to trade on The Nasdaq Capital Market, or Nasdaq, under the symbol “ATSPU” on March 11, 2021. The subunits and warrants comprising the units began separate trading on Nasdaq on April 14, 2021, under the symbols “ATSPT” and “ATSPW”,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there were 17,461,000 of our shares of common stock issued and outstanding held by 24 stockholders of record. The number of record holders was determined from the records of our transfer agent and does not include beneficial owners of shares of common stock whose shares are held in the names of various security brokers, dealers, and registered clearing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share dividends in the foreseeable future. Further, if we incur any indebtedness, our ability to declare dividends may be limited by restrictive covenants we may agree to in connection therewith.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15, 2021, the Company consummated its IPO of 12,000,000 units (the “Public Units”). Each Public Unit consists of i) one subunit (the “Public Subunit”), which consists of one share of common stock (the “Public Share”) and one-quarter of one warrant (the “Public Warrant”) and ii) one-quarter of one Public Warrant, with each whole warrant entitling the holder thereof to purchase one share of common stock, par value $0.0001 per share, for $11.50 per share. The Public Units were sold at a price of $10.00 per unit, generating gross proceeds to the Company of $120,000,000. The Company paid the underwriters, in aggregate, a fixed underwriting discount of $2,400,000. The Company granted the underwriters a 45-day option from the date of the IPO to purchase up to an additional 1,800,000 Public Units to cover over-allotments.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15, 2021, simultaneously with the consummation of the IPO, the Company completed the private placement (the “Private Placement”) of an aggregate of 390,000 units (the “Private Units”) to the Sponsor and EarlyBirdCapital, Inc. (“EarlyBirdCapital”) at a purchase price of $10.00 per Private Unit, generating gross proceeds to the Company of $3,900,000.</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The Public Units were sold at a price of $10.00 per Unit, generating gross proceeds to the Company of $13,000,000. The Company paid the underwriters, in aggregate, a fixed underwriting discount of $260,000. Simultaneously with the exercise of the over-allotment option, the Company completed the Private Placement of an aggregate of 26,000 Private Units to the Sponsor and EarlyBirdCapital, at a purchase price of $10.00 per Private Unit, generating gross proceeds to the Company of $260,000.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a total of $133,010,583 was held in the trust account (the “Trust Account”), $133,000,000 of which is the proceeds from the IPO and Private Placement and $10,583 of which was interest income generated by the proceeds in Trust.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the use of the proceeds generated in our initial public offering, see below Part II, Item 7 – Management’s Discussion and Analysis of Financial Condition and Results of Operations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audited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Annual Report on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References to the “Company,” “Archimedes Tech SPAC Partners Co.” “our,” “us” or “we” refer to Archimedes Tech SPAC Partners Co. The following discussion and analysis of the Company’s financial condition and results of operations should be read in conjunction with the audited financial statements and the notes thereto contained elsewhere in this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on Form 10-K/A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formed on September 15, 2020 for the purpose of entering into a merger, share exchange, asset acquisition, stock purchase, recapitalization, reorganization or other similar business combination with one or more target businesses (the “Business Combination”).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activity through December 31, 2021 relates to our formation, IPO, which was consummated on March 15, 2021, the search for a prospective initial Business Combination target, and efforts toward consummating the initial Business Combination.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15, 2021, we entered into a definitive merger agreement with SoundHound Inc., a voice artificial intelligence company, pursuant to which the two companies agreed to consummate a Business Combination (the “Merger Agreement”). The total consideration to be paid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about the Merger Agreement and related transactions can be found in the Current Report on Form 8-K filed on November 16, 2021 and in the Amendment No. 1 to Form S-4 filed on February 14, 2022.</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we have not commenced any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from September 15, 2020 (inception) through December 31, 2020, we had a net loss of $716, which was comprised of operating costs of $716.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15, 2021, we consummated the IPO of 12,000,000 Public Units at a price of $10.00 per Public Unit, generating gross proceeds of $120,000,000. Simultaneously with the closing of the IPO, we consummated the sale of 390,000 Private Units at a price of $10.00 per Private Unit in a private placement to the Sponsor and EarlyBirdCapital, generating gross proceeds of $3,900,000.</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19, 2021, the underwriters partially exercised the over-allotment option to purchase 1,300,000 Public Units, at a purchase price of $10.00 per Public Unit, generating gross proceeds of $13,000,000. In connection with the underwriters’ exercise of their over-allotment option, we also consummated the sale of an additional 26,000 Private Units at $10.00 per Private Unit to the Sponsor and EarlyBirdCapital, generating gross proceeds of $260,000.</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and the remaining net proceeds was deposited in our operating bank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$235,295 of cash held outside of the Trust Account for our working capital needs.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completion of the IPO, our liquidity needs had been satisfied through a payment from the Sponsor of $25,000 for the founder shares, and the loan under an unsecured promissory note from the Sponsor of $125,000. We fully paid the note to the Sponsor on March 15, 2021. Subsequent to the consummation of the IPO and Private Placement, our liquidity needs have been satisfied through the proceeds from the consummation of the Private Placement not held in the Trust Account.</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in order to finance transaction costs in connection with a Business Combination, our Sponsor, initial stockholders, officers, directors and their affiliates may, but are not obligated to, provide us Working Capital Loans. To date, there were no amounts outstanding under any Working Capital Loans.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anticipate that the $235,295 outside of the Trust account as of December 31, 2021 will not be sufficient to allow us to operate for at least the next 12 months, assuming that a Business Combination is not consummated during that time. Moreover, we may need to obtain additional financing to consummate our Initial Business Combination but there is no assurance that new financing will be available to us on commercially acceptable terms. Furthermore, if we are not able to consummate a Business Combination by September 15, 2022, it will trigger our automatic winding up, liquidation and dissolution. These conditions raise substantial doubt about our ability to continue as a going concern.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did not have any off-balance sheet arrangements as defined in Item 303(a)(4)(ii) of Regulation S-K.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we were not subject to any market or interest rate risk. The net proceeds held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required by Rules 13a-15 and 15d-15 under the Exchange Act, our Chief Executive Officer and Chief Financial Officer carried out an evaluation of the effectiveness of the design and operation of our disclosure controls and procedures as of December 31, 2021. Based upon their evaluation, our Chief Executive Officer and Chief Financial Officer concluded that, during the year covered by this report, our disclosure controls and procedures were not effective because of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material weakness identified in our internal controls related to the Company’s accounting for complex financial instrument, including classification of warrant liabilities, redeemable equity and valuation of representative shares. This material weakness resulted in the restatement of the Company’s balance sheet as of March 15, 2021, and its interim financial statements for the quarter ended March 31, 2021; June 30, 2021; and September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most recently completed fiscal quarter ended December 31, 2021, we have improved our internal controls over financial reporting relating to classification of warrants, classification of redeemable equity instruments, and fair value of representative shares through enhanced education of our accountants and retention of third-party valuation professionals to conduct periodic fair value assessments of our complex financial instruments. We believe our efforts are effective in identifying and appropriately applying applicable accounting requirements but we believe we will need additional time to monitor and assess our efforts to evaluate their ultimate effectiveness. There have been no changes in our internal controls over financial reporting, except as previously noted, that has materially affected, or is reasonably likely to affect, our internal control over financial reporting.</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we were not subject to any market or interest rate risk. Following the consummation of our IPO, the net proceeds of our IPO, including amounts in the Trust Account, have been invested in U.S. government treasury obligations with a maturity of 185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appears following Item 15 of this Report and is included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December 31, 2021. Based upon their evaluation, our Chief Executive Officer and Chief Financial Officer concluded that, during the period covered by this report, our disclosure controls and procedures were not effective because of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material weakness identified in our internal controls related to the Company’s accounting for complex financial instruments. This material weakness resulted in the restatement of the Company’s balance sheet as of March 15, 2021, and its interim financial statements for the quarter ended March 31, 2021; June 30, 2021; and September 30,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most recently completed fiscal year ended December 31, 2021, we have enhanced our internal controls over financial reporting relating to redeemable equity instruments by continuing to recognize all Public Shares as temporary equity. We believe our efforts are effective in identifying and appropriately applying applicable accounting requirements but we believe we will need additional time to monitor and assess our efforts to evaluate their ultimate effectiveness. There have been no changes in our internal controls over financial reporting, except as previously noted, that has materially affected, or is reasonably likely to affect, our internal control over financial reporting.</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our directors and executive officers as of March 9,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6620" w:type="dxa"/>
            <w:vAlign w:val="bottom"/>
            <w:tcBorders>
              <w:bottom w:val="single" w:sz="8" w:color="auto"/>
            </w:tcBorders>
          </w:tcPr>
          <w:p>
            <w:pPr>
              <w:ind w:left="300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Dr. Eric R. Ball</w:t>
            </w:r>
          </w:p>
        </w:tc>
        <w:tc>
          <w:tcPr>
            <w:tcW w:w="11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58</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Stephen N. Cannon</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Executive Officer &amp; President</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Daniel Sheehan</w:t>
            </w:r>
          </w:p>
        </w:tc>
        <w:tc>
          <w:tcPr>
            <w:tcW w:w="11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67</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Long Long</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37</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Bryant B. Edwards</w:t>
            </w:r>
          </w:p>
        </w:tc>
        <w:tc>
          <w:tcPr>
            <w:tcW w:w="11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67</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Dr. Luc Julia</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Rajan P. Pai</w:t>
            </w:r>
          </w:p>
        </w:tc>
        <w:tc>
          <w:tcPr>
            <w:tcW w:w="11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business experience of each our executive officers and directors: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Dr. Eric R. Ball </w:t>
      </w:r>
      <w:r>
        <w:rPr>
          <w:rFonts w:ascii="Arial" w:cs="Arial" w:eastAsia="Arial" w:hAnsi="Arial"/>
          <w:sz w:val="18"/>
          <w:szCs w:val="18"/>
          <w:color w:val="auto"/>
        </w:rPr>
        <w:t>has been our Chairman since March 2021. Since 2016, Dr. Ball has been the General Partner of Impact Venture Capital, a Silicon Valley</w:t>
      </w:r>
      <w:r>
        <w:rPr>
          <w:rFonts w:ascii="Arial" w:cs="Arial" w:eastAsia="Arial" w:hAnsi="Arial"/>
          <w:sz w:val="18"/>
          <w:szCs w:val="18"/>
          <w:b w:val="1"/>
          <w:bCs w:val="1"/>
          <w:color w:val="auto"/>
        </w:rPr>
        <w:t xml:space="preserve"> </w:t>
      </w:r>
      <w:r>
        <w:rPr>
          <w:rFonts w:ascii="Arial" w:cs="Arial" w:eastAsia="Arial" w:hAnsi="Arial"/>
          <w:sz w:val="18"/>
          <w:szCs w:val="18"/>
          <w:color w:val="auto"/>
        </w:rPr>
        <w:t>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w:t>
      </w:r>
      <w:r>
        <w:rPr>
          <w:rFonts w:ascii="Arial" w:cs="Arial" w:eastAsia="Arial" w:hAnsi="Arial"/>
          <w:sz w:val="18"/>
          <w:szCs w:val="18"/>
          <w:i w:val="1"/>
          <w:iCs w:val="1"/>
          <w:color w:val="auto"/>
        </w:rPr>
        <w:t>.</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Stephen N. Cannon </w:t>
      </w:r>
      <w:r>
        <w:rPr>
          <w:rFonts w:ascii="Arial" w:cs="Arial" w:eastAsia="Arial" w:hAnsi="Arial"/>
          <w:sz w:val="17"/>
          <w:szCs w:val="17"/>
          <w:color w:val="auto"/>
        </w:rPr>
        <w:t>has been our Chief Executive Officer &amp; President since September 2020, and our Director from September 2020 to March 2021.</w:t>
      </w:r>
      <w:r>
        <w:rPr>
          <w:rFonts w:ascii="Arial" w:cs="Arial" w:eastAsia="Arial" w:hAnsi="Arial"/>
          <w:sz w:val="17"/>
          <w:szCs w:val="17"/>
          <w:b w:val="1"/>
          <w:bCs w:val="1"/>
          <w:color w:val="auto"/>
        </w:rPr>
        <w:t xml:space="preserve"> </w:t>
      </w:r>
      <w:r>
        <w:rPr>
          <w:rFonts w:ascii="Arial" w:cs="Arial" w:eastAsia="Arial" w:hAnsi="Arial"/>
          <w:sz w:val="17"/>
          <w:szCs w:val="17"/>
          <w:color w:val="auto"/>
        </w:rPr>
        <w:t>Since August 2020, Mr. Cannon has been the Chief Operating Officer and President of Global SPAC Partners Co, which, on December 22, 2021, announced that it had entered into a business combination agreement with Gorilla Technology Group Inc., a company that focuses on Edge analytics AI solutions. Since August 2019, Mr. Cannon has been the Chief Operating Officer and President of Ackrell SPAC Partners I Co. which, on December 23, 2021, announced that it had entered into a definitive business combination agreement with Blackstone Products, a consumer brand of outdoor cooking products. Since 2014, Mr. Cannon has been President of Everest Partners Limited, a privately-owned investment firm focused on Asian private investments. From 2017 to 2019, Mr. Cannon was the Chief Financial Officer of Twelve Seas Investment Company, a blank check company with $207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2010 to 2014, Mr. Cannon was a Partner and Head of China for RedBridge Group Ltd., a boutique merchant banking firm focused on Chinese and Arabian Gulf cross-border investments. From 2009 to 2014, Mr. Cannon was a registered representative of, and senior advisor to, Ackrell Capital.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 From 2005 to 2008, Mr. Cannon served as a Managing Director of Asian investment banking for WR Hambrecht+Co. Prior to WR Hambrecht + Co., Mr. Cannon worked at ABN AMRO, Donaldson, Lufkin &amp; Jenrette, Smith Barney Shearson and Salomon Brothers. Mr. Cannon graduated from the University of Notre Dame with a Bachelor of Arts degree in Economics and a Bachelor of Science degree, majoring in Mechanical Engineering.</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both"/>
        <w:spacing w:after="0" w:line="269" w:lineRule="auto"/>
        <w:rPr>
          <w:sz w:val="20"/>
          <w:szCs w:val="20"/>
          <w:color w:val="auto"/>
        </w:rPr>
      </w:pPr>
      <w:r>
        <w:rPr>
          <w:rFonts w:ascii="Arial" w:cs="Arial" w:eastAsia="Arial" w:hAnsi="Arial"/>
          <w:sz w:val="17"/>
          <w:szCs w:val="17"/>
          <w:b w:val="1"/>
          <w:bCs w:val="1"/>
          <w:color w:val="auto"/>
        </w:rPr>
        <w:t xml:space="preserve">Daniel L. Sheehan </w:t>
      </w:r>
      <w:r>
        <w:rPr>
          <w:rFonts w:ascii="Arial" w:cs="Arial" w:eastAsia="Arial" w:hAnsi="Arial"/>
          <w:sz w:val="17"/>
          <w:szCs w:val="17"/>
          <w:color w:val="auto"/>
        </w:rPr>
        <w:t>has been our Chief Operating Officer since March 2021. Since December 2020, Mr Sheehan has been a Director of Ackrell SPAC</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I Co. Since 1995, Mr. Sheehan has been an attorney licensed in the State of California. Since 2004, Mr. Sheehan has been the founder and managing partner of Silicon Valley Wealth Law, a law firm specializing in estate planning, tax planning, business planning, and special needs planning. Mr. Sheehan has designed and drafted over 1,000 estate plans for clients throughout Silicon Valley. Mr. Sheehan has expertise in handling federal and state income tax matters and disputes, in the formation and operation of business entities, and has provided strategic planning and technology enhancement guidance to new business ventures and established companies. Mr. Sheehan has senior management experience with companies in a range of industries, including computer-aided manufacturing, real estate development, health care, mining, and law. Mr. Sheehan has frequently consulted with venture capitalists to review and advise them about investment opportunities. From 2011 to 2013, Mr. Sheehan was Chief Executive Officer of North Star Resources, a provider of technology for the extraction and refining of precious and strategic metals. From 1996 to 2004, Mr. Sheehan was a partner in the law firm of Davidson, Sheehan &amp; Jewel. In 2010, Mr. Sheehan filed for personal bankruptcy under Chapter 13, which was completed in May 2014 with no debts being discharged. Mr. Sheehan graduated from St. Mary’s College of California with a Bachelor of Arts degree in Business Management with honors. Mr. Sheehan received his Juris Doctor from the University of San Francisco School of Law.</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Long Long </w:t>
      </w:r>
      <w:r>
        <w:rPr>
          <w:rFonts w:ascii="Arial" w:cs="Arial" w:eastAsia="Arial" w:hAnsi="Arial"/>
          <w:sz w:val="18"/>
          <w:szCs w:val="18"/>
          <w:color w:val="auto"/>
        </w:rPr>
        <w:t>has been our Chief Financial Officer since September 2020. Since August 2020, Mr. Long has been the Chief Financial Officer of Global</w:t>
      </w:r>
      <w:r>
        <w:rPr>
          <w:rFonts w:ascii="Arial" w:cs="Arial" w:eastAsia="Arial" w:hAnsi="Arial"/>
          <w:sz w:val="18"/>
          <w:szCs w:val="18"/>
          <w:b w:val="1"/>
          <w:bCs w:val="1"/>
          <w:color w:val="auto"/>
        </w:rPr>
        <w:t xml:space="preserve"> </w:t>
      </w:r>
      <w:r>
        <w:rPr>
          <w:rFonts w:ascii="Arial" w:cs="Arial" w:eastAsia="Arial" w:hAnsi="Arial"/>
          <w:sz w:val="18"/>
          <w:szCs w:val="18"/>
          <w:color w:val="auto"/>
        </w:rPr>
        <w:t>SPAC Partners Co. Since August 2019, Mr. Long has been the Chief Financial Officer of Ackrell SPAC Partners I Co. From 2017 to 2019, Mr. Long was Vice President of Twelve Seas Sponsors I LLC, sponsor of Twelve Seas Investment Company. From 2006 to 2016, Mr. Long worked for IBM in a variety of Corporate Finance, Audit, and Managerial roles, both within the US and internationally. From 2015 to 2016, Mr. Long served as Finance Controller for IBM China’s Consulting Business Unit and Sales Channels. From 2013 to 2014, Mr. Long served as the Strategy and Planning Manager for IBM China and, from January 2012 to December 2012, as a Senior Finance Analyst for IBM China. From 2010 to 2011, Mr. Long served as Internal Auditor for IBM’s Asia Pacific region and, from 2006 to 2009, as a financial analyst for IBM’s worldwide operations. Mr. Long graduated from Washington University in St. Louis with a Bachelor of Science and Business Administration degree, majoring in Finance and a Bachelor of Science degree, majoring in Electrical Engineering.</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Bryant B. Edwards </w:t>
      </w:r>
      <w:r>
        <w:rPr>
          <w:rFonts w:ascii="Arial" w:cs="Arial" w:eastAsia="Arial" w:hAnsi="Arial"/>
          <w:sz w:val="17"/>
          <w:szCs w:val="17"/>
          <w:color w:val="auto"/>
        </w:rPr>
        <w:t>has been one of our independent directors since March 2021. Since August 2020, Mr. Edwards has been the 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Director of Global SPAC Partners Co. From 2018 to 2019, Mr. Edwards was the Chief Operating Officer and Director of Twelve Seas, which consummated its initial business combination with BPGIC, Ltd. Mr. Edwards retired from Latham &amp; Watkins, a global law firm, in 2016, after a 35-year legal career. From 1981 to 2016, Mr. Edwards served as both a practicing corporate and securities attorney, as well as in various management roles building the Latham &amp; Watkins’ practices in Europe (from 2000 to 2008), the Middle East (from 2008 to 2012) and then East Asia (from 2012 to 2016). From 2004 to 2008, Mr. Edwards served as Chair of the European High Yield Association (EHYA) and helped establish the Gulf Bond &amp; Sukuk Association, the trade association representing the Arabian Gulf fixed income market (GBSA) and, from 2008 to 2012, served on its Steering Committee and as Chair of its Regulatory Committee. Additionally, from 2012 to 2016, Mr. Edwards served as Vice-Chair of the Credit Markets Committee of the Asia Securities &amp; Financial Markets Committee (ASIFMA). Mr. Edwards graduated from Brigham Young University with a Bachelor of Arts degree and received his Juris Doctor from the University of Chicago Law School.</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Dr. Luc Julia </w:t>
      </w:r>
      <w:r>
        <w:rPr>
          <w:rFonts w:ascii="Arial" w:cs="Arial" w:eastAsia="Arial" w:hAnsi="Arial"/>
          <w:sz w:val="16"/>
          <w:szCs w:val="16"/>
          <w:color w:val="auto"/>
        </w:rPr>
        <w:t>has been one of our independent directors since March 2021. Since May 2021, Dr. Julia has been the Chief Scientific Officer for Renault</w:t>
      </w:r>
      <w:r>
        <w:rPr>
          <w:rFonts w:ascii="Arial" w:cs="Arial" w:eastAsia="Arial" w:hAnsi="Arial"/>
          <w:sz w:val="16"/>
          <w:szCs w:val="16"/>
          <w:b w:val="1"/>
          <w:bCs w:val="1"/>
          <w:color w:val="auto"/>
        </w:rPr>
        <w:t xml:space="preserve"> </w:t>
      </w:r>
      <w:r>
        <w:rPr>
          <w:rFonts w:ascii="Arial" w:cs="Arial" w:eastAsia="Arial" w:hAnsi="Arial"/>
          <w:sz w:val="16"/>
          <w:szCs w:val="16"/>
          <w:color w:val="auto"/>
        </w:rPr>
        <w:t>Group. From 2012 to 2021, Dr. Julia served as the CTO and Senior Vice President of Innovation for Samsung Electronics. From 2011 to 2012, Dr. Julia served as a Director of Siri at Apple and was a co-author of Siri’s core patents. From 2010 to 2011, Dr. Julia served as the Chief Technologist at Hewlett-Packard. From 2000 to 2010, Dr. Julia served as the Co-founder and Vice President of R&amp;D of BravoBrava!, a tech incubator focusing on new interfaces for education, multimodal and multimedia products. From 2004 to 2010, Dr. Julia served as the CTO of ORB Networks, a start-up he co-founded that provided digital media streaming solutions for digital home and remote access applications. From 2001 to 2008, Dr. Julia served as the CTO of SpeaK ESL, a company he co-founded which leveraged speech recognition and web technologies to help non-native speakers to practice and improve their English. From 2000 to 2007, Dr. Julia served as the Vice President of R&amp;D of Soliloquy Learning, a company he co-founded which pioneered the Reading Assistant that combines advanced speech recognition technology with science-based interventions to help children strengthen their reading fluency, vocabulary, and comprehension. From 1994 to 2000, Dr. Julia served in several research roles at SRI International, an independent, non-profit research institute, during which time Dr. Julia co-founded Nuance Communications, now a multi-national software corporation focused on speech recognition and artificial intelligence. Dr. Julia received his Ph.D. in Computer Science at the Ecole Nationale Supérieure des Télécommunications de Paris. Dr. Julia graduated from the University Pierre et Marie Curie in Paris with a Bachelor of Science degree and a Master of Science degree in Mathematics and Computer Science. Dr. Julia is the recipient of Légion d’Honneur, the highest order of France, and is a member of France’s National Academy of Technologies. Dr. Julia is also the author of the bestselling book “There is no such thing as Artificial Intelligence” and holds dozens of patents.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Rajan P. Pai </w:t>
      </w:r>
      <w:r>
        <w:rPr>
          <w:rFonts w:ascii="Arial" w:cs="Arial" w:eastAsia="Arial" w:hAnsi="Arial"/>
          <w:sz w:val="17"/>
          <w:szCs w:val="17"/>
          <w:color w:val="auto"/>
        </w:rPr>
        <w:t>has been one of our independent directors since March 2021. Since 2015, Mr. Pai has been the Vice President of System Applications at</w:t>
      </w:r>
      <w:r>
        <w:rPr>
          <w:rFonts w:ascii="Arial" w:cs="Arial" w:eastAsia="Arial" w:hAnsi="Arial"/>
          <w:sz w:val="17"/>
          <w:szCs w:val="17"/>
          <w:b w:val="1"/>
          <w:bCs w:val="1"/>
          <w:color w:val="auto"/>
        </w:rPr>
        <w:t xml:space="preserve"> </w:t>
      </w:r>
      <w:r>
        <w:rPr>
          <w:rFonts w:ascii="Arial" w:cs="Arial" w:eastAsia="Arial" w:hAnsi="Arial"/>
          <w:sz w:val="17"/>
          <w:szCs w:val="17"/>
          <w:color w:val="auto"/>
        </w:rPr>
        <w:t>Credo, leading the development of high-performance transceiver solutions for service providers, datacenters and enterprise segments. From 1997 to 2015, Mr. Pai served in various engineering, sales and marketing roles at Marvell Semiconductor, Inc., including as the General Manager managing the storage business unit that offered system-on-chip (SOC) solutions for disk drive &amp; solid-state drive applications; Mr. Pai worked closely with finance, operational and M&amp;A teams during this time to successfully grow the division into a billion-dollar business. Prior to 1997, Mr. Pai served as an engineer at Texas Instruments, designing and developing PRML detectors for read channels. Mr. Pai graduated from the University of California, Irvine with a Bachelor of Science, majoring in Electrical &amp; Computer Engineering with a specialization in Systems &amp; Signal Processing.</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Special Advisor and Technical Advisor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Brent Callinicos </w:t>
      </w:r>
      <w:r>
        <w:rPr>
          <w:rFonts w:ascii="Arial" w:cs="Arial" w:eastAsia="Arial" w:hAnsi="Arial"/>
          <w:sz w:val="16"/>
          <w:szCs w:val="16"/>
          <w:color w:val="auto"/>
        </w:rPr>
        <w:t>has been our special advisor since January 2021. Mr. Callinicos is currently an angel investor, active in investing in early-stage technology companies. From 2017 to 2018, Mr. Callinicos served as the Chief Operating Officer and Chief Financial Officer of Virgin Hyperloop One. From 2013 to 2015, Mr. Callinicos served as the Chief Financial Officer of Uber Technologies Inc. From 2007 to 2013, Mr. Callinicos worked at Google Inc., including as Vice President, Treasurer and Chief Accountant. From 1992 to 2007, Mr. Callinicos worked at Microsoft Corporation, including as Treasurer, Vice President of Worldwide Licensing and Pricing, and CFO of the Platforms and Services Division. Mr. Callinicos is on the board of directors of several companies including PVH Corp, a fashion &amp; apparel company and Rubicon Technologies, a software company focused on waste and recycling solutions that announced it had entered into a merger agreement with Founder SPAC in December 2021. Mr. Callinicos has a Bachelor of Business Administration and an MBA from UNC Chapel Hill and is a Certified Public Accountant. We have no formal agreement with our special advisor, and he is not under any fiduciary obligations to us. Our special advisor does not perform any board or committee functions, nor does he have any voting or decision-making capacity on our behalf. Additionally, our special advisor has no other employment or compensation arrangements with us.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Maheedhar Gunturu </w:t>
      </w:r>
      <w:r>
        <w:rPr>
          <w:rFonts w:ascii="Arial" w:cs="Arial" w:eastAsia="Arial" w:hAnsi="Arial"/>
          <w:sz w:val="16"/>
          <w:szCs w:val="16"/>
          <w:color w:val="auto"/>
        </w:rPr>
        <w:t>has been our technical advisor since January 2021. Mr. Gunturu is a Silicon Valley executive with extensive experience in Big Data,</w:t>
      </w:r>
      <w:r>
        <w:rPr>
          <w:rFonts w:ascii="Arial" w:cs="Arial" w:eastAsia="Arial" w:hAnsi="Arial"/>
          <w:sz w:val="16"/>
          <w:szCs w:val="16"/>
          <w:b w:val="1"/>
          <w:bCs w:val="1"/>
          <w:color w:val="auto"/>
        </w:rPr>
        <w:t xml:space="preserve"> </w:t>
      </w:r>
      <w:r>
        <w:rPr>
          <w:rFonts w:ascii="Arial" w:cs="Arial" w:eastAsia="Arial" w:hAnsi="Arial"/>
          <w:sz w:val="16"/>
          <w:szCs w:val="16"/>
          <w:color w:val="auto"/>
        </w:rPr>
        <w:t>Artificial Intelligence, Internet-of-Things, Cyber Security, 5G and various software ecosystems. Mr. Gunturu has also played an active role in open-source projects including Hadoop, Hbase, Spark, Kafka, Cassandra, OpenCV and PyTorch. Since 2018, Mr. Gunturu has been the Global Head and Senior Director of Partnership Engineering of ScyllaDB, an open-source distributed NoSQL column-oriented data store. From 2016 to 2018, Mr. Gunturu served as the Director of Cloud Engineering of SmartThings, a developer of automation software for smart homes and consumer Internet-of-Things. From 2016 to 2017, Mr. Gunturu worked as a Cloud Architect of VoltDB, an in-memory transactional database. From 2014 to 2016, Mr. Gunturu worked as a Cloud Architect for MapR Technologies, a business software distribution company that provides access to different Big Data workloads. From 2012 to 2014, Mr. Gunturu worked as an Architect for Zscaler, a cloud-based information security company. From 2008 to 2012, Mr. Gunturu worked as a Senior Software Engineer for Qualcomm as part of the Location technology/GNSS and GPS teams. Mr. Gunturu also serves as the Chief Executive Officer of Ittican, a non-profit organization focused on improving the quality of life for children. Mr. Gunturu has a Masters in Electrical and Computer Engineering from the University of Texas at San Antonio. We have no formal agreement with our technical advisor, and he is not under any fiduciary obligations to us. Our technical advisor does not perform any board or committee functions, nor does he have any voting or decision-making capacity on our behalf. Additionally, our technical advisor has no other employment or compensation arrangements with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Experience with Blank Check Companies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August 2020, Mr. Cannon has been the Chief Operating Officer and President of Global SPAC Partners Co. which, on December 22, 2021, announced that it had entered into a business combination agreement with Gorilla Technology Group Inc., a company that focuses on Edge analytics AI solutions. Since August 2019, Mr. Cannon has been the Chief Operating Officer and President of Ackrell SPAC Partners I Co. which, on December 23, 2021, announced that it had entered into a definitive business combination agreement with Blackstone Products, a consumer brand of outdoor cooking products. From 2017 to 2019, Mr. Cannon was the Chief Financial Officer of Twelve Seas Investment Company, a blank check company with $207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August 2020, Mr. Long has been the Chief Financial Officer of Global SPAC Partners Co. Since 2019. Mr. Long has been the Chief Financial Officer of Ackrell SPAC Partners I Co. From 2017 to 2019, Mr. Long was the Vice President of Twelve Seas Sponsors I LLC, sponsor of Twelve Seas Investment Company.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August 2020, Mr. Edwards has been the Chief Executive Officer and Director of Global SPAC Partners Co. From 2018 to 2019, Mr. Edwards was the Chief Operating Officer and Director of Twelve Seas Investment Company.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has a standing audit, nominating and compensation committee. The independent directors oversee director nominations. Each audit committee (the “Audit Committee”), nominating committee (the “Nominating Committee”) and compensation committee (the “Compensation Committee”) has a charter, which was filed with the SEC as exhibits to the Registration Statement on Form S-1 on March 8,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Audit Committee, which is established in accordance with Section 3(a)(58)(A) of the Exchange Act, engages Company’s independent accountants, reviewing their independence and performance;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six formal meetings during 2021.</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members of the Audit Committee are Messrs. Ball, Edwards and Pai, each of whom is an independent director under Nasdaq’s listing standards. Mr. Ball is the Chairperson of the Audit Committee. The board has determined that Mr. Ball qualifies as an “audit committee financial expert,” as defined under the rules and regulations of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Committee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Nominating Committee is responsible for overseeing the selection of persons to be nominated to serve on our board. Specifically, the Nominating Committee makes recommendations to the board regarding the size and composition of the board, establishes procedures for the director nomination process and screens and recommends candidates for election to the board. On an annual basis, the Nominating Committee recommends for approval by the board certain desired qualifications and characteristics for board membership. Additionally, the Nominating Committee establishes and administers a periodic assessment procedure relating to the performance of the board as a whole and its individual members. The Nominating Committee will consider a number of qualifications relating to management and leadership experience, background and integrity and professionalism in evaluating a person’s candidacy for membership on the board.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 The Nominating Committee held no meetings in 2021.</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Nominating Committee are Messrs. Ball, Edwards and Pai, each of whom is an independent director under NASDAQ’s listing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did not meet during 2021.</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members of the Compensation Committee are Messrs. Ball and Pai, each of whom is an independent director under Nasdaq’s listing standards.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right="1220" w:firstLine="332"/>
        <w:spacing w:after="0" w:line="500"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 Our amended and restated certificate of incorporation provides that:</w:t>
      </w:r>
    </w:p>
    <w:p>
      <w:pPr>
        <w:spacing w:after="0" w:line="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renounce any interest or expectancy in, or being offered an opportunity to participate in, any business opportunities that are presented to us or our officers, directors or stockholders or affiliates thereof, including but not limited to, our sponsor and its affiliates, except as may be prescribed by any written agreement with us; and</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officers and directors will not be liable to our company or our stockholders for monetary damages for breach of any fiduciary duty by reason of any of our activities or any of our sponsor or its affiliates to the fullest extent permitted by Delaware law.</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officers and directors are, and may in the future become, affiliated with other companies. In order to minimize potential conflicts of interest which may arise from such other corporate affiliations, each of our officers and directors has contractually agreed, pursuant to a written agreement with us, until the earliest of our execution of a definitive agreement for a business combination, our liquidation or such time as he ceases to be an officer or director, to present to our company for our consideration, prior to presentation to any other entity, any suitable business opportunity which may reasonably be required to be presented to us, subject to any pre-existing fiduciary or contractual obligations he might have. The following table summarizes the relevant pre-existing fiduciary or contractual obligations of our officers and directors besides our sponsor:</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Individual</w:t>
            </w:r>
            <w:r>
              <w:rPr>
                <w:rFonts w:ascii="Arial" w:cs="Arial" w:eastAsia="Arial" w:hAnsi="Arial"/>
                <w:sz w:val="29"/>
                <w:szCs w:val="29"/>
                <w:b w:val="1"/>
                <w:bCs w:val="1"/>
                <w:color w:val="auto"/>
                <w:vertAlign w:val="superscript"/>
              </w:rPr>
              <w:t>(1)</w:t>
            </w:r>
          </w:p>
        </w:tc>
        <w:tc>
          <w:tcPr>
            <w:tcW w:w="240" w:type="dxa"/>
            <w:vAlign w:val="bottom"/>
          </w:tcPr>
          <w:p>
            <w:pPr>
              <w:spacing w:after="0"/>
              <w:rPr>
                <w:sz w:val="24"/>
                <w:szCs w:val="24"/>
                <w:color w:val="auto"/>
              </w:rPr>
            </w:pPr>
          </w:p>
        </w:tc>
        <w:tc>
          <w:tcPr>
            <w:tcW w:w="76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Role in and Name of Affiliated Entity</w:t>
            </w:r>
          </w:p>
        </w:tc>
      </w:tr>
      <w:tr>
        <w:trPr>
          <w:trHeight w:val="257"/>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Dr. Eric R. Ball</w:t>
            </w:r>
          </w:p>
        </w:tc>
        <w:tc>
          <w:tcPr>
            <w:tcW w:w="7860" w:type="dxa"/>
            <w:vAlign w:val="bottom"/>
            <w:gridSpan w:val="2"/>
            <w:shd w:val="clear" w:color="auto" w:fill="CCEEFF"/>
          </w:tcPr>
          <w:p>
            <w:pPr>
              <w:ind w:left="240"/>
              <w:spacing w:after="0" w:line="256" w:lineRule="exact"/>
              <w:rPr>
                <w:sz w:val="20"/>
                <w:szCs w:val="20"/>
                <w:color w:val="auto"/>
              </w:rPr>
            </w:pPr>
            <w:r>
              <w:rPr>
                <w:rFonts w:ascii="Arial" w:cs="Arial" w:eastAsia="Arial" w:hAnsi="Arial"/>
                <w:sz w:val="18"/>
                <w:szCs w:val="18"/>
                <w:color w:val="auto"/>
              </w:rPr>
              <w:t>General Partner of Impact Venture Capital</w:t>
            </w:r>
            <w:r>
              <w:rPr>
                <w:rFonts w:ascii="Arial" w:cs="Arial" w:eastAsia="Arial" w:hAnsi="Arial"/>
                <w:sz w:val="29"/>
                <w:szCs w:val="29"/>
                <w:b w:val="1"/>
                <w:bCs w:val="1"/>
                <w:color w:val="auto"/>
                <w:vertAlign w:val="superscript"/>
              </w:rPr>
              <w:t>(2)</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Stephen N. Cannon</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Chief Operating Officer and President of Ackrell SPAC Partners I Co.</w:t>
            </w:r>
          </w:p>
        </w:tc>
      </w:tr>
      <w:tr>
        <w:trPr>
          <w:trHeight w:val="216"/>
        </w:trPr>
        <w:tc>
          <w:tcPr>
            <w:tcW w:w="338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Chief Operating Officer and President of Global SPAC Partners Co.</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President of Everest Partners Limited</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Daniel L. Sheehan</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Managing Partner of Silicon Valley Wealth Law</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 of Ackrell SPAC Partners I Co.</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 Long</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Chief Financial Officer of Ackrell SPAC Partners I Co.</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Chief Financial Officer of Global SPAC Partners Co.</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Luc Julia</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Chief Scientific Officer for Renault Group</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Bryant Edwards</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Chief Executive Officer and Director of Global SPAC Partners 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30" w:lineRule="exact"/>
        <w:rPr>
          <w:sz w:val="20"/>
          <w:szCs w:val="20"/>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entities listed in this table may have competitive interests with our company with respect to the performance by each individual listed in this table of his or her obligations. Each individual listed, has a prior fiduciary duty with respect to each of the listed entities, including possibly the presentation by each such individual of business opportunities.</w:t>
      </w:r>
    </w:p>
    <w:p>
      <w:pPr>
        <w:spacing w:after="0" w:line="183"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Dr. Ball is a co-founder and General Partner of Impact Venture Capital, a venture capital investment fund, and is a member of the boards of directors of various private companies. We do not anticipate that such companies will be of an appropriate size for our initial business combination, nor do we believe that his role as a director of these companies will conflict with his ability to represent us in our search for an initial business combination target.</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our amended and restated certificate of incorporation provides that our company renounce its interest in a potential business combination offered to any director or officer, unless such opportunity is expressly offered to our director or officer solely in his or her capacity as a director or officer of our company and such opportunity is one we are legally and contractually permitted to undertake and would otherwise be reasonable for us to pursue.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both"/>
        <w:spacing w:after="0" w:line="293" w:lineRule="auto"/>
        <w:rPr>
          <w:sz w:val="20"/>
          <w:szCs w:val="20"/>
          <w:color w:val="auto"/>
        </w:rPr>
      </w:pPr>
      <w:r>
        <w:rPr>
          <w:rFonts w:ascii="Arial" w:cs="Arial" w:eastAsia="Arial" w:hAnsi="Arial"/>
          <w:sz w:val="16"/>
          <w:szCs w:val="16"/>
          <w:color w:val="auto"/>
        </w:rPr>
        <w:t>Following the completion of this offering and until we consummate our initial business combination, we intend to engage in the business of identifying and combining with one or more businesses. Our officers and directors may during that time become affiliated with entities that are engaged in a similar business, including another blank check company that may have acquisition objectives that are similar to ours. In particular, Messrs. Cannon, Long and Edwards currently serve as Chief Operating Officer and President, Chief Financial Officer, and Chief Executive Officer and Director, respectively, of Global SPAC Partners Co, a proposed blank check company which filed a registration statement with the SEC on October 13, 2020 for a $200 million IPO, and intends to focus on potential business combinations in geographic regions from the Middle East North Africa through SouthEast Asia.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Investors should also be aware of the following additional potential conflicts of interest:</w:t>
      </w:r>
    </w:p>
    <w:p>
      <w:pPr>
        <w:spacing w:after="0" w:line="22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we consummate our initial business combination, our officers, directors and sponsor will not receive reimbursement or repayment for any out-of-pocket expenses incurred by them, or loans made to us, to the extent that such expenses exceed the amount of available proceeds not deposited in the trust account or interest earned on the trust account funds that are available to us.</w:t>
      </w:r>
    </w:p>
    <w:p>
      <w:pPr>
        <w:spacing w:after="0" w:line="183"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founder shares beneficially owned by our initial stockholders will be released from escrow only if a business combination is successfully completed, and the private units purchased by it, and any warrants which our officers or directors may purchase in the aftermarket will expire worthless if a business combination is not consummated. Additionally, our officers and directors and affiliates will not receive liquidation distributions from the trust account with respect to any of the founder shares or private subunits or shares. Furthermore, our sponsor has agreed that the private units will not be sold or transferred by it until after we have completed a business combination. For the foregoing reasons, our board may have a conflict of interest in determining whether a particular target business is appropriate to effect a business combination with.</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officers, directors, sponsor or initial stockholders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a code of conduct and ethics applicable to our directors, officers and employees in accordance with applicable federal securities laws. The code of ethics codifies the business and ethical principles that govern all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a registered class of our equity securities to file with the SEC initial reports of ownership and reports of changes in ownership of our shares of common stock and other equity securities. These executive officers, directors, and greater than 10% beneficial owners are required by SEC regulation to furnish us with copies of all Section 16(a) forms filed by such reporting persons.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8" w:name="page29"/>
    <w:bookmarkEnd w:id="28"/>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entered into any employment agreements with our executive officers and have not made any agreements to provide benefits upon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executive officer has received any cash compensation for services rendered to us. We currently pay an affiliate of our Chief Executive Officer an aggregate fee of $10,000 per month for providing us with office space and certain office and secretarial services. However, this arrangement is solely for our benefit and is not intended to provide our Chief Executive Officer compensation in lieu of a salary.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16, 2021, we entered into a consulting agreement with Dr. Julia, one of our directors, pursuant to which Dr. Julia agreed to introduce to us one or more potential candidates for us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we entered into a Merger Agreement with SoundHound Inc., which Dr. Julia had introduced to us. Pursuant to the consulting agreement, upon the closing, Dr. Julia will be entitled to a finder’s fee of $2.66 million.</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However, the amount of such compensation may not be known at the time of the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or a periodic report, as required by the SEC.</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sets forth as of March 9, 2022 the number of shares of common stock beneficially owned by (i) each person who is known by us to be the beneficial owner of more than five percent of our issued and outstanding shares of common stock (ii) each of our officers and directors; and (iii) all of our officers and directors as a group. As of March 9, 2022, we had 17,461,000 shares of Common Stock issued and outstanding.</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 offered in the IPO or the private warrants issued as these are not exercisable within 60 days of the date hereof.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1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Class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5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Eric R. Ball</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540" w:type="dxa"/>
            <w:vAlign w:val="bottom"/>
          </w:tcPr>
          <w:p>
            <w:pPr>
              <w:spacing w:after="0" w:line="256" w:lineRule="exact"/>
              <w:rPr>
                <w:sz w:val="20"/>
                <w:szCs w:val="20"/>
                <w:color w:val="auto"/>
              </w:rPr>
            </w:pPr>
            <w:r>
              <w:rPr>
                <w:rFonts w:ascii="Arial" w:cs="Arial" w:eastAsia="Arial" w:hAnsi="Arial"/>
                <w:sz w:val="18"/>
                <w:szCs w:val="18"/>
                <w:color w:val="auto"/>
              </w:rPr>
              <w:t>Stephen N. Cannon</w:t>
            </w:r>
            <w:r>
              <w:rPr>
                <w:rFonts w:ascii="Arial" w:cs="Arial" w:eastAsia="Arial" w:hAnsi="Arial"/>
                <w:sz w:val="29"/>
                <w:szCs w:val="29"/>
                <w:color w:val="auto"/>
                <w:vertAlign w:val="superscript"/>
              </w:rPr>
              <w:t>(1)(2)</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3,599,500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56"/>
        </w:trPr>
        <w:tc>
          <w:tcPr>
            <w:tcW w:w="85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Daniel L. Sheehan</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540" w:type="dxa"/>
            <w:vAlign w:val="bottom"/>
          </w:tcPr>
          <w:p>
            <w:pPr>
              <w:spacing w:after="0" w:line="256" w:lineRule="exact"/>
              <w:rPr>
                <w:sz w:val="20"/>
                <w:szCs w:val="20"/>
                <w:color w:val="auto"/>
              </w:rPr>
            </w:pPr>
            <w:r>
              <w:rPr>
                <w:rFonts w:ascii="Arial" w:cs="Arial" w:eastAsia="Arial" w:hAnsi="Arial"/>
                <w:sz w:val="18"/>
                <w:szCs w:val="18"/>
                <w:color w:val="auto"/>
              </w:rPr>
              <w:t>Long Long</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5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Bryant B. Edwards</w:t>
            </w:r>
            <w:r>
              <w:rPr>
                <w:rFonts w:ascii="Arial" w:cs="Arial" w:eastAsia="Arial" w:hAnsi="Arial"/>
                <w:sz w:val="29"/>
                <w:szCs w:val="29"/>
                <w:color w:val="auto"/>
                <w:vertAlign w:val="superscript"/>
              </w:rPr>
              <w:t>(1)</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540" w:type="dxa"/>
            <w:vAlign w:val="bottom"/>
          </w:tcPr>
          <w:p>
            <w:pPr>
              <w:spacing w:after="0" w:line="256" w:lineRule="exact"/>
              <w:rPr>
                <w:sz w:val="20"/>
                <w:szCs w:val="20"/>
                <w:color w:val="auto"/>
              </w:rPr>
            </w:pPr>
            <w:r>
              <w:rPr>
                <w:rFonts w:ascii="Arial" w:cs="Arial" w:eastAsia="Arial" w:hAnsi="Arial"/>
                <w:sz w:val="18"/>
                <w:szCs w:val="18"/>
                <w:color w:val="auto"/>
              </w:rPr>
              <w:t>Luc Julia</w:t>
            </w:r>
            <w:r>
              <w:rPr>
                <w:rFonts w:ascii="Arial" w:cs="Arial" w:eastAsia="Arial" w:hAnsi="Arial"/>
                <w:sz w:val="29"/>
                <w:szCs w:val="29"/>
                <w:color w:val="auto"/>
                <w:vertAlign w:val="superscript"/>
              </w:rPr>
              <w:t>(1)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25,000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5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Rajan P. Pai</w:t>
            </w:r>
            <w:r>
              <w:rPr>
                <w:rFonts w:ascii="Arial" w:cs="Arial" w:eastAsia="Arial" w:hAnsi="Arial"/>
                <w:sz w:val="29"/>
                <w:szCs w:val="29"/>
                <w:color w:val="auto"/>
                <w:vertAlign w:val="superscript"/>
              </w:rPr>
              <w:t>(1)</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540" w:type="dxa"/>
            <w:vAlign w:val="bottom"/>
          </w:tcPr>
          <w:p>
            <w:pPr>
              <w:spacing w:after="0" w:line="256" w:lineRule="exact"/>
              <w:rPr>
                <w:sz w:val="20"/>
                <w:szCs w:val="20"/>
                <w:color w:val="auto"/>
              </w:rPr>
            </w:pPr>
            <w:r>
              <w:rPr>
                <w:rFonts w:ascii="Arial" w:cs="Arial" w:eastAsia="Arial" w:hAnsi="Arial"/>
                <w:sz w:val="18"/>
                <w:szCs w:val="18"/>
                <w:color w:val="auto"/>
              </w:rPr>
              <w:t>Archimedes Tech SPAC Sponsors LLC</w:t>
            </w:r>
            <w:r>
              <w:rPr>
                <w:rFonts w:ascii="Arial" w:cs="Arial" w:eastAsia="Arial" w:hAnsi="Arial"/>
                <w:sz w:val="29"/>
                <w:szCs w:val="29"/>
                <w:color w:val="auto"/>
                <w:vertAlign w:val="superscript"/>
              </w:rPr>
              <w:t>(2)</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3,599,500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prior to the Business Combination as a group (7 individuals)</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3,674,500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3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each of the individuals is 2093 Philadelphia Pike #1968, Claymont, DE 19703.</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securities held by Archimedes Tech SPAC Sponsors LLC, the Sponsor, of which Stephen N. Cannon is sole managing member. Mr. Cannon disclaims beneficial ownership of the reported shares other than to the extent of his ultimate pecuniary interest therein. The business address of each of Archimedes Tech SPAC Sponsors LLC is 2093 Philadelphia Pike #1968, Claymont, DE 19703.</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of the founder shares issued pursuant to our IPO are placed in escrow with Continental Stock Transfer &amp; Trust Company, as escrow agent, until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consummates a liquidation, merger, stock exchange or other similar transaction which results in all of the shareholders having the right to exchange their shares of common stock for cash, securities or other property.</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for transfers, assignments or sales (i) among our initial stockholders or to our initial stockholders’ members, officers, directors, consultants or their affiliates, (ii) to a holder’s stockholders or members upon its liquidation, (iii) by bona fide gift to a member of the holder’s immediate family or to a trust, the beneficiary of which is the holder or a member of the holder’s immediate family, for estate planning purposes, (iv) by virtue of the laws of descent and distribution upon death, (v) pursuant to a qualified domestic relations order, (vi) to us for no value for cancellation in connection with the consummation of our initial business combination, or (vii) in connection with the consummation of a business combination at prices no greater than the price at which the shares were originally purchased, in each case (except for clause (vi) or with our prior consent) where the transferee agrees to the terms of the escrow agreement and to be bound by these transfer restrictions,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there will be no liquidation distribution with respect to the founder shares.</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15, 2021, the Company consummated its initial public offering (the “IPO”) of 12,000,000 units (the “Units”). Each Unit consists of i) one subunit, which consists of one share of common stock of the Company (“Common Stock”) and one-quarter of one redeemable warrant of the Company (“Warrant”) and ii) one-quarter of one Warrant, with each whole Warrant entitling the holder thereof to purchase one share of Common Stock, par value $0.0001 per share, for $11.50 per share. The Units were sold at a price of $10.00 per Unit, generating gross proceeds to the Company of $120,000,000. The Company paid the underwriters, in aggregate, a fixed underwriting discount of $2,400,000.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15, 2021, simultaneously with the consummation of the IPO, the Company completed the private sale (the “Private Placement”) of an aggregate of 390,000 Units (the “Private Units”) to Archimedes Tech SPAC Sponsors LLC (“Sponsor”) and EarlyBirdCapital, Inc (“EarlyBirdCapital”) at a purchase price of $10.00 per Private Unit, generating gross proceeds to the Company of $3,900,000. EarlyBirdCapital overfunded the purchase of its Private Units by $500,000, resulting in total gross proceeds to the Company of $4,400,000.</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15, 2021, a total of $120,500,000 of the proceeds from the IPO and Private Placement (including the $500,000 of over-funding by EarlyBirdCapital) was held in a U.S.-based trust account at J.P. Morgan, maintained by Continental Stock Transfer &amp; Trust Company, acting as trustee (“JPMorgan Trust”). Of the $120,500,000, $120,000,000 was placed in a U.S.-based trust account at Morgan Stanley, maintained by Continental Stock Transfer&amp; Trust Company, acting as trustee (“Morgan Stanley Trust”) on March 16, 2021 and $500,000 remained at JPMorgan Trust and was repaid to EarlyBirdCapital on March 16, 2021.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granted the underwriters a 45-day option from the date of the IPO to purchase up to an additional 1,800,000 Public Units to cover over-allotments. On March 19, 2021, the underwriters partially exercised the over-allotment option to purchase 1,300,000 Units. The Units were sold at a price of $10.00 per Unit, generating gross proceeds to the Company of $13,000,000. The Company paid the underwriters, in aggregate, a fixed underwriting discount of $260,000.</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Simultaneously with the exercise of the over-allotment option, the Company completed the Private Placement of an aggregate of 26,000 Private Units to the Sponsor and EarlyBirdCapital, at a purchase price of $10.00 per Private Unit, generating gross proceeds to the Company of $260,000.</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Private Units (and underlying private subunits, private shares and private warrants) are identical to the Units (and underlying subunits, shares and warrants): (i) will not be redeemable by us and (ii) may be exercised for cash or on a cashless basis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 (B) not to convert any private subunits in connection with a stockholder vote to approve a proposed initial business combination or sell any private subunits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meet our working capital needs,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both"/>
        <w:spacing w:after="0" w:line="269" w:lineRule="auto"/>
        <w:rPr>
          <w:sz w:val="20"/>
          <w:szCs w:val="20"/>
          <w:color w:val="auto"/>
        </w:rPr>
      </w:pPr>
      <w:r>
        <w:rPr>
          <w:rFonts w:ascii="Arial" w:cs="Arial" w:eastAsia="Arial" w:hAnsi="Arial"/>
          <w:sz w:val="17"/>
          <w:szCs w:val="17"/>
          <w:color w:val="auto"/>
        </w:rPr>
        <w:t>The holders of our founder shares issued and outstanding on the date of this annual report, as well as the holders of the private units (and underlying securities) and any units (and underlying securities) our sponsor, initial stockholders,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units and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Notwithstanding the foregoing, in compliance with FINRA Rule 5110(f)(2)(G), the EarlyBirdCapital registration rights are limited to demand and “piggy back” rights for periods of five and seven years, respectively, from March 10, 2021 and EarlyBirdCapital may only exercise its demand rights on one occasion.</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4, 2021, we executed a promissory note with the sponsor in which the sponsor has agreed to loan us an aggregate of up to $300,000 to pay certain pre-offering expenses. The loan is non-interest bearing, unsecured and due on the earlier of March 31, 2021, the consummation of this offering or the abandonment of this offering. On February 1, 2021, the sponsor funded to us $100,000 pursuant to the promissory note. On February 10, 2021, the sponsor funded to us an additional $25,000 pursuant to the promissory note, for an aggregate amount of $125,000. The full amount of $125,000 was re-paid on March 15, 2021.</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SPAC Partners LLC, an affiliate of our Chief Executive Officer, Stephen N. Cannon, had agreed, through the earlier of our consummation of our initial business combination or our liquidation, to make available to us certain general and administrative services, including office space, utilities and administrative support, as we may require from time to time. We currently pay such entity $10,000 per month for these services</w:t>
      </w:r>
      <w:r>
        <w:rPr>
          <w:rFonts w:ascii="Arial" w:cs="Arial" w:eastAsia="Arial" w:hAnsi="Arial"/>
          <w:sz w:val="18"/>
          <w:szCs w:val="18"/>
          <w:b w:val="1"/>
          <w:bCs w:val="1"/>
          <w:color w:val="auto"/>
        </w:rPr>
        <w:t>.</w:t>
      </w:r>
      <w:r>
        <w:rPr>
          <w:rFonts w:ascii="Arial" w:cs="Arial" w:eastAsia="Arial" w:hAnsi="Arial"/>
          <w:sz w:val="18"/>
          <w:szCs w:val="18"/>
          <w:color w:val="auto"/>
        </w:rPr>
        <w:t xml:space="preserve"> We believe, based on rents and fees for similar services in other comparable areas, that the fee charged by such entity is at least as favorable as we could have obtained from an unaffiliated person.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pay consulting, success or finder fees to our sponsor, officers, directors, initial stockholders or their affiliates in connection with the consummation of our initial business combination. We may pay such fees in the event such parties bring specific target company, industry or market expertise, as well as insights or relationships that we believe are necessary in order to locate, assess, negotiate and consummate an initial business combination. The amount of any fee we pay to such parties will be based upon the prevailing market for similar services for such transactions at such time, and will be subject to the review of our audit committee pursuant to the audit committee’s policies and procedures relating to transactions that may present conflicts of interest.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officers and directors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w:t>
      </w:r>
    </w:p>
    <w:p>
      <w:pPr>
        <w:spacing w:after="0" w:line="2" w:lineRule="exact"/>
        <w:rPr>
          <w:sz w:val="20"/>
          <w:szCs w:val="20"/>
          <w:color w:val="auto"/>
        </w:rPr>
      </w:pPr>
    </w:p>
    <w:p>
      <w:pPr>
        <w:jc w:val="both"/>
        <w:ind w:firstLine="8"/>
        <w:spacing w:after="0" w:line="253" w:lineRule="auto"/>
        <w:tabs>
          <w:tab w:leader="none" w:pos="2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officers or directors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listing standards require that a majority of our board of directors be independent. For a description of the director independence, see above Part III, Item 10 – Directors, Executive Officers and Corporate Governance.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Marcum LLP (“Marcum”) was previously the independent registered public accounting firm for Archimedes Tech SPAC Partners Co. (the “Company”). On August 4, 2021, Marcum was dismissed as the Company’s independent registered public accounting firm. The decision to dismiss Marcum was approved by the Audit Committee of the Company.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from September 15, 2020 (inception) through December 31, 2020, and the subsequent interim period through March 31, 2021, there were no: (1) disagreements with Marcum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 or (2) reportable events under Item 304(a)(1)(v) of Regulation 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2021, the Company engaged UHY LLP (“UHY”) as its new independent registered public accounting firm for the year ending December 31, 2021. The decision to engage UHY was approved by the Audit Committee of the Company. During the period from September 15, 2020 (inception) through December 31, 2020, and the subsequent interim period prior to the engagement of UHY, the Company did not consult with UHY regarding any of the matters or events set forth in Item 304(a)(2)(i) and (ii) of Regulation S-K.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firm of UHY LLP, or UHY, currently acts as our independent registered public accounting firm. The following is a summary of fees due to Marcum and UHY for services rendered.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During the period from September 15, 2020 (inception) through August 10, 2021, fees for our independent registered public accounting firm</w:t>
      </w:r>
      <w:r>
        <w:rPr>
          <w:rFonts w:ascii="Arial" w:cs="Arial" w:eastAsia="Arial" w:hAnsi="Arial"/>
          <w:sz w:val="18"/>
          <w:szCs w:val="18"/>
          <w:i w:val="1"/>
          <w:iCs w:val="1"/>
          <w:color w:val="auto"/>
        </w:rPr>
        <w:t xml:space="preserve"> </w:t>
      </w:r>
      <w:r>
        <w:rPr>
          <w:rFonts w:ascii="Arial" w:cs="Arial" w:eastAsia="Arial" w:hAnsi="Arial"/>
          <w:sz w:val="18"/>
          <w:szCs w:val="18"/>
          <w:color w:val="auto"/>
        </w:rPr>
        <w:t>were approximately $78,580 for the services Marcum performed in connection with our IPO and our quarterly reviews. During the period from August 10, 2021 through December 31, 2021, fees for our independent registered public accounting firm were approximately $121,775 for the services UHY performed in connection with our annual audit and our quarterly reviews.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Non-Audit Related Fees. </w:t>
      </w:r>
      <w:r>
        <w:rPr>
          <w:rFonts w:ascii="Arial" w:cs="Arial" w:eastAsia="Arial" w:hAnsi="Arial"/>
          <w:sz w:val="18"/>
          <w:szCs w:val="18"/>
          <w:color w:val="auto"/>
        </w:rPr>
        <w:t>During the period from September 15, 2020 (inception) through December 31, 2021, our independent registered public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firms did not render non-audit related services.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During the period from September 15, 2020 (inception) through December 31, 2021, our independent registered public accounting firms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render services to us for tax compliance, tax advice and tax planning.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During the period from September 15, 2020 (inception) through December 31, 2021, there were no fees billed for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our independent registered public accounting firm other than those set forth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Audit Committee was formed upon the consummation of our IPO. As a result, the Audit Committee did not pre-approve any of the foregoing services that occurred prior to the IPO,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0240" w:type="dxa"/>
            <w:vAlign w:val="bottom"/>
            <w:gridSpan w:val="8"/>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Report of Independent Registered Public Accounting Firm</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176"/>
        </w:trPr>
        <w:tc>
          <w:tcPr>
            <w:tcW w:w="42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Balance Sheets</w:t>
              </w:r>
            </w:hyperlink>
          </w:p>
        </w:tc>
        <w:tc>
          <w:tcPr>
            <w:tcW w:w="60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0"/>
        </w:trPr>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8"/>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Statements of Operations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0"/>
        </w:trPr>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8"/>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Statements of Changes in Stockholder’s Equity</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20"/>
        </w:trPr>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8"/>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Statements of Cash Flows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21"/>
        </w:trPr>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8"/>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Notes to Financial Statements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2"/>
              </w:rPr>
              <w:t>F-7 to F-23</w:t>
            </w:r>
          </w:p>
        </w:tc>
      </w:tr>
      <w:tr>
        <w:trPr>
          <w:trHeight w:val="20"/>
        </w:trPr>
        <w:tc>
          <w:tcPr>
            <w:tcW w:w="92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80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3"/>
        </w:trPr>
        <w:tc>
          <w:tcPr>
            <w:tcW w:w="920" w:type="dxa"/>
            <w:vAlign w:val="bottom"/>
          </w:tcPr>
          <w:p>
            <w:pPr>
              <w:ind w:left="660"/>
              <w:spacing w:after="0"/>
              <w:rPr>
                <w:sz w:val="20"/>
                <w:szCs w:val="20"/>
                <w:color w:val="auto"/>
              </w:rPr>
            </w:pPr>
            <w:r>
              <w:rPr>
                <w:rFonts w:ascii="Arial" w:cs="Arial" w:eastAsia="Arial" w:hAnsi="Arial"/>
                <w:sz w:val="18"/>
                <w:szCs w:val="18"/>
                <w:color w:val="auto"/>
              </w:rPr>
              <w:t>(2)</w:t>
            </w:r>
          </w:p>
        </w:tc>
        <w:tc>
          <w:tcPr>
            <w:tcW w:w="9320" w:type="dxa"/>
            <w:vAlign w:val="bottom"/>
            <w:gridSpan w:val="7"/>
          </w:tcPr>
          <w:p>
            <w:pPr>
              <w:ind w:left="60"/>
              <w:spacing w:after="0"/>
              <w:rPr>
                <w:sz w:val="20"/>
                <w:szCs w:val="20"/>
                <w:color w:val="auto"/>
              </w:rPr>
            </w:pPr>
            <w:r>
              <w:rPr>
                <w:rFonts w:ascii="Arial" w:cs="Arial" w:eastAsia="Arial" w:hAnsi="Arial"/>
                <w:sz w:val="18"/>
                <w:szCs w:val="18"/>
                <w:color w:val="auto"/>
              </w:rPr>
              <w:t>Financial Statement Schedules:</w:t>
            </w:r>
          </w:p>
        </w:tc>
        <w:tc>
          <w:tcPr>
            <w:tcW w:w="1000" w:type="dxa"/>
            <w:vAlign w:val="bottom"/>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None.</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920" w:type="dxa"/>
            <w:vAlign w:val="bottom"/>
          </w:tcPr>
          <w:p>
            <w:pPr>
              <w:ind w:left="660"/>
              <w:spacing w:after="0"/>
              <w:rPr>
                <w:sz w:val="20"/>
                <w:szCs w:val="20"/>
                <w:color w:val="auto"/>
              </w:rPr>
            </w:pPr>
            <w:r>
              <w:rPr>
                <w:rFonts w:ascii="Arial" w:cs="Arial" w:eastAsia="Arial" w:hAnsi="Arial"/>
                <w:sz w:val="18"/>
                <w:szCs w:val="18"/>
                <w:color w:val="auto"/>
              </w:rPr>
              <w:t>(3)</w:t>
            </w:r>
          </w:p>
        </w:tc>
        <w:tc>
          <w:tcPr>
            <w:tcW w:w="9320" w:type="dxa"/>
            <w:vAlign w:val="bottom"/>
            <w:gridSpan w:val="7"/>
          </w:tcPr>
          <w:p>
            <w:pPr>
              <w:ind w:left="60"/>
              <w:spacing w:after="0"/>
              <w:rPr>
                <w:sz w:val="20"/>
                <w:szCs w:val="20"/>
                <w:color w:val="auto"/>
              </w:rPr>
            </w:pPr>
            <w:r>
              <w:rPr>
                <w:rFonts w:ascii="Arial" w:cs="Arial" w:eastAsia="Arial" w:hAnsi="Arial"/>
                <w:sz w:val="18"/>
                <w:szCs w:val="18"/>
                <w:color w:val="auto"/>
              </w:rPr>
              <w:t>Exhibits</w:t>
            </w:r>
          </w:p>
        </w:tc>
        <w:tc>
          <w:tcPr>
            <w:tcW w:w="10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hereby file as part of this Report the exhibits listed in the attached Exhibit Index. Copies of exhibits incorporated by reference can be obtained from the SEC website at www.sec.gov.</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80" w:type="dxa"/>
            <w:vAlign w:val="bottom"/>
            <w:gridSpan w:val="11"/>
          </w:tcPr>
          <w:p>
            <w:pPr>
              <w:ind w:left="1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7920" w:type="dxa"/>
            <w:vAlign w:val="bottom"/>
            <w:tcBorders>
              <w:top w:val="single" w:sz="8" w:color="auto"/>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Underwriting Agreement, dated March 10, 2021, by and between the Company and EarlyBirdCapital, Inc. (1)</w:t>
              </w:r>
            </w:hyperlink>
          </w:p>
        </w:tc>
        <w:tc>
          <w:tcPr>
            <w:tcW w:w="2180" w:type="dxa"/>
            <w:vAlign w:val="bottom"/>
            <w:tcBorders>
              <w:top w:val="single" w:sz="8" w:color="auto"/>
              <w:bottom w:val="single" w:sz="8" w:color="CCEEFF"/>
              <w:right w:val="single" w:sz="8" w:color="CCEEFF"/>
            </w:tcBorders>
            <w:gridSpan w:val="5"/>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4"/>
          </w:tcPr>
          <w:p>
            <w:pPr>
              <w:spacing w:after="0" w:line="176" w:lineRule="exact"/>
              <w:rPr>
                <w:rFonts w:ascii="Arial" w:cs="Arial" w:eastAsia="Arial" w:hAnsi="Arial"/>
                <w:sz w:val="18"/>
                <w:szCs w:val="18"/>
                <w:color w:val="0000EE"/>
                <w:w w:val="93"/>
              </w:rPr>
            </w:pPr>
            <w:hyperlink r:id="rId49">
              <w:r>
                <w:rPr>
                  <w:rFonts w:ascii="Arial" w:cs="Arial" w:eastAsia="Arial" w:hAnsi="Arial"/>
                  <w:sz w:val="18"/>
                  <w:szCs w:val="18"/>
                  <w:color w:val="0000EE"/>
                  <w:w w:val="93"/>
                </w:rPr>
                <w:t>Merger Agreement dated as of November 15, 2021, by and among Archimedes Tech SPAC Partners Co., ATSPC Merger Sub, Inc. and</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5"/>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SoundHound, Inc. (3)</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3"/>
              </w:rPr>
            </w:pPr>
            <w:hyperlink r:id="rId50">
              <w:r>
                <w:rPr>
                  <w:rFonts w:ascii="Arial" w:cs="Arial" w:eastAsia="Arial" w:hAnsi="Arial"/>
                  <w:sz w:val="18"/>
                  <w:szCs w:val="18"/>
                  <w:color w:val="0000EE"/>
                  <w:w w:val="93"/>
                </w:rPr>
                <w:t>Certificate of Incorporation (2)</w:t>
              </w:r>
            </w:hyperlink>
          </w:p>
        </w:tc>
        <w:tc>
          <w:tcPr>
            <w:tcW w:w="7860" w:type="dxa"/>
            <w:vAlign w:val="bottom"/>
            <w:tcBorders>
              <w:bottom w:val="single" w:sz="8" w:color="CCEEFF"/>
              <w:right w:val="single" w:sz="8" w:color="CCEEFF"/>
            </w:tcBorders>
            <w:gridSpan w:val="18"/>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10100" w:type="dxa"/>
            <w:vAlign w:val="bottom"/>
            <w:gridSpan w:val="24"/>
          </w:tcPr>
          <w:p>
            <w:pPr>
              <w:spacing w:after="0" w:line="176" w:lineRule="exact"/>
              <w:rPr>
                <w:rFonts w:ascii="Arial" w:cs="Arial" w:eastAsia="Arial" w:hAnsi="Arial"/>
                <w:sz w:val="18"/>
                <w:szCs w:val="18"/>
                <w:color w:val="0000EE"/>
              </w:rPr>
            </w:pPr>
            <w:hyperlink r:id="rId51">
              <w:r>
                <w:rPr>
                  <w:rFonts w:ascii="Arial" w:cs="Arial" w:eastAsia="Arial" w:hAnsi="Arial"/>
                  <w:sz w:val="18"/>
                  <w:szCs w:val="18"/>
                  <w:color w:val="0000EE"/>
                </w:rPr>
                <w:t>Amended and Restated Certificate of Incorporation (1)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Bylaws (2)</w:t>
              </w:r>
            </w:hyperlink>
          </w:p>
        </w:tc>
        <w:tc>
          <w:tcPr>
            <w:tcW w:w="9300" w:type="dxa"/>
            <w:vAlign w:val="bottom"/>
            <w:tcBorders>
              <w:bottom w:val="single" w:sz="8" w:color="CCEEFF"/>
              <w:right w:val="single" w:sz="8" w:color="CCEEFF"/>
            </w:tcBorders>
            <w:gridSpan w:val="23"/>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100" w:type="dxa"/>
            <w:vAlign w:val="bottom"/>
            <w:gridSpan w:val="24"/>
          </w:tcPr>
          <w:p>
            <w:pPr>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Specimen Unit Certificate (2)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24"/>
            <w:shd w:val="clear" w:color="auto" w:fill="CCEEFF"/>
          </w:tcPr>
          <w:p>
            <w:pPr>
              <w:spacing w:after="0" w:line="176" w:lineRule="exact"/>
              <w:rPr>
                <w:rFonts w:ascii="Arial" w:cs="Arial" w:eastAsia="Arial" w:hAnsi="Arial"/>
                <w:sz w:val="18"/>
                <w:szCs w:val="18"/>
                <w:color w:val="0000EE"/>
              </w:rPr>
            </w:pPr>
            <w:hyperlink r:id="rId54">
              <w:r>
                <w:rPr>
                  <w:rFonts w:ascii="Arial" w:cs="Arial" w:eastAsia="Arial" w:hAnsi="Arial"/>
                  <w:sz w:val="18"/>
                  <w:szCs w:val="18"/>
                  <w:color w:val="0000EE"/>
                </w:rPr>
                <w:t>Specimen Common Stock Certificate (2)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Borders>
              <w:top w:val="single" w:sz="8" w:color="CCEEFF"/>
            </w:tcBorders>
          </w:tcPr>
          <w:p>
            <w:pPr>
              <w:spacing w:after="0"/>
              <w:rPr>
                <w:sz w:val="15"/>
                <w:szCs w:val="15"/>
                <w:color w:val="auto"/>
              </w:rPr>
            </w:pPr>
          </w:p>
        </w:tc>
        <w:tc>
          <w:tcPr>
            <w:tcW w:w="29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r:id="rId55">
              <w:r>
                <w:rPr>
                  <w:rFonts w:ascii="Arial" w:cs="Arial" w:eastAsia="Arial" w:hAnsi="Arial"/>
                  <w:sz w:val="18"/>
                  <w:szCs w:val="18"/>
                  <w:color w:val="0000EE"/>
                </w:rPr>
                <w:t>Specimen Warrant Certificate (2)</w:t>
              </w:r>
            </w:hyperlink>
          </w:p>
        </w:tc>
        <w:tc>
          <w:tcPr>
            <w:tcW w:w="7160" w:type="dxa"/>
            <w:vAlign w:val="bottom"/>
            <w:tcBorders>
              <w:top w:val="single" w:sz="8" w:color="CCEE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Specimen Subunit Certificate (2)</w:t>
              </w:r>
            </w:hyperlink>
          </w:p>
        </w:tc>
        <w:tc>
          <w:tcPr>
            <w:tcW w:w="7720" w:type="dxa"/>
            <w:vAlign w:val="bottom"/>
            <w:tcBorders>
              <w:bottom w:val="single" w:sz="8" w:color="CCEEFF"/>
              <w:right w:val="single" w:sz="8" w:color="CCEEFF"/>
            </w:tcBorders>
            <w:gridSpan w:val="17"/>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5"/>
                <w:szCs w:val="15"/>
                <w:color w:val="auto"/>
              </w:rPr>
            </w:pPr>
          </w:p>
        </w:tc>
        <w:tc>
          <w:tcPr>
            <w:tcW w:w="10100" w:type="dxa"/>
            <w:vAlign w:val="bottom"/>
            <w:gridSpan w:val="24"/>
          </w:tcPr>
          <w:p>
            <w:pPr>
              <w:spacing w:after="0" w:line="176" w:lineRule="exact"/>
              <w:rPr>
                <w:rFonts w:ascii="Arial" w:cs="Arial" w:eastAsia="Arial" w:hAnsi="Arial"/>
                <w:sz w:val="18"/>
                <w:szCs w:val="18"/>
                <w:color w:val="0000EE"/>
                <w:w w:val="98"/>
              </w:rPr>
            </w:pPr>
            <w:hyperlink r:id="rId57">
              <w:r>
                <w:rPr>
                  <w:rFonts w:ascii="Arial" w:cs="Arial" w:eastAsia="Arial" w:hAnsi="Arial"/>
                  <w:sz w:val="18"/>
                  <w:szCs w:val="18"/>
                  <w:color w:val="0000EE"/>
                  <w:w w:val="98"/>
                </w:rPr>
                <w:t>Warrant Agreement, dated March 10, 2021, by and between the Company and Continental Stock Transfer &amp; Trust Company (1)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Description of Securities</w:t>
              </w:r>
            </w:hyperlink>
          </w:p>
        </w:tc>
        <w:tc>
          <w:tcPr>
            <w:tcW w:w="8300" w:type="dxa"/>
            <w:vAlign w:val="bottom"/>
            <w:tcBorders>
              <w:bottom w:val="single" w:sz="8" w:color="CCEEFF"/>
              <w:right w:val="single" w:sz="8" w:color="CCEEFF"/>
            </w:tcBorders>
            <w:gridSpan w:val="20"/>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0100" w:type="dxa"/>
            <w:vAlign w:val="bottom"/>
            <w:gridSpan w:val="24"/>
          </w:tcPr>
          <w:p>
            <w:pPr>
              <w:spacing w:after="0" w:line="176" w:lineRule="exact"/>
              <w:rPr>
                <w:rFonts w:ascii="Arial" w:cs="Arial" w:eastAsia="Arial" w:hAnsi="Arial"/>
                <w:sz w:val="18"/>
                <w:szCs w:val="18"/>
                <w:color w:val="0000EE"/>
                <w:w w:val="98"/>
              </w:rPr>
            </w:pPr>
            <w:hyperlink r:id="rId58">
              <w:r>
                <w:rPr>
                  <w:rFonts w:ascii="Arial" w:cs="Arial" w:eastAsia="Arial" w:hAnsi="Arial"/>
                  <w:sz w:val="18"/>
                  <w:szCs w:val="18"/>
                  <w:color w:val="0000EE"/>
                  <w:w w:val="98"/>
                </w:rPr>
                <w:t>Letter Agreement, dated March 10, 2021, by and between the Company’s sponsor, initial stockholders, officers and directors (1)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24"/>
            <w:shd w:val="clear" w:color="auto" w:fill="CCEEFF"/>
          </w:tcPr>
          <w:p>
            <w:pPr>
              <w:spacing w:after="0" w:line="17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Investment Management Trust Agreement, dated March 10, 2021, by and between Continental Stock Transfer &amp; Trust Company and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24"/>
            <w:shd w:val="clear" w:color="auto" w:fill="CCEEFF"/>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Company. (1)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4"/>
          </w:tcPr>
          <w:p>
            <w:pPr>
              <w:spacing w:after="0" w:line="176" w:lineRule="exact"/>
              <w:rPr>
                <w:rFonts w:ascii="Arial" w:cs="Arial" w:eastAsia="Arial" w:hAnsi="Arial"/>
                <w:sz w:val="18"/>
                <w:szCs w:val="18"/>
                <w:color w:val="0000EE"/>
                <w:w w:val="93"/>
              </w:rPr>
            </w:pPr>
            <w:hyperlink r:id="rId60">
              <w:r>
                <w:rPr>
                  <w:rFonts w:ascii="Arial" w:cs="Arial" w:eastAsia="Arial" w:hAnsi="Arial"/>
                  <w:sz w:val="18"/>
                  <w:szCs w:val="18"/>
                  <w:color w:val="0000EE"/>
                  <w:w w:val="93"/>
                </w:rPr>
                <w:t>Escrow Agreement, dated March 10, 2021, by and among the Company, Continental Stock Transfer &amp; Trust Company and each of the</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5"/>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initial shareholders of the Company (1)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24"/>
            <w:shd w:val="clear" w:color="auto" w:fill="CCEEFF"/>
          </w:tcPr>
          <w:p>
            <w:pPr>
              <w:spacing w:after="0" w:line="17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Registration Rights Agreement, dated March 10, 2021, by and among the Company, the Company’s sponsor, EarlyBirdCapital, Inc., and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40" w:type="dxa"/>
            <w:vAlign w:val="bottom"/>
            <w:tcBorders>
              <w:top w:val="single" w:sz="8" w:color="0000EE"/>
              <w:bottom w:val="single" w:sz="8" w:color="0000EE"/>
            </w:tcBorders>
            <w:gridSpan w:val="10"/>
            <w:shd w:val="clear" w:color="auto" w:fill="CCEEFF"/>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initial shareholders of the Company (1)</w:t>
              </w:r>
            </w:hyperlink>
          </w:p>
        </w:tc>
        <w:tc>
          <w:tcPr>
            <w:tcW w:w="7260" w:type="dxa"/>
            <w:vAlign w:val="bottom"/>
            <w:tcBorders>
              <w:top w:val="single" w:sz="8" w:color="0000EE"/>
              <w:bottom w:val="single" w:sz="8" w:color="CCEEFF"/>
              <w:right w:val="single" w:sz="8" w:color="CCEEFF"/>
            </w:tcBorders>
            <w:gridSpan w:val="1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10100" w:type="dxa"/>
            <w:vAlign w:val="bottom"/>
            <w:gridSpan w:val="24"/>
          </w:tcPr>
          <w:p>
            <w:pPr>
              <w:spacing w:after="0" w:line="176" w:lineRule="exact"/>
              <w:rPr>
                <w:rFonts w:ascii="Arial" w:cs="Arial" w:eastAsia="Arial" w:hAnsi="Arial"/>
                <w:sz w:val="18"/>
                <w:szCs w:val="18"/>
                <w:color w:val="0000EE"/>
              </w:rPr>
            </w:pPr>
            <w:hyperlink r:id="rId62">
              <w:r>
                <w:rPr>
                  <w:rFonts w:ascii="Arial" w:cs="Arial" w:eastAsia="Arial" w:hAnsi="Arial"/>
                  <w:sz w:val="18"/>
                  <w:szCs w:val="18"/>
                  <w:color w:val="0000EE"/>
                </w:rPr>
                <w:t>Indemnity Agreements, dated March 10, 2021, by and among the Company and the directors and officers of the Company (1)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24"/>
            <w:shd w:val="clear" w:color="auto" w:fill="CCEEFF"/>
          </w:tcPr>
          <w:p>
            <w:pPr>
              <w:spacing w:after="0" w:line="176" w:lineRule="exact"/>
              <w:rPr>
                <w:rFonts w:ascii="Arial" w:cs="Arial" w:eastAsia="Arial" w:hAnsi="Arial"/>
                <w:sz w:val="18"/>
                <w:szCs w:val="18"/>
                <w:color w:val="0000EE"/>
                <w:w w:val="99"/>
              </w:rPr>
            </w:pPr>
            <w:hyperlink r:id="rId63">
              <w:r>
                <w:rPr>
                  <w:rFonts w:ascii="Arial" w:cs="Arial" w:eastAsia="Arial" w:hAnsi="Arial"/>
                  <w:sz w:val="18"/>
                  <w:szCs w:val="18"/>
                  <w:color w:val="0000EE"/>
                  <w:w w:val="99"/>
                </w:rPr>
                <w:t>Subscription Agreement, dated March 10, 2021, by and between the Company and Archimedes Tech SPAC Sponsors LLC (1)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Borders>
              <w:top w:val="single" w:sz="8" w:color="CCEEFF"/>
            </w:tcBorders>
          </w:tcPr>
          <w:p>
            <w:pPr>
              <w:spacing w:after="0"/>
              <w:rPr>
                <w:sz w:val="15"/>
                <w:szCs w:val="15"/>
                <w:color w:val="auto"/>
              </w:rPr>
            </w:pPr>
          </w:p>
        </w:tc>
        <w:tc>
          <w:tcPr>
            <w:tcW w:w="908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r:id="rId64">
              <w:r>
                <w:rPr>
                  <w:rFonts w:ascii="Arial" w:cs="Arial" w:eastAsia="Arial" w:hAnsi="Arial"/>
                  <w:sz w:val="18"/>
                  <w:szCs w:val="18"/>
                  <w:color w:val="0000EE"/>
                </w:rPr>
                <w:t>Subscription Agreement, dated March 10, 2021, by and between the Company and EarlyBirdCapital, Inc (1)</w:t>
              </w:r>
            </w:hyperlink>
          </w:p>
        </w:tc>
        <w:tc>
          <w:tcPr>
            <w:tcW w:w="1020" w:type="dxa"/>
            <w:vAlign w:val="bottom"/>
            <w:tcBorders>
              <w:top w:val="single" w:sz="8" w:color="CCEE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24"/>
            <w:shd w:val="clear" w:color="auto" w:fill="CCEEFF"/>
          </w:tcPr>
          <w:p>
            <w:pPr>
              <w:spacing w:after="0" w:line="176" w:lineRule="exact"/>
              <w:rPr>
                <w:rFonts w:ascii="Arial" w:cs="Arial" w:eastAsia="Arial" w:hAnsi="Arial"/>
                <w:sz w:val="18"/>
                <w:szCs w:val="18"/>
                <w:color w:val="0000EE"/>
              </w:rPr>
            </w:pPr>
            <w:hyperlink r:id="rId65">
              <w:r>
                <w:rPr>
                  <w:rFonts w:ascii="Arial" w:cs="Arial" w:eastAsia="Arial" w:hAnsi="Arial"/>
                  <w:sz w:val="18"/>
                  <w:szCs w:val="18"/>
                  <w:color w:val="0000EE"/>
                </w:rPr>
                <w:t>Administrative Services Agreement, dated March 10, 2021, between the Company and SPAC Partners LLC (1)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tcPr>
          <w:p>
            <w:pPr>
              <w:spacing w:after="0"/>
              <w:rPr>
                <w:sz w:val="15"/>
                <w:szCs w:val="15"/>
                <w:color w:val="auto"/>
              </w:rPr>
            </w:pPr>
          </w:p>
        </w:tc>
        <w:tc>
          <w:tcPr>
            <w:tcW w:w="800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r:id="rId66">
              <w:r>
                <w:rPr>
                  <w:rFonts w:ascii="Arial" w:cs="Arial" w:eastAsia="Arial" w:hAnsi="Arial"/>
                  <w:sz w:val="18"/>
                  <w:szCs w:val="18"/>
                  <w:color w:val="0000EE"/>
                </w:rPr>
                <w:t>Form of SoundHound AI, Inc. 2022 Incentive Award Plan (4)</w:t>
              </w:r>
            </w:hyperlink>
          </w:p>
        </w:tc>
        <w:tc>
          <w:tcPr>
            <w:tcW w:w="2100" w:type="dxa"/>
            <w:vAlign w:val="bottom"/>
            <w:tcBorders>
              <w:top w:val="single" w:sz="8" w:color="CCEE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24"/>
            <w:shd w:val="clear" w:color="auto" w:fill="CCEEFF"/>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Form of SoundHound AI, Inc. 2022 Employee Stock Purchase Plan (4)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4"/>
          </w:tcPr>
          <w:p>
            <w:pPr>
              <w:spacing w:after="0" w:line="17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Form of Parent Support Agreement dated as of November 15, 2021 by and among Archimedes Tech SPAC Partners Co, SoundHound, Inc.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5"/>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and certain stockholders of Archimedes Tech SPAC Partners Co. (3)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24"/>
            <w:shd w:val="clear" w:color="auto" w:fill="CCEEFF"/>
          </w:tcPr>
          <w:p>
            <w:pPr>
              <w:spacing w:after="0" w:line="176"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Form of Company Support Agreement dated as of November 15, 2021 by and among Archimedes Tech SPAC Partners Co., SoundHound,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Inc. and certain stockholders of SoundHound, Inc. (3)</w:t>
              </w:r>
            </w:hyperlink>
          </w:p>
        </w:tc>
        <w:tc>
          <w:tcPr>
            <w:tcW w:w="6220" w:type="dxa"/>
            <w:vAlign w:val="bottom"/>
            <w:tcBorders>
              <w:bottom w:val="single" w:sz="8" w:color="CCEEFF"/>
              <w:right w:val="single" w:sz="8" w:color="CCEEFF"/>
            </w:tcBorders>
            <w:gridSpan w:val="1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5"/>
                <w:szCs w:val="15"/>
                <w:color w:val="auto"/>
              </w:rPr>
            </w:pPr>
          </w:p>
        </w:tc>
        <w:tc>
          <w:tcPr>
            <w:tcW w:w="10100" w:type="dxa"/>
            <w:vAlign w:val="bottom"/>
            <w:gridSpan w:val="24"/>
          </w:tcPr>
          <w:p>
            <w:pPr>
              <w:spacing w:after="0" w:line="176" w:lineRule="exact"/>
              <w:rPr>
                <w:rFonts w:ascii="Arial" w:cs="Arial" w:eastAsia="Arial" w:hAnsi="Arial"/>
                <w:sz w:val="18"/>
                <w:szCs w:val="18"/>
                <w:color w:val="0000EE"/>
              </w:rPr>
            </w:pPr>
            <w:hyperlink r:id="rId70">
              <w:r>
                <w:rPr>
                  <w:rFonts w:ascii="Arial" w:cs="Arial" w:eastAsia="Arial" w:hAnsi="Arial"/>
                  <w:sz w:val="18"/>
                  <w:szCs w:val="18"/>
                  <w:color w:val="0000EE"/>
                </w:rPr>
                <w:t>Form of Subscription Agreement (3)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24"/>
            <w:shd w:val="clear" w:color="auto" w:fill="CCEEFF"/>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Form of Lock-Up Agreement (3)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5"/>
                <w:szCs w:val="15"/>
                <w:color w:val="auto"/>
              </w:rPr>
            </w:pPr>
          </w:p>
        </w:tc>
        <w:tc>
          <w:tcPr>
            <w:tcW w:w="4840" w:type="dxa"/>
            <w:vAlign w:val="bottom"/>
            <w:tcBorders>
              <w:bottom w:val="single" w:sz="8" w:color="0000EE"/>
            </w:tcBorders>
            <w:gridSpan w:val="15"/>
          </w:tcPr>
          <w:p>
            <w:pPr>
              <w:spacing w:after="0" w:line="17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Form of Amended and Restated Registration Rights Agreement (3)</w:t>
              </w:r>
            </w:hyperlink>
          </w:p>
        </w:tc>
        <w:tc>
          <w:tcPr>
            <w:tcW w:w="5260" w:type="dxa"/>
            <w:vAlign w:val="bottom"/>
            <w:gridSpan w:val="9"/>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40" w:hanging="1132"/>
        <w:spacing w:after="0"/>
        <w:tabs>
          <w:tab w:leader="none" w:pos="1140" w:val="left"/>
        </w:tabs>
        <w:numPr>
          <w:ilvl w:val="0"/>
          <w:numId w:val="14"/>
        </w:numPr>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Code of Ethics (2)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1140" w:type="dxa"/>
            <w:vAlign w:val="bottom"/>
          </w:tcPr>
          <w:p>
            <w:pPr>
              <w:spacing w:after="0" w:line="199" w:lineRule="exact"/>
              <w:rPr>
                <w:sz w:val="20"/>
                <w:szCs w:val="20"/>
                <w:color w:val="auto"/>
              </w:rPr>
            </w:pPr>
            <w:r>
              <w:rPr>
                <w:rFonts w:ascii="Arial" w:cs="Arial" w:eastAsia="Arial" w:hAnsi="Arial"/>
                <w:sz w:val="18"/>
                <w:szCs w:val="18"/>
                <w:color w:val="auto"/>
              </w:rPr>
              <w:t>21.1*</w:t>
            </w:r>
          </w:p>
        </w:tc>
        <w:tc>
          <w:tcPr>
            <w:tcW w:w="10100" w:type="dxa"/>
            <w:vAlign w:val="bottom"/>
            <w:gridSpan w:val="8"/>
          </w:tcPr>
          <w:p>
            <w:pPr>
              <w:spacing w:after="0" w:line="199" w:lineRule="exact"/>
              <w:rPr>
                <w:rFonts w:ascii="Arial" w:cs="Arial" w:eastAsia="Arial" w:hAnsi="Arial"/>
                <w:sz w:val="18"/>
                <w:szCs w:val="18"/>
                <w:color w:val="0000EE"/>
              </w:rPr>
            </w:pPr>
            <w:hyperlink w:anchor="page67">
              <w:r>
                <w:rPr>
                  <w:rFonts w:ascii="Arial" w:cs="Arial" w:eastAsia="Arial" w:hAnsi="Arial"/>
                  <w:sz w:val="18"/>
                  <w:szCs w:val="18"/>
                  <w:color w:val="0000EE"/>
                </w:rPr>
                <w:t>List of Subsidiaries</w:t>
              </w:r>
            </w:hyperlink>
          </w:p>
        </w:tc>
      </w:tr>
      <w:tr>
        <w:trPr>
          <w:trHeight w:val="20"/>
        </w:trPr>
        <w:tc>
          <w:tcPr>
            <w:tcW w:w="114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Certification of Chief Executive Officer pursuant to Rule 13a-14(a) and 15d-14(a) under the Securities Exchange Act of 1934, as adopted</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382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pursuant to § 302 of the Sarbanes-Oxley Act of 2002</w:t>
              </w:r>
            </w:hyperlink>
          </w:p>
        </w:tc>
        <w:tc>
          <w:tcPr>
            <w:tcW w:w="6280" w:type="dxa"/>
            <w:vAlign w:val="bottom"/>
            <w:tcBorders>
              <w:bottom w:val="single" w:sz="8" w:color="CCEEFF"/>
            </w:tcBorders>
            <w:gridSpan w:val="3"/>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0100" w:type="dxa"/>
            <w:vAlign w:val="bottom"/>
            <w:tcBorders>
              <w:bottom w:val="single" w:sz="8" w:color="0000EE"/>
            </w:tcBorders>
            <w:gridSpan w:val="8"/>
          </w:tcPr>
          <w:p>
            <w:pPr>
              <w:spacing w:after="0" w:line="176" w:lineRule="exact"/>
              <w:rPr>
                <w:rFonts w:ascii="Arial" w:cs="Arial" w:eastAsia="Arial" w:hAnsi="Arial"/>
                <w:sz w:val="18"/>
                <w:szCs w:val="18"/>
                <w:color w:val="0000EE"/>
                <w:w w:val="93"/>
              </w:rPr>
            </w:pPr>
            <w:hyperlink w:anchor="page69">
              <w:r>
                <w:rPr>
                  <w:rFonts w:ascii="Arial" w:cs="Arial" w:eastAsia="Arial" w:hAnsi="Arial"/>
                  <w:sz w:val="18"/>
                  <w:szCs w:val="18"/>
                  <w:color w:val="0000EE"/>
                  <w:w w:val="93"/>
                </w:rPr>
                <w:t>Certification of Chief Financial Officer pursuant to Rule 13a-14(a) and 15d-14(a) under the Securities Exchange Act of 1934, as adopted</w:t>
              </w:r>
            </w:hyperlink>
          </w:p>
        </w:tc>
      </w:tr>
      <w:tr>
        <w:trPr>
          <w:trHeight w:val="196"/>
        </w:trPr>
        <w:tc>
          <w:tcPr>
            <w:tcW w:w="114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pursuant to § 302 of the Sarbanes-Oxley Act of 2002</w:t>
              </w:r>
            </w:hyperlink>
          </w:p>
        </w:tc>
      </w:tr>
      <w:tr>
        <w:trPr>
          <w:trHeight w:val="20"/>
        </w:trPr>
        <w:tc>
          <w:tcPr>
            <w:tcW w:w="114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95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Certification of Chief Executive Officer pursuant to 18 U.S.C 1350, as adopted pursuant to § 906 of the Sarbanes-Oxley Act of 2002</w:t>
              </w:r>
            </w:hyperlink>
          </w:p>
        </w:tc>
        <w:tc>
          <w:tcPr>
            <w:tcW w:w="540" w:type="dxa"/>
            <w:vAlign w:val="bottom"/>
            <w:tcBorders>
              <w:bottom w:val="single" w:sz="8" w:color="CCEEFF"/>
            </w:tcBorders>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0100" w:type="dxa"/>
            <w:vAlign w:val="bottom"/>
            <w:gridSpan w:val="8"/>
          </w:tcPr>
          <w:p>
            <w:pPr>
              <w:spacing w:after="0" w:line="17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Certification of Chief Financial Officer pursuant to 18 U.S.C 1350, as adopted pursuant to § 906 of the Sarbanes-Oxley Act of 2002</w:t>
              </w:r>
            </w:hyperlink>
          </w:p>
        </w:tc>
      </w:tr>
      <w:tr>
        <w:trPr>
          <w:trHeight w:val="20"/>
        </w:trPr>
        <w:tc>
          <w:tcPr>
            <w:tcW w:w="114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100" w:type="dxa"/>
            <w:vAlign w:val="bottom"/>
            <w:gridSpan w:val="8"/>
            <w:shd w:val="clear" w:color="auto" w:fill="CCEEFF"/>
          </w:tcPr>
          <w:p>
            <w:pPr>
              <w:spacing w:after="0" w:line="176" w:lineRule="exact"/>
              <w:rPr>
                <w:rFonts w:ascii="Arial" w:cs="Arial" w:eastAsia="Arial" w:hAnsi="Arial"/>
                <w:sz w:val="18"/>
                <w:szCs w:val="18"/>
                <w:color w:val="0000EE"/>
              </w:rPr>
            </w:pPr>
            <w:hyperlink r:id="rId75">
              <w:r>
                <w:rPr>
                  <w:rFonts w:ascii="Arial" w:cs="Arial" w:eastAsia="Arial" w:hAnsi="Arial"/>
                  <w:sz w:val="18"/>
                  <w:szCs w:val="18"/>
                  <w:color w:val="0000EE"/>
                </w:rPr>
                <w:t>Form of Audit Committee Charter (2)</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10100" w:type="dxa"/>
            <w:vAlign w:val="bottom"/>
            <w:gridSpan w:val="8"/>
          </w:tcPr>
          <w:p>
            <w:pPr>
              <w:spacing w:after="0" w:line="176" w:lineRule="exact"/>
              <w:rPr>
                <w:rFonts w:ascii="Arial" w:cs="Arial" w:eastAsia="Arial" w:hAnsi="Arial"/>
                <w:sz w:val="18"/>
                <w:szCs w:val="18"/>
                <w:color w:val="0000EE"/>
              </w:rPr>
            </w:pPr>
            <w:hyperlink r:id="rId76">
              <w:r>
                <w:rPr>
                  <w:rFonts w:ascii="Arial" w:cs="Arial" w:eastAsia="Arial" w:hAnsi="Arial"/>
                  <w:sz w:val="18"/>
                  <w:szCs w:val="18"/>
                  <w:color w:val="0000EE"/>
                </w:rPr>
                <w:t>Form of Nominating Committee Charter (2)</w:t>
              </w:r>
            </w:hyperlink>
          </w:p>
        </w:tc>
      </w:tr>
      <w:tr>
        <w:trPr>
          <w:trHeight w:val="20"/>
        </w:trPr>
        <w:tc>
          <w:tcPr>
            <w:tcW w:w="114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33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Form of Compensation Committee Charter (2)</w:t>
              </w:r>
            </w:hyperlink>
          </w:p>
        </w:tc>
        <w:tc>
          <w:tcPr>
            <w:tcW w:w="6740" w:type="dxa"/>
            <w:vAlign w:val="bottom"/>
            <w:tcBorders>
              <w:bottom w:val="single" w:sz="8" w:color="CCEEFF"/>
            </w:tcBorders>
            <w:gridSpan w:val="4"/>
            <w:shd w:val="clear" w:color="auto" w:fill="CCEEFF"/>
          </w:tcPr>
          <w:p>
            <w:pPr>
              <w:spacing w:after="0"/>
              <w:rPr>
                <w:sz w:val="17"/>
                <w:szCs w:val="17"/>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10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0712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8">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1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720" w:hanging="712"/>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as an exhibit to our Current Report on Form 8-K filed on March 16, 2021 and incorporated by reference herein.</w:t>
      </w:r>
    </w:p>
    <w:p>
      <w:pPr>
        <w:spacing w:after="0" w:line="23" w:lineRule="exact"/>
        <w:rPr>
          <w:rFonts w:ascii="Arial" w:cs="Arial" w:eastAsia="Arial" w:hAnsi="Arial"/>
          <w:sz w:val="18"/>
          <w:szCs w:val="18"/>
          <w:color w:val="auto"/>
        </w:rPr>
      </w:pPr>
    </w:p>
    <w:p>
      <w:pPr>
        <w:ind w:left="720" w:hanging="712"/>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Previously filed as an exhibit to our Registration Statement on Form S-1/A filed on March 8, 2021 and incorporated by reference herein.</w:t>
      </w:r>
    </w:p>
    <w:p>
      <w:pPr>
        <w:spacing w:after="0" w:line="20" w:lineRule="exact"/>
        <w:rPr>
          <w:rFonts w:ascii="Arial" w:cs="Arial" w:eastAsia="Arial" w:hAnsi="Arial"/>
          <w:sz w:val="17"/>
          <w:szCs w:val="17"/>
          <w:color w:val="auto"/>
        </w:rPr>
      </w:pPr>
    </w:p>
    <w:p>
      <w:pPr>
        <w:ind w:left="720" w:hanging="712"/>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Previously filed as an exhibit to our Registration Statement on Form 8-K filed on November 16, 2021 and incorporated by reference herein.</w:t>
      </w:r>
    </w:p>
    <w:p>
      <w:pPr>
        <w:spacing w:after="0" w:line="20" w:lineRule="exact"/>
        <w:rPr>
          <w:rFonts w:ascii="Arial" w:cs="Arial" w:eastAsia="Arial" w:hAnsi="Arial"/>
          <w:sz w:val="17"/>
          <w:szCs w:val="17"/>
          <w:color w:val="auto"/>
        </w:rPr>
      </w:pPr>
    </w:p>
    <w:p>
      <w:pPr>
        <w:ind w:left="720" w:hanging="712"/>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Previously filed as an exhibit to our Registration Statement on Form S-4 filed on January 11, 2022 and incorporated by reference herein.</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7060" w:type="dxa"/>
            <w:vAlign w:val="bottom"/>
            <w:gridSpan w:val="2"/>
          </w:tcPr>
          <w:p>
            <w:pPr>
              <w:ind w:left="2580"/>
              <w:spacing w:after="0"/>
              <w:rPr>
                <w:sz w:val="20"/>
                <w:szCs w:val="20"/>
                <w:color w:val="auto"/>
              </w:rPr>
            </w:pPr>
            <w:r>
              <w:rPr>
                <w:rFonts w:ascii="Arial" w:cs="Arial" w:eastAsia="Arial" w:hAnsi="Arial"/>
                <w:sz w:val="18"/>
                <w:szCs w:val="18"/>
                <w:color w:val="auto"/>
              </w:rPr>
              <w:t>Archimedes Tech SPAC Partners Co.</w:t>
            </w:r>
          </w:p>
        </w:tc>
      </w:tr>
      <w:tr>
        <w:trPr>
          <w:trHeight w:val="439"/>
        </w:trPr>
        <w:tc>
          <w:tcPr>
            <w:tcW w:w="4180" w:type="dxa"/>
            <w:vAlign w:val="bottom"/>
          </w:tcPr>
          <w:p>
            <w:pPr>
              <w:spacing w:after="0"/>
              <w:rPr>
                <w:sz w:val="20"/>
                <w:szCs w:val="20"/>
                <w:color w:val="auto"/>
              </w:rPr>
            </w:pPr>
            <w:r>
              <w:rPr>
                <w:rFonts w:ascii="Arial" w:cs="Arial" w:eastAsia="Arial" w:hAnsi="Arial"/>
                <w:sz w:val="18"/>
                <w:szCs w:val="18"/>
                <w:color w:val="auto"/>
              </w:rPr>
              <w:t>Dated: March 9, 2022</w:t>
            </w:r>
          </w:p>
        </w:tc>
        <w:tc>
          <w:tcPr>
            <w:tcW w:w="3140" w:type="dxa"/>
            <w:vAlign w:val="bottom"/>
          </w:tcPr>
          <w:p>
            <w:pPr>
              <w:ind w:left="25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N. Cannon</w:t>
            </w:r>
          </w:p>
        </w:tc>
      </w:tr>
      <w:tr>
        <w:trPr>
          <w:trHeight w:val="202"/>
        </w:trPr>
        <w:tc>
          <w:tcPr>
            <w:tcW w:w="4180" w:type="dxa"/>
            <w:vAlign w:val="bottom"/>
          </w:tcPr>
          <w:p>
            <w:pPr>
              <w:spacing w:after="0"/>
              <w:rPr>
                <w:sz w:val="17"/>
                <w:szCs w:val="17"/>
                <w:color w:val="auto"/>
              </w:rPr>
            </w:pPr>
          </w:p>
        </w:tc>
        <w:tc>
          <w:tcPr>
            <w:tcW w:w="3140" w:type="dxa"/>
            <w:vAlign w:val="bottom"/>
          </w:tcPr>
          <w:p>
            <w:pPr>
              <w:ind w:left="25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Stephen N. Cannon</w:t>
            </w:r>
          </w:p>
        </w:tc>
      </w:tr>
      <w:tr>
        <w:trPr>
          <w:trHeight w:val="230"/>
        </w:trPr>
        <w:tc>
          <w:tcPr>
            <w:tcW w:w="4180" w:type="dxa"/>
            <w:vAlign w:val="bottom"/>
          </w:tcPr>
          <w:p>
            <w:pPr>
              <w:spacing w:after="0"/>
              <w:rPr>
                <w:sz w:val="20"/>
                <w:szCs w:val="20"/>
                <w:color w:val="auto"/>
              </w:rPr>
            </w:pPr>
          </w:p>
        </w:tc>
        <w:tc>
          <w:tcPr>
            <w:tcW w:w="3140" w:type="dxa"/>
            <w:vAlign w:val="bottom"/>
          </w:tcPr>
          <w:p>
            <w:pPr>
              <w:ind w:left="25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this report has been signed below by the following persons in the capacities and on the dates indicated.</w:t>
      </w:r>
    </w:p>
    <w:p>
      <w:pPr>
        <w:sectPr>
          <w:pgSz w:w="11900" w:h="16838" w:orient="portrait"/>
          <w:cols w:equalWidth="0" w:num="1">
            <w:col w:w="11240"/>
          </w:cols>
          <w:pgMar w:left="320" w:top="769"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8543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Stephen N. Cannon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Long Long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Dr. Eric R.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 Eric R. Ball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Sheehan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Bryant B.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8543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Bryant B. Edwards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Dr. Luc Julia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 Luc Julia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Rajan P. Pai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Rajan P. Pai</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45"/>
        </w:trPr>
        <w:tc>
          <w:tcPr>
            <w:tcW w:w="4500" w:type="dxa"/>
            <w:vAlign w:val="bottom"/>
          </w:tcPr>
          <w:p>
            <w:pPr>
              <w:jc w:val="center"/>
              <w:spacing w:after="0"/>
              <w:rPr>
                <w:sz w:val="20"/>
                <w:szCs w:val="20"/>
                <w:color w:val="auto"/>
              </w:rPr>
            </w:pPr>
            <w:r>
              <w:rPr>
                <w:rFonts w:ascii="Arial" w:cs="Arial" w:eastAsia="Arial" w:hAnsi="Arial"/>
                <w:sz w:val="18"/>
                <w:szCs w:val="18"/>
                <w:color w:val="auto"/>
                <w:w w:val="93"/>
              </w:rPr>
              <w:t>Chief Executive Officer &amp; President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45"/>
        </w:trPr>
        <w:tc>
          <w:tcPr>
            <w:tcW w:w="45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3"/>
              </w:rPr>
              <w:t>(Principal Accounting and Financial Officer)</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59"/>
        </w:trPr>
        <w:tc>
          <w:tcPr>
            <w:tcW w:w="450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675"/>
        </w:trPr>
        <w:tc>
          <w:tcPr>
            <w:tcW w:w="4500" w:type="dxa"/>
            <w:vAlign w:val="bottom"/>
          </w:tcPr>
          <w:p>
            <w:pPr>
              <w:jc w:val="center"/>
              <w:spacing w:after="0"/>
              <w:rPr>
                <w:sz w:val="20"/>
                <w:szCs w:val="20"/>
                <w:color w:val="auto"/>
              </w:rPr>
            </w:pPr>
            <w:r>
              <w:rPr>
                <w:rFonts w:ascii="Arial" w:cs="Arial" w:eastAsia="Arial" w:hAnsi="Arial"/>
                <w:sz w:val="18"/>
                <w:szCs w:val="18"/>
                <w:color w:val="auto"/>
                <w:w w:val="93"/>
              </w:rPr>
              <w:t>Chief Operating Officer</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675"/>
        </w:trPr>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675"/>
        </w:trPr>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675"/>
        </w:trPr>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bl>
    <w:p>
      <w:pPr>
        <w:spacing w:after="0" w:line="392" w:lineRule="exact"/>
        <w:rPr>
          <w:sz w:val="20"/>
          <w:szCs w:val="20"/>
          <w:color w:val="auto"/>
        </w:rPr>
      </w:pPr>
    </w:p>
    <w:p>
      <w:pPr>
        <w:sectPr>
          <w:pgSz w:w="11900" w:h="16838" w:orient="portrait"/>
          <w:cols w:equalWidth="0" w:num="2">
            <w:col w:w="3900" w:space="720"/>
            <w:col w:w="6620"/>
          </w:cols>
          <w:pgMar w:left="320" w:top="769" w:right="339" w:bottom="1440" w:gutter="0" w:footer="0" w:header="0"/>
          <w:type w:val="continuous"/>
        </w:sectPr>
      </w:pP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7"/>
          <w:szCs w:val="17"/>
          <w:b w:val="1"/>
          <w:bCs w:val="1"/>
          <w:color w:val="auto"/>
        </w:rPr>
        <w:t>ARCHIMEDES TECH SPAC PARTNERS CO.</w:t>
      </w:r>
    </w:p>
    <w:p>
      <w:pPr>
        <w:sectPr>
          <w:pgSz w:w="11900" w:h="16838" w:orient="portrait"/>
          <w:cols w:equalWidth="0" w:num="1">
            <w:col w:w="9019"/>
          </w:cols>
          <w:pgMar w:left="1440" w:top="769"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OF CONTENTS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type w:val="continuous"/>
        </w:sectPr>
      </w:pPr>
    </w:p>
    <w:bookmarkStart w:id="38" w:name="page39"/>
    <w:bookmarkEnd w:id="38"/>
    <w:p>
      <w:pPr>
        <w:ind w:left="2660"/>
        <w:spacing w:after="0"/>
        <w:rPr>
          <w:sz w:val="20"/>
          <w:szCs w:val="20"/>
          <w:color w:val="auto"/>
        </w:rPr>
      </w:pPr>
      <w:r>
        <w:rPr>
          <w:rFonts w:ascii="Arial" w:cs="Arial" w:eastAsia="Arial" w:hAnsi="Arial"/>
          <w:sz w:val="18"/>
          <w:szCs w:val="18"/>
          <w:b w:val="1"/>
          <w:bCs w:val="1"/>
          <w:color w:val="auto"/>
        </w:rPr>
        <w:t>REPORT OF INDEPDENT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235,295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98,066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Marketable securities held in Trust Account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133,010,583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133,343,944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247,868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Due to related party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249,684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247,514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497,198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2"/>
              </w:rPr>
              <w:t>Common stock subject to possible redemption, 13,300,000 shares and 0 shares at redemption value as of December</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31, 2021 and 2020, respectively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133,010,583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9"/>
              </w:rPr>
              <w:t>Common stock, $0.0001 par value; 100,000,000 shares and 31,000,000 shares authorized, 4,161,000 shares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89"/>
              </w:rPr>
              <w:t>and 0 shares issued and outstanding (excluding 13,300,000 shares and 0 shares subject to possible redemption) as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2021 and 2020,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818,347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(982,600)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(163,837)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133,343,944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2"/>
        </w:trPr>
        <w:tc>
          <w:tcPr>
            <w:tcW w:w="8680" w:type="dxa"/>
            <w:vAlign w:val="bottom"/>
            <w:tcBorders>
              <w:top w:val="single" w:sz="8" w:color="CCEEFF"/>
            </w:tcBorders>
          </w:tcPr>
          <w:p>
            <w:pPr>
              <w:ind w:left="2960"/>
              <w:spacing w:after="0"/>
              <w:rPr>
                <w:sz w:val="20"/>
                <w:szCs w:val="20"/>
                <w:color w:val="auto"/>
              </w:rPr>
            </w:pPr>
            <w:r>
              <w:rPr>
                <w:rFonts w:ascii="Arial" w:cs="Arial" w:eastAsia="Arial" w:hAnsi="Arial"/>
                <w:sz w:val="18"/>
                <w:szCs w:val="18"/>
                <w:color w:val="auto"/>
                <w:w w:val="95"/>
              </w:rPr>
              <w:t>The accompanying notes are an integral part of these financial statements.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547"/>
        </w:trPr>
        <w:tc>
          <w:tcPr>
            <w:tcW w:w="8680" w:type="dxa"/>
            <w:vAlign w:val="bottom"/>
            <w:tcBorders>
              <w:bottom w:val="single" w:sz="8" w:color="auto"/>
            </w:tcBorders>
          </w:tcPr>
          <w:p>
            <w:pPr>
              <w:ind w:left="5500"/>
              <w:spacing w:after="0"/>
              <w:rPr>
                <w:sz w:val="20"/>
                <w:szCs w:val="20"/>
                <w:color w:val="auto"/>
              </w:rPr>
            </w:pPr>
            <w:r>
              <w:rPr>
                <w:rFonts w:ascii="Arial" w:cs="Arial" w:eastAsia="Arial" w:hAnsi="Arial"/>
                <w:sz w:val="18"/>
                <w:szCs w:val="18"/>
                <w:color w:val="auto"/>
              </w:rPr>
              <w:t>F-3</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15,</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For the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1,015,260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(1,015,260)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interest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Unrealized gain on change in fair value of warrants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22,793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33,376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(981,884)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 subject to redemption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10,589,315</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Basic and diluted net income per share attributable to common stock subject to redemption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3,959,088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Deficit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1"/>
        </w:trPr>
        <w:tc>
          <w:tcPr>
            <w:tcW w:w="5100" w:type="dxa"/>
            <w:vAlign w:val="bottom"/>
          </w:tcPr>
          <w:p>
            <w:pPr>
              <w:spacing w:after="0"/>
              <w:rPr>
                <w:sz w:val="20"/>
                <w:szCs w:val="20"/>
                <w:color w:val="auto"/>
              </w:rPr>
            </w:pPr>
          </w:p>
        </w:tc>
        <w:tc>
          <w:tcPr>
            <w:tcW w:w="23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7"/>
              </w:rPr>
              <w:t>Stockholders’</w:t>
            </w:r>
          </w:p>
        </w:tc>
      </w:tr>
      <w:tr>
        <w:trPr>
          <w:trHeight w:val="223"/>
        </w:trPr>
        <w:tc>
          <w:tcPr>
            <w:tcW w:w="5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15, 2020 (inception)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51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(716)</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(716)</w:t>
            </w:r>
          </w:p>
        </w:tc>
      </w:tr>
      <w:tr>
        <w:trPr>
          <w:trHeight w:val="27"/>
        </w:trPr>
        <w:tc>
          <w:tcPr>
            <w:tcW w:w="5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(716)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(716)</w:t>
            </w:r>
          </w:p>
        </w:tc>
      </w:tr>
      <w:tr>
        <w:trPr>
          <w:trHeight w:val="27"/>
        </w:trPr>
        <w:tc>
          <w:tcPr>
            <w:tcW w:w="51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Sale of 12,000,000 Units through IPO</w:t>
            </w:r>
          </w:p>
        </w:tc>
        <w:tc>
          <w:tcPr>
            <w:tcW w:w="100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119,998,800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120,000,000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Sale of 1,300,000 Units through over-allotment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12,999,870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Sale of 416,000 Private Units in private placement</w:t>
            </w:r>
          </w:p>
        </w:tc>
        <w:tc>
          <w:tcPr>
            <w:tcW w:w="1000" w:type="dxa"/>
            <w:vAlign w:val="bottom"/>
          </w:tcPr>
          <w:p>
            <w:pPr>
              <w:jc w:val="right"/>
              <w:spacing w:after="0"/>
              <w:rPr>
                <w:sz w:val="20"/>
                <w:szCs w:val="20"/>
                <w:color w:val="auto"/>
              </w:rPr>
            </w:pPr>
            <w:r>
              <w:rPr>
                <w:rFonts w:ascii="Arial" w:cs="Arial" w:eastAsia="Arial" w:hAnsi="Arial"/>
                <w:sz w:val="18"/>
                <w:szCs w:val="18"/>
                <w:color w:val="auto"/>
              </w:rPr>
              <w:t>416,000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4,159,958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4,160,000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representative shares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2,024,421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2,024,463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Common stock issued to initial stockholders</w:t>
            </w:r>
          </w:p>
        </w:tc>
        <w:tc>
          <w:tcPr>
            <w:tcW w:w="1000" w:type="dxa"/>
            <w:vAlign w:val="bottom"/>
          </w:tcPr>
          <w:p>
            <w:pPr>
              <w:jc w:val="right"/>
              <w:spacing w:after="0"/>
              <w:rPr>
                <w:sz w:val="20"/>
                <w:szCs w:val="20"/>
                <w:color w:val="auto"/>
              </w:rPr>
            </w:pPr>
            <w:r>
              <w:rPr>
                <w:rFonts w:ascii="Arial" w:cs="Arial" w:eastAsia="Arial" w:hAnsi="Arial"/>
                <w:sz w:val="18"/>
                <w:szCs w:val="18"/>
                <w:color w:val="auto"/>
              </w:rPr>
              <w:t>3,450,000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24,655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Underwriting fee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(2,660,000)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(2,660,000)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charged to the stockholders’ equity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(2,449,810)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(2,449,810)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Initial classification of warrant liability</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(270,307)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(270,307)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4,779,936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4,779,936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(981,884)</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(981,884)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Initial value of common stock subject to possible redemption</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(124,412,583)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(124,413,913)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Accretion of common stock to redemption value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(13,366,023)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(13,366,023)</w:t>
            </w:r>
          </w:p>
        </w:tc>
      </w:tr>
      <w:tr>
        <w:trPr>
          <w:trHeight w:val="202"/>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Accretion of common stock to redemption value (interest earned on</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account)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(10,583)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(10,583)</w:t>
            </w:r>
          </w:p>
        </w:tc>
      </w:tr>
      <w:tr>
        <w:trPr>
          <w:trHeight w:val="27"/>
        </w:trPr>
        <w:tc>
          <w:tcPr>
            <w:tcW w:w="51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Balance as of December 31, 2021</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4,161,000</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818,347</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(982,600)</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(163,837)</w:t>
            </w:r>
          </w:p>
        </w:tc>
      </w:tr>
      <w:tr>
        <w:trPr>
          <w:trHeight w:val="21"/>
        </w:trPr>
        <w:tc>
          <w:tcPr>
            <w:tcW w:w="5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15,</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through</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(981,884)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change in fair value of warrants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(10,583)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(98,066)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247,868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Due to related party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(864,358)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Investment held in Trust Account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(133,000,000)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(133,000,000)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IPO and over-allotment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133,000,000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of underwriting fees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private placement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4,160,000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promissory note to related party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Payment to promissory note to related party</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to initial stockholders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(425,347)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134,099,653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235,295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beginning of the year</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235,295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Initial value of common stock subject to possible redemption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124,413,913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(4,779,936)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Accretion of common stock to redemption 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13,366,023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common stock to redemption value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trust account)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Forfeiture of founder shares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270,307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General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sponsor is Archimedes Tech SPAC Sponsors LLC, a Delaware limited liability company (the “Sponsor”).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the Company’s “initial stockholders” refer to the Company’s stockholders prior to the IPO, excluding the holders of the Representative Shares (See Note 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Transaction costs amounted to $4,849,810 consisting of $2,400,000 of underwriting discount and $2,449,810 of other offering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Account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5" w:name="page46"/>
    <w:bookmarkEnd w:id="45"/>
    <w:p>
      <w:pPr>
        <w:jc w:val="both"/>
        <w:spacing w:after="0" w:line="269" w:lineRule="auto"/>
        <w:rPr>
          <w:sz w:val="20"/>
          <w:szCs w:val="20"/>
          <w:color w:val="auto"/>
        </w:rPr>
      </w:pPr>
      <w:r>
        <w:rPr>
          <w:rFonts w:ascii="Arial" w:cs="Arial" w:eastAsia="Arial" w:hAnsi="Arial"/>
          <w:sz w:val="17"/>
          <w:szCs w:val="17"/>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2 — Restatement of Prior Period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Equity Instruments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Private Warrants &amp; Fair Value of Representative Shares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w:t>
      </w:r>
      <w:r>
        <w:rPr>
          <w:rFonts w:ascii="Arial" w:cs="Arial" w:eastAsia="Arial" w:hAnsi="Arial"/>
          <w:sz w:val="17"/>
          <w:szCs w:val="17"/>
          <w:color w:val="auto"/>
        </w:rPr>
        <w:t>, and concluded that the Private Warrants do not meet the criteria to be classified in stockholders’ equity, since the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meet the definition of a derivative under ASC 815-40. 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Restatement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As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Previously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w:t>
            </w:r>
          </w:p>
        </w:tc>
      </w:tr>
      <w:tr>
        <w:trPr>
          <w:trHeight w:val="241"/>
        </w:trPr>
        <w:tc>
          <w:tcPr>
            <w:tcW w:w="7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Reported</w:t>
            </w:r>
          </w:p>
        </w:tc>
        <w:tc>
          <w:tcPr>
            <w:tcW w:w="118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Adjustments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Restated</w:t>
            </w: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Audited Balance Sheet at March 15, 2021</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253,413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253,413</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591,387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254,413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844,800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116,095,120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3,904,880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120,000,000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5,004,068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(4,158,254)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845,814</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5,000,003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(4,158,293)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841,710</w:t>
            </w:r>
          </w:p>
        </w:tc>
      </w:tr>
      <w:tr>
        <w:trPr>
          <w:trHeight w:val="216"/>
        </w:trPr>
        <w:tc>
          <w:tcPr>
            <w:tcW w:w="7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Unaudited Balance Sheet at March 31, 2021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128,744,590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4,255,935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133,000,525</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5,084,297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(4,255,892)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828,405</w:t>
            </w:r>
          </w:p>
        </w:tc>
      </w:tr>
      <w:tr>
        <w:trPr>
          <w:trHeight w:val="216"/>
        </w:trPr>
        <w:tc>
          <w:tcPr>
            <w:tcW w:w="7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Statement of Operations for the three months ended March 31, 2021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 subject to redemption</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2,059,408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247,259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2,306,667</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3,856,614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(514,481)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3,342,133</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Basic and diluted net income (loss) per share, common stock subject to redemption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 common stock not subject to redemption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547"/>
        </w:trPr>
        <w:tc>
          <w:tcPr>
            <w:tcW w:w="77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F-10</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Previously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w:t>
            </w: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Reported</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Adjustments</w:t>
            </w:r>
          </w:p>
        </w:tc>
        <w:tc>
          <w:tcPr>
            <w:tcW w:w="1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Restated</w:t>
            </w:r>
          </w:p>
        </w:tc>
      </w:tr>
      <w:tr>
        <w:trPr>
          <w:trHeight w:val="198"/>
        </w:trPr>
        <w:tc>
          <w:tcPr>
            <w:tcW w:w="732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Unaudited Statement of Changes in Stockholders’ Equity for the three months ended March</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31, 2021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representative shares - Additional Paid-in-Capital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2,020,963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2,024,421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Issuance of representative shares - Stockholders’ Equity (Deficit)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2,020,963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2,024,463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charged to the Stockholders’ equity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(428,847)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(2,020,963)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(2,449,810)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4,779,936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4,779,936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common stock to redemption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(13,366,023)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(13,366,023)</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Statement of Cash Flows for the three months ended March 31, 2021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Initial value of common stock subject to possible redemption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115,841,700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8,572,213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124,413,913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12,902,890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(12,902,365)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(4,779,936)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(4,779,936)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Accretion of common stock to redemption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13,366,023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13,366,023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common stock to redemption value (interest earned on trust account)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Statement of Operations for the six months ended June 30, 2021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(loss) per share, common stock subject to redemption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 common stock not subject to redemption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Unaudited Statement of Changes in Stockholders’ Equity for the six months ended June 30,</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Issuance of representative shares - Additional Paid-in-Capital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3,458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2,020,963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2,024,421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representative shares - Stockholders’ Equity (Deficit)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2,020,963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2,024,463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Offering costs charged to the Stockholders’ equity</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(428,847)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(2,020,963)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(2,449,810)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2,886,166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1,893,770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4,779,936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Accretion of common stock to redemption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(11,472,253)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(1,893,770)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(13,366,023)</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Unaudited Statement of Cash Flows for the six months ended June 30, 2021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(2,886,166)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(1,893,770)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(4,779,936)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Accretion of common stock to redemption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11,472,253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1,893,770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13,366,023</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Unaudited Statement of Operations for the nine months ended September 30, 2021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 common stock subject to redemption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(loss) per share, common stock not subject to redemption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320" w:type="dxa"/>
            <w:vAlign w:val="bottom"/>
          </w:tcPr>
          <w:p>
            <w:pPr>
              <w:spacing w:after="0" w:line="198" w:lineRule="exact"/>
              <w:rPr>
                <w:sz w:val="20"/>
                <w:szCs w:val="20"/>
                <w:color w:val="auto"/>
              </w:rPr>
            </w:pPr>
            <w:r>
              <w:rPr>
                <w:rFonts w:ascii="Arial" w:cs="Arial" w:eastAsia="Arial" w:hAnsi="Arial"/>
                <w:sz w:val="18"/>
                <w:szCs w:val="18"/>
                <w:b w:val="1"/>
                <w:bCs w:val="1"/>
                <w:color w:val="auto"/>
              </w:rPr>
              <w:t>Unaudited Statement of Changes in Stockholders’ Equity for the nine months ended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representative shares - Additional Paid-in-Capital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2,020,963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2,024,421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Issuance of representative shares - Stockholders’ Equity (Deficit)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2,020,963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2,024,463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charged to the Stockholders’ equity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(428,847)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(2,020,963)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(2,449,810)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2,886,166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1,893,770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4,779,936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common stock to redemption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(11,472,253)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(1,893,770)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(13,366,023)</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Statement of Cash Flows for the nine months ended September 30, 2021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(2,886,166)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(1,893,770)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(4,779,936)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common stock to redemption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11,472,253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1,893,770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13,366,023</w:t>
            </w:r>
          </w:p>
        </w:tc>
      </w:tr>
      <w:tr>
        <w:trPr>
          <w:trHeight w:val="547"/>
        </w:trPr>
        <w:tc>
          <w:tcPr>
            <w:tcW w:w="732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F-11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earnings per share presented in the statements of operations is based on the following:</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(981,884)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Accretion of temporary equity to redemption value</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(13,376,606)</w:t>
            </w:r>
          </w:p>
        </w:tc>
      </w:tr>
      <w:tr>
        <w:trPr>
          <w:trHeight w:val="27"/>
        </w:trPr>
        <w:tc>
          <w:tcPr>
            <w:tcW w:w="8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including accretion of temporary equity to redemption value</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(14,358,490)</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30"/>
        </w:trPr>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For the year ended</w:t>
            </w:r>
          </w:p>
        </w:tc>
      </w:tr>
      <w:tr>
        <w:trPr>
          <w:trHeight w:val="241"/>
        </w:trPr>
        <w:tc>
          <w:tcPr>
            <w:tcW w:w="8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8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Redeemable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redeemable</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w:t>
            </w: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Numerator:</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net loss including accretion of temporary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(10,451,084)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(3,907,406)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Accretion of temporary equity to redemption value</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13,376,606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2,925,522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(3,907,406)</w:t>
            </w:r>
          </w:p>
        </w:tc>
      </w:tr>
      <w:tr>
        <w:trPr>
          <w:trHeight w:val="216"/>
        </w:trPr>
        <w:tc>
          <w:tcPr>
            <w:tcW w:w="86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10,589,315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3,959,088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shares of the Company were issued or outstanding in 2020 and, as a result, Earnings Per Share does not exist for 2020.</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 Hedging-Contracts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Entity’s Own Equity (Subtopic 815-40): Accounting for Convertible Instruments and Contracts in an Entity’s Own Equity </w:t>
      </w:r>
      <w:r>
        <w:rPr>
          <w:rFonts w:ascii="Arial" w:cs="Arial" w:eastAsia="Arial" w:hAnsi="Arial"/>
          <w:sz w:val="18"/>
          <w:szCs w:val="18"/>
          <w:color w:val="auto"/>
        </w:rPr>
        <w:t>(“ASU 2020-06”),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Initial Public Offering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5 — Private Placement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January 4, 2021, the Sponsor agreed to loan the Company up to $300,000 to be used for a portion of the expenses of the IPO (the “Promissory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loans were non-interest bearing, unsecured and were due at the earlier of March 31, 2021 or the closing of the IPO.</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left="55"/>
              <w:spacing w:after="0"/>
              <w:rPr>
                <w:sz w:val="20"/>
                <w:szCs w:val="20"/>
                <w:color w:val="auto"/>
              </w:rPr>
            </w:pPr>
            <w:r>
              <w:rPr>
                <w:rFonts w:ascii="Arial" w:cs="Arial" w:eastAsia="Arial" w:hAnsi="Arial"/>
                <w:sz w:val="18"/>
                <w:szCs w:val="18"/>
                <w:b w:val="1"/>
                <w:bCs w:val="1"/>
                <w:color w:val="auto"/>
                <w:w w:val="88"/>
              </w:rPr>
              <w:t>Quoted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left="55"/>
              <w:spacing w:after="0"/>
              <w:rPr>
                <w:sz w:val="20"/>
                <w:szCs w:val="20"/>
                <w:color w:val="auto"/>
              </w:rPr>
            </w:pPr>
            <w:r>
              <w:rPr>
                <w:rFonts w:ascii="Arial" w:cs="Arial" w:eastAsia="Arial" w:hAnsi="Arial"/>
                <w:sz w:val="18"/>
                <w:szCs w:val="18"/>
                <w:b w:val="1"/>
                <w:bCs w:val="1"/>
                <w:color w:val="auto"/>
                <w:w w:val="90"/>
              </w:rPr>
              <w:t>Prices In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left="55"/>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Observable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January 13,</w:t>
            </w:r>
          </w:p>
        </w:tc>
        <w:tc>
          <w:tcPr>
            <w:tcW w:w="980" w:type="dxa"/>
            <w:vAlign w:val="bottom"/>
          </w:tcPr>
          <w:p>
            <w:pPr>
              <w:jc w:val="center"/>
              <w:ind w:left="55"/>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980" w:type="dxa"/>
            <w:vAlign w:val="bottom"/>
          </w:tcPr>
          <w:p>
            <w:pPr>
              <w:jc w:val="center"/>
              <w:ind w:left="55"/>
              <w:spacing w:after="0"/>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Representative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2,024,463</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2,024,463</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2,024,463</w:t>
            </w:r>
          </w:p>
        </w:tc>
        <w:tc>
          <w:tcPr>
            <w:tcW w:w="260" w:type="dxa"/>
            <w:vAlign w:val="bottom"/>
          </w:tcPr>
          <w:p>
            <w:pPr>
              <w:spacing w:after="0"/>
              <w:rPr>
                <w:sz w:val="19"/>
                <w:szCs w:val="19"/>
                <w:color w:val="auto"/>
              </w:rPr>
            </w:pPr>
          </w:p>
        </w:tc>
        <w:tc>
          <w:tcPr>
            <w:tcW w:w="980" w:type="dxa"/>
            <w:vAlign w:val="bottom"/>
          </w:tcPr>
          <w:p>
            <w:pPr>
              <w:jc w:val="right"/>
              <w:ind w:right="815"/>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2,024,463</w:t>
            </w: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key inputs into the Monte Carlo simulation model for the Representative Shares were as follows at January 13,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January 13,</w:t>
            </w:r>
          </w:p>
        </w:tc>
      </w:tr>
      <w:tr>
        <w:trPr>
          <w:trHeight w:val="241"/>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Input</w:t>
            </w:r>
          </w:p>
        </w:tc>
        <w:tc>
          <w:tcPr>
            <w:tcW w:w="6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Restricted term (years)</w:t>
            </w: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volatility</w:t>
            </w: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Stock price</w:t>
            </w:r>
          </w:p>
        </w:tc>
        <w:tc>
          <w:tcPr>
            <w:tcW w:w="6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547"/>
        </w:trPr>
        <w:tc>
          <w:tcPr>
            <w:tcW w:w="356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3"/>
          </w:tcPr>
          <w:p>
            <w:pPr>
              <w:jc w:val="right"/>
              <w:ind w:right="4260"/>
              <w:spacing w:after="0"/>
              <w:rPr>
                <w:sz w:val="20"/>
                <w:szCs w:val="20"/>
                <w:color w:val="auto"/>
              </w:rPr>
            </w:pPr>
            <w:r>
              <w:rPr>
                <w:rFonts w:ascii="Arial" w:cs="Arial" w:eastAsia="Arial" w:hAnsi="Arial"/>
                <w:sz w:val="18"/>
                <w:szCs w:val="18"/>
                <w:color w:val="auto"/>
              </w:rPr>
              <w:t>F-17</w:t>
            </w: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Recurring Fair Value Measurement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Quoted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Prices In</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U.S. Mutual Fund held in Trust Account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133,010,583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133,010,583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133,010,583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133,010,583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Warrant Liability</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247,514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247,514</w:t>
            </w:r>
          </w:p>
        </w:tc>
      </w:tr>
      <w:tr>
        <w:trPr>
          <w:trHeight w:val="27"/>
        </w:trPr>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98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247,514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247,514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The key inputs into the Monte Carlo simulation model for the warrant liability were as follows at March 15, 2021: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March 15,</w:t>
            </w:r>
          </w:p>
        </w:tc>
      </w:tr>
      <w:tr>
        <w:trPr>
          <w:trHeight w:val="241"/>
        </w:trPr>
        <w:tc>
          <w:tcPr>
            <w:tcW w:w="9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Input</w:t>
            </w: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8"/>
                <w:szCs w:val="18"/>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Stock price</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Exercise price</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r>
      <w:tr>
        <w:trPr>
          <w:trHeight w:val="418"/>
        </w:trPr>
        <w:tc>
          <w:tcPr>
            <w:tcW w:w="9860" w:type="dxa"/>
            <w:vAlign w:val="bottom"/>
          </w:tcPr>
          <w:p>
            <w:pPr>
              <w:spacing w:after="0"/>
              <w:rPr>
                <w:sz w:val="20"/>
                <w:szCs w:val="20"/>
                <w:color w:val="auto"/>
              </w:rPr>
            </w:pPr>
            <w:r>
              <w:rPr>
                <w:rFonts w:ascii="Arial" w:cs="Arial" w:eastAsia="Arial" w:hAnsi="Arial"/>
                <w:sz w:val="18"/>
                <w:szCs w:val="18"/>
                <w:color w:val="auto"/>
              </w:rPr>
              <w:t>The key inputs into the Monte Carlo simulation model for the warrant liability were as follows at December 31, 2021: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9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Input</w:t>
            </w: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Stock price</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Exercise price</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r>
      <w:tr>
        <w:trPr>
          <w:trHeight w:val="418"/>
        </w:trPr>
        <w:tc>
          <w:tcPr>
            <w:tcW w:w="9860" w:type="dxa"/>
            <w:vAlign w:val="bottom"/>
          </w:tcPr>
          <w:p>
            <w:pPr>
              <w:spacing w:after="0"/>
              <w:rPr>
                <w:sz w:val="20"/>
                <w:szCs w:val="20"/>
                <w:color w:val="auto"/>
              </w:rPr>
            </w:pPr>
            <w:r>
              <w:rPr>
                <w:rFonts w:ascii="Arial" w:cs="Arial" w:eastAsia="Arial" w:hAnsi="Arial"/>
                <w:sz w:val="18"/>
                <w:szCs w:val="18"/>
                <w:color w:val="auto"/>
                <w:w w:val="92"/>
              </w:rPr>
              <w:t>The following table sets forth a summary of the changes in the fair value of the warrant liability for the year ended December 31, 2021: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Warrant</w:t>
            </w:r>
          </w:p>
        </w:tc>
      </w:tr>
      <w:tr>
        <w:trPr>
          <w:trHeight w:val="241"/>
        </w:trPr>
        <w:tc>
          <w:tcPr>
            <w:tcW w:w="9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Liability</w:t>
            </w:r>
          </w:p>
        </w:tc>
        <w:tc>
          <w:tcPr>
            <w:tcW w:w="100" w:type="dxa"/>
            <w:vAlign w:val="bottom"/>
          </w:tcPr>
          <w:p>
            <w:pPr>
              <w:spacing w:after="0"/>
              <w:rPr>
                <w:sz w:val="20"/>
                <w:szCs w:val="20"/>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Initial fair value of warrant liability upon issuance at IPO</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270,307</w:t>
            </w:r>
          </w:p>
        </w:tc>
      </w:tr>
      <w:tr>
        <w:trPr>
          <w:trHeight w:val="223"/>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(22,793)</w:t>
            </w:r>
          </w:p>
        </w:tc>
      </w:tr>
      <w:tr>
        <w:trPr>
          <w:trHeight w:val="216"/>
        </w:trPr>
        <w:tc>
          <w:tcPr>
            <w:tcW w:w="9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2021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247,514</w:t>
            </w:r>
          </w:p>
        </w:tc>
      </w:tr>
      <w:tr>
        <w:trPr>
          <w:trHeight w:val="547"/>
        </w:trPr>
        <w:tc>
          <w:tcPr>
            <w:tcW w:w="9860" w:type="dxa"/>
            <w:vAlign w:val="bottom"/>
            <w:tcBorders>
              <w:top w:val="single" w:sz="8" w:color="CCEEFF"/>
              <w:bottom w:val="single" w:sz="8" w:color="auto"/>
            </w:tcBorders>
          </w:tcPr>
          <w:p>
            <w:pPr>
              <w:ind w:left="5460"/>
              <w:spacing w:after="0"/>
              <w:rPr>
                <w:sz w:val="20"/>
                <w:szCs w:val="20"/>
                <w:color w:val="auto"/>
              </w:rPr>
            </w:pPr>
            <w:r>
              <w:rPr>
                <w:rFonts w:ascii="Arial" w:cs="Arial" w:eastAsia="Arial" w:hAnsi="Arial"/>
                <w:sz w:val="18"/>
                <w:szCs w:val="18"/>
                <w:color w:val="auto"/>
              </w:rPr>
              <w:t>F-18</w:t>
            </w: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and were, in aggregate, paid a fixed underwriting discount of $260,000.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Legal Services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 </w:t>
      </w:r>
      <w:r>
        <w:rPr>
          <w:rFonts w:ascii="Arial" w:cs="Arial" w:eastAsia="Arial" w:hAnsi="Arial"/>
          <w:sz w:val="18"/>
          <w:szCs w:val="18"/>
          <w:color w:val="auto"/>
        </w:rPr>
        <w:t>The Company is authorized to issue 1,000,000 shares of preferred stock at par value of $0.0001 per share. As of December 31,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were no shares of preferred stock issued or outstanding.</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Common Stock — </w:t>
      </w:r>
      <w:r>
        <w:rPr>
          <w:rFonts w:ascii="Arial" w:cs="Arial" w:eastAsia="Arial" w:hAnsi="Arial"/>
          <w:sz w:val="16"/>
          <w:szCs w:val="16"/>
          <w:color w:val="auto"/>
        </w:rPr>
        <w:t>The Company is authorized to issue 100,000,000 shares of common stock with a par value of $0.0001 per share. At December 31,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were 4,161,000 shares of common stock issued and outstanding, excluding 13,300,000 shares of common stock subject to possible redemption.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8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10 — Income Tax</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Company’s net deferred tax assets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Organizational costs/Startup expenses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Capitalized costs related to Business Combination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82,920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net operating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deferred tax asset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211,133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(211,133)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Deferred tax asset, net of allowance</w:t>
            </w:r>
          </w:p>
        </w:tc>
        <w:tc>
          <w:tcPr>
            <w:tcW w:w="240" w:type="dxa"/>
            <w:vAlign w:val="bottom"/>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The income tax provision consists of the following: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211,133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(211,133)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the Company has $366,866 of U.S. federal net operating loss carryovers, which do not expire, and no state net operating loss carryovers available to offset future taxable income.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A reconciliation of the federal income tax rate to the Company’s effective tax rate at December 31, 2021 is as follows: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9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Permanent Book/Tax Differences</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(21.49)%</w:t>
            </w:r>
          </w:p>
        </w:tc>
      </w:tr>
      <w:tr>
        <w:trPr>
          <w:trHeight w:val="27"/>
        </w:trPr>
        <w:tc>
          <w:tcPr>
            <w:tcW w:w="99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9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9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Note 11 —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January 10, 2022, the Company filed a registration statement on Form S-4 (the “Form S-4”) with respect to the merger between the Company and SoundHound Inc.</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14, 2022, the Company filed Amendment No. 1 to the Form S-4 to address comments the Company received from the SEC on February 9, 2022.</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 REGISTERED PURSUANT TO SECTION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As of December 31, 2021, the end of the period covered by this Annual Report on Form 10-K, Archimedes Tech Spac Partners Co. (the “Company,” “we,” “us,” or “our”) had four classes of securities registered under Section 12 of the Securities Exchange Act of 1934, as amended (the “Exchange Act”): the Company’s units, subunits, common stock, par value $0.0001 per share, and warrants.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description of the Company’s capital stock and provisions of the Company’s amended and restated certificate of incorporation, bylaws and the Delaware General Corporation Law are summaries and are qualified in their entirety by reference to the Company’s amended and restated certificate of incorporation and bylaws and the text of the Delaware General Corporation Law. Copies of these documents have been filed with the SEC as exhibits to the Annual Report on Form 10-K to which this description has been filed as an exhibit.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100,000,000 shares of common stock, par value $0.0001, and 1,000,000 shares of preferred stock, par value $0.0001. As of the date of this Annual Report on Form 10-K, 17,461,000 shares of common stock and no preferred shares are issued or outstanding. The following description summarizes all of the material terms of our securities. Because it is only a summary, it may not contain all the information that is important to you. For a complete description you should refer to our amended and restated certificate of incorporation and bylaws, which are filed as exhibits to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 and Subunits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units consist of one subunit (consisting of one share of common stock and one-quarter of a warrant) and one-quarter of a warrant. The structure is for two primary reasons:</w:t>
      </w:r>
    </w:p>
    <w:p>
      <w:pPr>
        <w:spacing w:after="0" w:line="170" w:lineRule="exact"/>
        <w:rPr>
          <w:sz w:val="20"/>
          <w:szCs w:val="20"/>
          <w:color w:val="auto"/>
        </w:rPr>
      </w:pPr>
    </w:p>
    <w:p>
      <w:pPr>
        <w:jc w:val="both"/>
        <w:ind w:left="980" w:hanging="324"/>
        <w:spacing w:after="0" w:line="259"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8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Minimize Dilution. This structure will reduce the total number of warrants outstanding, as compared to a structure in which one unit consists of one share and one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unit consists of one subunit and one-quarter of a warrant. Each subunit consists of one share of our common stock and one-quarter of a warrant. Each whole warrant entitles the holder to purchase one share of common stock. Pursuant to the warrant agreement, a warrantholder may exercise its warrants only for a whole number of shares of common stock. This means that only a whole warrant may be exercised at any given time by a warrantholder. No fractional warrants will be issued upon separation of the units or subunits and only whole warrants will trade. Accordingly, unless you purchase a multiple of four units or four subunits, the number of tradeable warrants issuable to you upon separation of the units or subunits will be rounded down to the nearest whole number of warrants.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subunits and warrants comprising the units, but not the shares of common stock and warrants included in the subunits, began to trade separately on April 14, 2021. Holders have the option to continue to hold units or separate their units into the component pieces.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any fractions of a warrant they hold. Accordingly, in order to avoid such a situation, investors that do not intend to transfer the component pieces of the units prior to the consummation of a business combination should continue to hold their securities as a combined unit in multiples of four so as to ensure that no portion of the warrant is lost.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stockholders of record are entitled to one vote for each share held on all matters to be voted on by stockholders. In connection with any vote held to approve our initial business combination, our sponsor, as well as all of our officers and directors, have agreed to vote their respective shares of common stock owned by them immediately prior to our IPO and any shares purchased in our IPO or following the IPO in the open market, including any shares included in subunits acquired in the IPO or in the aftermarket, in favor of the proposed business combination.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solely if a vote is held to approve a business combination, a majority of the outstanding shares of common stock voted are voted in favor of the business combination.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our amended and restated certificate of incorporation, if we do not consummate an initial business combination within 18 months from the closing of our IPO, our corporate existence will cease except for the purposes of winding up our affairs and liquidating. If we are forced to liquidate prior to an initial business combination, our public stockholders are entitled to share ratably in the trust account, based on the amount then held in the trust account. Our sponsor, officers and directors have agreed to waive their rights to participate in any liquidation distribution from the trust account occurring upon our failure to consummate an initial business combination with respect to the founder’s common stock and private subunits. Our sponsor, officers and directors will therefore not participate in any liquidation distribution from the trust account with respect to such shares or subunits. They will, however, participate in any liquidation distribution from the trust account with respect to any subunits acquired in, or following, our IPO.</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stockholders have no conversion, preemptive or other subscription rights and there are no sinking fund or redemption provisions applicable to the shares of common stock, except that public stockholders have the right to sell their subunits to us in a tender offer or have their subunits converted to cash equal to their pro rata share of the trust account in connection with the consummation of our initial business combination. Public stockholders who redeem their subunits into their share of the trust account still have the right to exercise any warrants they still hold outside of such subunit but will forfeit, without the receipt of any additional consideration, the portion of the warrant included in the subunit. Accordingly, an investor may have a disincentive to exercise redemption rights due to the loss of such portion of the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are no shares of preferred stock outstanding. Our amended and restated certificate of incorporation as of the date of hereof authorize the issuance of 1,000,000 shares of preferred stock with such designation, rights and preferences as may be determined from time to time by our board of directors.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a business combination. We may issue some or all of the preferred stock to effect a business combination.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Ther are 6,858,000 warrants currently outstanding. Each whole warrant entitles the registered holder to purchase one share of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private warrants, as well as any warrants underlying additional units we issue to our sponsor, officers, directors or their affiliates in payment of working capital loans made to us, will be identical to the warrants underlying the units except that such warrants will be exercisable for cash or on a cashless basis, at the holder’s option, and will not be redeemable by us, in each case so long as they are still held by our sponsor or its permitted transferees.</w:t>
      </w:r>
    </w:p>
    <w:p>
      <w:pPr>
        <w:spacing w:after="0" w:line="14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may call the warrants for redemption (excluding the private warrants and any warrants underlying additional units issued to our sponsor, initial stockholders, officers, directors or their affiliates in payment of working capital loans made to us), in whole and not in part, at a price of $0.01 per warrant,</w:t>
      </w:r>
    </w:p>
    <w:p>
      <w:pPr>
        <w:spacing w:after="0" w:line="12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3" w:name="page64"/>
    <w:bookmarkEnd w:id="63"/>
    <w:p>
      <w:pPr>
        <w:jc w:val="both"/>
        <w:ind w:right="20" w:firstLine="648"/>
        <w:spacing w:after="0" w:line="286" w:lineRule="auto"/>
        <w:rPr>
          <w:sz w:val="20"/>
          <w:szCs w:val="20"/>
          <w:color w:val="auto"/>
        </w:rPr>
      </w:pPr>
      <w:r>
        <w:rPr>
          <w:rFonts w:ascii="Arial" w:cs="Arial" w:eastAsia="Arial" w:hAnsi="Arial"/>
          <w:sz w:val="17"/>
          <w:szCs w:val="17"/>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if (x) 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for our securities and warrant agent for our warrants is Continental Stock Transfer &amp; Trust Company, 1 State Street, New York, New York 10004.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our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units, subunits and warrants trade separately on Nasdaq under the symbols “ATSPU,” “ATSPT” and “ATSPW,” respectively. The common stock will not trade separately unless and until we consummate an initial business combination.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of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provides that our board of directors be classified into three classes of directors of approximately equal size. As a result, in most circumstances, a person can gain control of our board only by successfully engaging in a proxy contest at two or more annual meetings.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bylaws provide that special meetings of our stockholders may be called only by a majority vote of our board of directors, by our president or by our chairman or by our secretary at the request in writing of stockholders owning a majority of our issued and outstanding capital stock entitled to vote.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w:t>
      </w:r>
    </w:p>
    <w:p>
      <w:pPr>
        <w:jc w:val="both"/>
        <w:spacing w:after="0" w:line="234" w:lineRule="auto"/>
        <w:rPr>
          <w:sz w:val="20"/>
          <w:szCs w:val="20"/>
          <w:color w:val="auto"/>
        </w:rPr>
      </w:pPr>
      <w:r>
        <w:rPr>
          <w:rFonts w:ascii="Arial" w:cs="Arial" w:eastAsia="Arial" w:hAnsi="Arial"/>
          <w:sz w:val="16"/>
          <w:szCs w:val="16"/>
          <w:color w:val="auto"/>
        </w:rPr>
        <w:t>delivered to our principal executive offices not later than the close of business on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scheduled date of the annual meeting of stockholders. In the event that less than 70 days’ notice or prior public disclosure of the date of the annual</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meeting of stockholders is given, a stockholder’s notice shall be timely if delivered to our principal executive offices not later than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day on which public announcement of the date of our annual meeting of stockholders is first made or sent by us.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amended and restated certificate of incorporation will require,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amended and restated certificate of incorporation provide that the exclusive forum provision is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does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provides that our directors and officers will be indemnified by us to the fullest extent authorized by Delaware law as it now exists or may in the future be amended. In addition, our amended and restated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bylaws also permit us to secure insurance on behalf of any officer, director or employee for any liability arising out of his or her actions, regardless of whether Delaware law would permit indemnification. We have purchased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7900" w:type="dxa"/>
            <w:vAlign w:val="bottom"/>
            <w:gridSpan w:val="4"/>
          </w:tcPr>
          <w:p>
            <w:pPr>
              <w:spacing w:after="0"/>
              <w:rPr>
                <w:sz w:val="20"/>
                <w:szCs w:val="20"/>
                <w:color w:val="auto"/>
              </w:rPr>
            </w:pPr>
            <w:r>
              <w:rPr>
                <w:rFonts w:ascii="Arial" w:cs="Arial" w:eastAsia="Arial" w:hAnsi="Arial"/>
                <w:sz w:val="18"/>
                <w:szCs w:val="18"/>
                <w:b w:val="1"/>
                <w:bCs w:val="1"/>
                <w:color w:val="auto"/>
              </w:rPr>
              <w:t>List of Subsidiaries of Archimedes Tech SPAC Partners Co.</w:t>
            </w:r>
          </w:p>
        </w:tc>
      </w:tr>
      <w:tr>
        <w:trPr>
          <w:trHeight w:val="20"/>
        </w:trPr>
        <w:tc>
          <w:tcPr>
            <w:tcW w:w="33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459"/>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21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gridSpan w:val="2"/>
          </w:tcPr>
          <w:p>
            <w:pPr>
              <w:ind w:left="1660"/>
              <w:spacing w:after="0"/>
              <w:rPr>
                <w:sz w:val="20"/>
                <w:szCs w:val="20"/>
                <w:color w:val="auto"/>
              </w:rPr>
            </w:pPr>
            <w:r>
              <w:rPr>
                <w:rFonts w:ascii="Arial" w:cs="Arial" w:eastAsia="Arial" w:hAnsi="Arial"/>
                <w:sz w:val="18"/>
                <w:szCs w:val="18"/>
                <w:b w:val="1"/>
                <w:bCs w:val="1"/>
                <w:color w:val="auto"/>
              </w:rPr>
              <w:t>Jurisdiction of Organization</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ATSPC Merger Sub, Inc.</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Stephen N. Cannon,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Archimedes Tech SPAC Partners Co.;</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2022</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N. Cannon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Long Long,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Archimedes Tech SPAC Partners Co.;</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2022</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Long Long</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Archimedes Tech SPAC Partners Co. (the “Company”) on Form 10-K for the year ended December 31, 2021 as filed with the Securities and Exchange Commission (the “Report”), I, Stephen N. Cannon, Chief Executive Officer of the Company, hereby certify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220" w:firstLine="332"/>
        <w:spacing w:after="0" w:line="51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March 9, 2022</w:t>
      </w:r>
    </w:p>
    <w:p>
      <w:pPr>
        <w:spacing w:after="0" w:line="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N. Cannon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Annual Report of Archimedes Tech SPAC Partners Co. (the “Company”) on Form 10-K for the year ended December 31, 2021 as filed with the Securities and Exchange Commission (the “Report”), I, Long Long, Chief Financial Officer of the Company, hereby certify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220" w:firstLine="332"/>
        <w:spacing w:after="0" w:line="500"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March 9, 2022</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Long Long</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1"/>
    </w:lvl>
    <w:lvl w:ilvl="1">
      <w:lvlJc w:val="left"/>
      <w:lvlText w:val="(%2)"/>
      <w:numFmt w:val="decimal"/>
      <w:start w:val="1"/>
    </w:lvl>
  </w:abstractNum>
  <w:abstractNum w:abstractNumId="13">
    <w:nsid w:val="7C83E458"/>
    <w:multiLevelType w:val="hybridMultilevel"/>
    <w:lvl w:ilvl="0">
      <w:lvlJc w:val="left"/>
      <w:lvlText w:val="%1"/>
      <w:numFmt w:val="decimal"/>
      <w:start w:val="14"/>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74" Type="http://schemas.openxmlformats.org/officeDocument/2006/relationships/image" Target="media/image41.png"/><Relationship Id="rId78" Type="http://schemas.openxmlformats.org/officeDocument/2006/relationships/image" Target="media/image42.png"/><Relationship Id="rId79" Type="http://schemas.openxmlformats.org/officeDocument/2006/relationships/image" Target="media/image43.png"/><Relationship Id="rId80" Type="http://schemas.openxmlformats.org/officeDocument/2006/relationships/image" Target="media/image44.png"/><Relationship Id="rId81" Type="http://schemas.openxmlformats.org/officeDocument/2006/relationships/image" Target="media/image45.png"/><Relationship Id="rId82" Type="http://schemas.openxmlformats.org/officeDocument/2006/relationships/image" Target="media/image46.png"/><Relationship Id="rId83" Type="http://schemas.openxmlformats.org/officeDocument/2006/relationships/image" Target="media/image47.png"/><Relationship Id="rId84" Type="http://schemas.openxmlformats.org/officeDocument/2006/relationships/image" Target="media/image48.png"/><Relationship Id="rId85" Type="http://schemas.openxmlformats.org/officeDocument/2006/relationships/image" Target="media/image49.png"/><Relationship Id="rId86" Type="http://schemas.openxmlformats.org/officeDocument/2006/relationships/image" Target="media/image50.png"/><Relationship Id="rId87" Type="http://schemas.openxmlformats.org/officeDocument/2006/relationships/image" Target="media/image51.png"/><Relationship Id="rId88" Type="http://schemas.openxmlformats.org/officeDocument/2006/relationships/image" Target="media/image52.png"/><Relationship Id="rId89" Type="http://schemas.openxmlformats.org/officeDocument/2006/relationships/image" Target="media/image53.png"/><Relationship Id="rId90" Type="http://schemas.openxmlformats.org/officeDocument/2006/relationships/image" Target="media/image54.png"/><Relationship Id="rId91" Type="http://schemas.openxmlformats.org/officeDocument/2006/relationships/image" Target="media/image55.png"/><Relationship Id="rId92" Type="http://schemas.openxmlformats.org/officeDocument/2006/relationships/image" Target="media/image56.png"/><Relationship Id="rId93" Type="http://schemas.openxmlformats.org/officeDocument/2006/relationships/image" Target="media/image57.png"/><Relationship Id="rId94" Type="http://schemas.openxmlformats.org/officeDocument/2006/relationships/image" Target="media/image58.png"/><Relationship Id="rId95" Type="http://schemas.openxmlformats.org/officeDocument/2006/relationships/image" Target="media/image59.png"/><Relationship Id="rId96" Type="http://schemas.openxmlformats.org/officeDocument/2006/relationships/image" Target="media/image60.png"/><Relationship Id="rId97" Type="http://schemas.openxmlformats.org/officeDocument/2006/relationships/image" Target="media/image61.png"/><Relationship Id="rId98" Type="http://schemas.openxmlformats.org/officeDocument/2006/relationships/image" Target="media/image62.png"/><Relationship Id="rId99" Type="http://schemas.openxmlformats.org/officeDocument/2006/relationships/image" Target="media/image63.png"/><Relationship Id="rId100" Type="http://schemas.openxmlformats.org/officeDocument/2006/relationships/image" Target="media/image64.png"/><Relationship Id="rId101" Type="http://schemas.openxmlformats.org/officeDocument/2006/relationships/image" Target="media/image65.png"/><Relationship Id="rId102" Type="http://schemas.openxmlformats.org/officeDocument/2006/relationships/image" Target="media/image66.png"/><Relationship Id="rId103" Type="http://schemas.openxmlformats.org/officeDocument/2006/relationships/image" Target="media/image67.png"/><Relationship Id="rId104" Type="http://schemas.openxmlformats.org/officeDocument/2006/relationships/image" Target="media/image68.png"/><Relationship Id="rId105" Type="http://schemas.openxmlformats.org/officeDocument/2006/relationships/image" Target="media/image69.png"/><Relationship Id="rId106" Type="http://schemas.openxmlformats.org/officeDocument/2006/relationships/image" Target="media/image70.png"/><Relationship Id="rId107" Type="http://schemas.openxmlformats.org/officeDocument/2006/relationships/image" Target="media/image71.png"/><Relationship Id="rId108" Type="http://schemas.openxmlformats.org/officeDocument/2006/relationships/image" Target="media/image72.png"/><Relationship Id="rId109" Type="http://schemas.openxmlformats.org/officeDocument/2006/relationships/image" Target="media/image73.png"/><Relationship Id="rId110" Type="http://schemas.openxmlformats.org/officeDocument/2006/relationships/image" Target="media/image74.png"/><Relationship Id="rId111"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14" Type="http://schemas.openxmlformats.org/officeDocument/2006/relationships/image" Target="media/image78.png"/><Relationship Id="rId115" Type="http://schemas.openxmlformats.org/officeDocument/2006/relationships/image" Target="media/image79.png"/><Relationship Id="rId116" Type="http://schemas.openxmlformats.org/officeDocument/2006/relationships/image" Target="media/image80.png"/><Relationship Id="rId48" Type="http://schemas.openxmlformats.org/officeDocument/2006/relationships/hyperlink" Target="http://www.sec.gov/Archives/edgar/data/1840856/000121390021015672/ea137760ex1-1_archimedes.htm" TargetMode="External"/><Relationship Id="rId49" Type="http://schemas.openxmlformats.org/officeDocument/2006/relationships/hyperlink" Target="http://www.sec.gov/Archives/edgar/data/1840856/000121390021059752/ea150505ex2-1_archimedes.htm" TargetMode="External"/><Relationship Id="rId50" Type="http://schemas.openxmlformats.org/officeDocument/2006/relationships/hyperlink" Target="http://www.sec.gov/Archives/edgar/data/1840856/000121390021009092/fs12021ex3-1_archimedes.htm" TargetMode="External"/><Relationship Id="rId51" Type="http://schemas.openxmlformats.org/officeDocument/2006/relationships/hyperlink" Target="http://www.sec.gov/Archives/edgar/data/1840856/000121390021015672/ea137760ex3-1_archimedes.htm" TargetMode="External"/><Relationship Id="rId52" Type="http://schemas.openxmlformats.org/officeDocument/2006/relationships/hyperlink" Target="http://www.sec.gov/Archives/edgar/data/1840856/000121390021009092/fs12021ex3-3_archimedes.htm" TargetMode="External"/><Relationship Id="rId53" Type="http://schemas.openxmlformats.org/officeDocument/2006/relationships/hyperlink" Target="http://www.sec.gov/Archives/edgar/data/1840856/000121390021012440/fs12021a1ex4-1_archimedes.htm" TargetMode="External"/><Relationship Id="rId54" Type="http://schemas.openxmlformats.org/officeDocument/2006/relationships/hyperlink" Target="http://www.sec.gov/Archives/edgar/data/1840856/000121390021009092/fs12021ex4-2_archimedes.htm" TargetMode="External"/><Relationship Id="rId55" Type="http://schemas.openxmlformats.org/officeDocument/2006/relationships/hyperlink" Target="http://www.sec.gov/Archives/edgar/data/1840856/000121390021012440/fs12021a1ex4-3_archimedes.htm" TargetMode="External"/><Relationship Id="rId56" Type="http://schemas.openxmlformats.org/officeDocument/2006/relationships/hyperlink" Target="http://www.sec.gov/Archives/edgar/data/1840856/000121390021009092/fs12021ex4-4_archimedes.htm" TargetMode="External"/><Relationship Id="rId57" Type="http://schemas.openxmlformats.org/officeDocument/2006/relationships/hyperlink" Target="https://www.sec.gov/Archives/edgar/data/1840856/000121390021015672/ea137760ex4-1_archimedes.htm" TargetMode="External"/><Relationship Id="rId58" Type="http://schemas.openxmlformats.org/officeDocument/2006/relationships/hyperlink" Target="http://www.sec.gov/Archives/edgar/data/1840856/000121390021015672/ea137760ex10-1_archimedes.htm" TargetMode="External"/><Relationship Id="rId59" Type="http://schemas.openxmlformats.org/officeDocument/2006/relationships/hyperlink" Target="http://www.sec.gov/Archives/edgar/data/1840856/000121390021015672/ea137760ex10-2_archimedes.htm" TargetMode="External"/><Relationship Id="rId60" Type="http://schemas.openxmlformats.org/officeDocument/2006/relationships/hyperlink" Target="http://www.sec.gov/Archives/edgar/data/1840856/000121390021015672/ea137760ex10-3_archimedes.htm" TargetMode="External"/><Relationship Id="rId61" Type="http://schemas.openxmlformats.org/officeDocument/2006/relationships/hyperlink" Target="http://www.sec.gov/Archives/edgar/data/1840856/000121390021015672/ea137760ex10-4_archimedes.htm" TargetMode="External"/><Relationship Id="rId62" Type="http://schemas.openxmlformats.org/officeDocument/2006/relationships/hyperlink" Target="http://www.sec.gov/Archives/edgar/data/1840856/000121390021015672/ea137760ex10-5_archimedes.htm" TargetMode="External"/><Relationship Id="rId63" Type="http://schemas.openxmlformats.org/officeDocument/2006/relationships/hyperlink" Target="http://www.sec.gov/Archives/edgar/data/1840856/000121390021015672/ea137760ex10-6_archimedes.htm" TargetMode="External"/><Relationship Id="rId64" Type="http://schemas.openxmlformats.org/officeDocument/2006/relationships/hyperlink" Target="http://www.sec.gov/Archives/edgar/data/1840856/000121390021015672/ea137760ex10-7_archimedes.htm" TargetMode="External"/><Relationship Id="rId65" Type="http://schemas.openxmlformats.org/officeDocument/2006/relationships/hyperlink" Target="http://www.sec.gov/Archives/edgar/data/1840856/000121390021015672/ea137760ex10-8_archimedes.htm" TargetMode="External"/><Relationship Id="rId66" Type="http://schemas.openxmlformats.org/officeDocument/2006/relationships/hyperlink" Target="http://www.sec.gov/Archives/edgar/data/1840856/000121390022001443/fs42021_archimedestech.htm#T601" TargetMode="External"/><Relationship Id="rId67" Type="http://schemas.openxmlformats.org/officeDocument/2006/relationships/hyperlink" Target="http://www.sec.gov/Archives/edgar/data/1840856/000121390022001443/fs42021_archimedestech.htm#T602" TargetMode="External"/><Relationship Id="rId68" Type="http://schemas.openxmlformats.org/officeDocument/2006/relationships/hyperlink" Target="http://www.sec.gov/Archives/edgar/data/1840856/000121390021059752/ea150505ex10-1_archimedes.htm" TargetMode="External"/><Relationship Id="rId69" Type="http://schemas.openxmlformats.org/officeDocument/2006/relationships/hyperlink" Target="http://www.sec.gov/Archives/edgar/data/1840856/000121390021059752/ea150505ex10-2_archimedes.htm" TargetMode="External"/><Relationship Id="rId70" Type="http://schemas.openxmlformats.org/officeDocument/2006/relationships/hyperlink" Target="http://www.sec.gov/Archives/edgar/data/1840856/000121390021059752/ea150505ex10-3_archimedes.htm" TargetMode="External"/><Relationship Id="rId71" Type="http://schemas.openxmlformats.org/officeDocument/2006/relationships/hyperlink" Target="http://www.sec.gov/Archives/edgar/data/1840856/000121390021059752/ea150505ex10-4_archimedes.htm" TargetMode="External"/><Relationship Id="rId72" Type="http://schemas.openxmlformats.org/officeDocument/2006/relationships/hyperlink" Target="http://www.sec.gov/Archives/edgar/data/1840856/000121390021059752/ea150505ex10-5_archimedes.htm" TargetMode="External"/><Relationship Id="rId73" Type="http://schemas.openxmlformats.org/officeDocument/2006/relationships/hyperlink" Target="http://www.sec.gov/Archives/edgar/data/1840856/000121390021009092/fs12021ex14_archimedes.htm" TargetMode="External"/><Relationship Id="rId75" Type="http://schemas.openxmlformats.org/officeDocument/2006/relationships/hyperlink" Target="http://www.sec.gov/Archives/edgar/data/1840856/000121390021009092/fs12021ex99-1_archimedes.htm" TargetMode="External"/><Relationship Id="rId76" Type="http://schemas.openxmlformats.org/officeDocument/2006/relationships/hyperlink" Target="http://www.sec.gov/Archives/edgar/data/1840856/000121390021009092/fs12021ex99-3_archimedes.htm" TargetMode="External"/><Relationship Id="rId77" Type="http://schemas.openxmlformats.org/officeDocument/2006/relationships/hyperlink" Target="http://www.sec.gov/Archives/edgar/data/1840856/000121390021009092/fs12021ex99-2_archimed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2022-03-09T16:09:12Z</dcterms:created>
  <dcterms:modified xsi:type="dcterms:W3CDTF">2022-03-09T16:09:12Z</dcterms:modified>
</cp:coreProperties>
</file>