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jc w:val="center"/>
        <w:ind w:left="1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8"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-7620</wp:posOffset>
            </wp:positionV>
            <wp:extent cx="137160"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96850"/>
                    </a:xfrm>
                    <a:prstGeom prst="rect">
                      <a:avLst/>
                    </a:prstGeom>
                    <a:noFill/>
                  </pic:spPr>
                </pic:pic>
              </a:graphicData>
            </a:graphic>
          </wp:anchor>
        </w:drawing>
      </w:r>
    </w:p>
    <w:p>
      <w:pPr>
        <w:ind w:left="360" w:right="12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440" w:type="dxa"/>
            <w:vAlign w:val="bottom"/>
          </w:tcPr>
          <w:p>
            <w:pPr>
              <w:jc w:val="center"/>
              <w:ind w:right="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jc w:val="center"/>
              <w:ind w:right="32"/>
              <w:spacing w:after="0" w:line="148"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440" w:type="dxa"/>
            <w:vAlign w:val="bottom"/>
            <w:vMerge w:val="restart"/>
          </w:tcPr>
          <w:p>
            <w:pPr>
              <w:jc w:val="center"/>
              <w:ind w:right="3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440" w:type="dxa"/>
            <w:vAlign w:val="bottom"/>
            <w:vMerge w:val="restart"/>
          </w:tcPr>
          <w:p>
            <w:pPr>
              <w:jc w:val="center"/>
              <w:ind w:right="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5349240</wp:posOffset>
            </wp:positionH>
            <wp:positionV relativeFrom="paragraph">
              <wp:posOffset>-655955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-655955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20320</wp:posOffset>
            </wp:positionV>
            <wp:extent cx="6987540" cy="8507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85070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00" w:space="220"/>
            <w:col w:w="866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Global Catalyst Partners III L P</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42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3903 LITTLE VALLEY RD</w:t>
            </w:r>
          </w:p>
        </w:tc>
        <w:tc>
          <w:tcPr>
            <w:tcW w:w="14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SUNOL</w:t>
            </w:r>
          </w:p>
        </w:tc>
        <w:tc>
          <w:tcPr>
            <w:tcW w:w="1300" w:type="dxa"/>
            <w:vAlign w:val="bottom"/>
          </w:tcPr>
          <w:p>
            <w:pPr>
              <w:ind w:left="320"/>
              <w:spacing w:after="0"/>
              <w:rPr>
                <w:sz w:val="20"/>
                <w:szCs w:val="20"/>
                <w:color w:val="auto"/>
              </w:rPr>
            </w:pPr>
            <w:r>
              <w:rPr>
                <w:rFonts w:ascii="Arial" w:cs="Arial" w:eastAsia="Arial" w:hAnsi="Arial"/>
                <w:sz w:val="18"/>
                <w:szCs w:val="18"/>
                <w:color w:val="0000FF"/>
              </w:rPr>
              <w:t>CA</w:t>
            </w:r>
          </w:p>
        </w:tc>
        <w:tc>
          <w:tcPr>
            <w:tcW w:w="1420" w:type="dxa"/>
            <w:vAlign w:val="bottom"/>
          </w:tcPr>
          <w:p>
            <w:pPr>
              <w:ind w:left="240"/>
              <w:spacing w:after="0"/>
              <w:rPr>
                <w:sz w:val="20"/>
                <w:szCs w:val="20"/>
                <w:color w:val="auto"/>
              </w:rPr>
            </w:pPr>
            <w:r>
              <w:rPr>
                <w:rFonts w:ascii="Arial" w:cs="Arial" w:eastAsia="Arial" w:hAnsi="Arial"/>
                <w:sz w:val="18"/>
                <w:szCs w:val="18"/>
                <w:color w:val="0000FF"/>
              </w:rPr>
              <w:t>94586</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42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color w:val="auto"/>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400" w:type="dxa"/>
            <w:vAlign w:val="bottom"/>
            <w:gridSpan w:val="3"/>
          </w:tcPr>
          <w:p>
            <w:pPr>
              <w:ind w:left="80"/>
              <w:spacing w:after="0"/>
              <w:rPr>
                <w:sz w:val="20"/>
                <w:szCs w:val="20"/>
                <w:color w:val="auto"/>
              </w:rPr>
            </w:pPr>
            <w:r>
              <w:rPr>
                <w:rFonts w:ascii="Arial" w:cs="Arial" w:eastAsia="Arial" w:hAnsi="Arial"/>
                <w:sz w:val="18"/>
                <w:szCs w:val="18"/>
                <w:color w:val="0000FF"/>
              </w:rPr>
              <w:t>07/10/2023</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4"/>
          <w:szCs w:val="24"/>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 w:type="dxa"/>
            <w:vAlign w:val="bottom"/>
          </w:tcPr>
          <w:p>
            <w:pPr>
              <w:spacing w:after="0"/>
              <w:rPr>
                <w:sz w:val="14"/>
                <w:szCs w:val="14"/>
                <w:color w:val="auto"/>
              </w:rPr>
            </w:pPr>
          </w:p>
        </w:tc>
        <w:tc>
          <w:tcPr>
            <w:tcW w:w="134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3"/>
          </w:tcPr>
          <w:p>
            <w:pPr>
              <w:ind w:left="24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32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3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480" w:type="dxa"/>
            <w:vAlign w:val="bottom"/>
            <w:tcBorders>
              <w:bottom w:val="single" w:sz="8" w:color="2C2C2C"/>
            </w:tcBorders>
            <w:gridSpan w:val="3"/>
          </w:tcPr>
          <w:p>
            <w:pPr>
              <w:ind w:left="480"/>
              <w:spacing w:after="0"/>
              <w:rPr>
                <w:sz w:val="20"/>
                <w:szCs w:val="20"/>
                <w:color w:val="auto"/>
              </w:rPr>
            </w:pPr>
            <w:r>
              <w:rPr>
                <w:rFonts w:ascii="Arial" w:cs="Arial" w:eastAsia="Arial" w:hAnsi="Arial"/>
                <w:sz w:val="18"/>
                <w:szCs w:val="18"/>
                <w:color w:val="0000FF"/>
              </w:rPr>
              <w:t>07/10/2023</w:t>
            </w: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260"/>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(1)</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87"/>
              </w:rPr>
              <w:t>5,000,000</w:t>
            </w:r>
          </w:p>
        </w:tc>
        <w:tc>
          <w:tcPr>
            <w:tcW w:w="60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11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15,150,565</w:t>
            </w:r>
          </w:p>
        </w:tc>
        <w:tc>
          <w:tcPr>
            <w:tcW w:w="92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20" w:type="dxa"/>
            <w:vAlign w:val="bottom"/>
            <w:tcBorders>
              <w:top w:val="single" w:sz="8" w:color="2C2C2C"/>
            </w:tcBorders>
            <w:gridSpan w:val="16"/>
          </w:tcPr>
          <w:p>
            <w:pPr>
              <w:jc w:val="center"/>
              <w:ind w:left="1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80" w:type="dxa"/>
            <w:vAlign w:val="bottom"/>
            <w:gridSpan w:val="12"/>
          </w:tcPr>
          <w:p>
            <w:pPr>
              <w:jc w:val="center"/>
              <w:ind w:left="1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6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Conversion</w:t>
            </w:r>
          </w:p>
        </w:tc>
        <w:tc>
          <w:tcPr>
            <w:tcW w:w="12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 Exercise</w:t>
            </w:r>
          </w:p>
        </w:tc>
        <w:tc>
          <w:tcPr>
            <w:tcW w:w="12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Price of</w:t>
            </w:r>
          </w:p>
        </w:tc>
        <w:tc>
          <w:tcPr>
            <w:tcW w:w="120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gridSpan w:val="2"/>
          </w:tcPr>
          <w:p>
            <w:pPr>
              <w:ind w:left="3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6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Global Catalyst Partners III L P</w:t>
              </w:r>
            </w:hyperlink>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auto"/>
              </w:rPr>
              <w:t>(Middle)</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0000FF"/>
              </w:rPr>
              <w:t>3903 LITTLE VALLEY RD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8"/>
                <w:szCs w:val="18"/>
                <w:color w:val="0000FF"/>
                <w:w w:val="99"/>
              </w:rPr>
              <w:t>SUNOL</w:t>
            </w:r>
          </w:p>
        </w:tc>
        <w:tc>
          <w:tcPr>
            <w:tcW w:w="74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CA</w:t>
            </w:r>
          </w:p>
        </w:tc>
        <w:tc>
          <w:tcPr>
            <w:tcW w:w="1100" w:type="dxa"/>
            <w:vAlign w:val="bottom"/>
            <w:gridSpan w:val="2"/>
          </w:tcPr>
          <w:p>
            <w:pPr>
              <w:ind w:left="220"/>
              <w:spacing w:after="0"/>
              <w:rPr>
                <w:sz w:val="20"/>
                <w:szCs w:val="20"/>
                <w:color w:val="auto"/>
              </w:rPr>
            </w:pPr>
            <w:r>
              <w:rPr>
                <w:rFonts w:ascii="Arial" w:cs="Arial" w:eastAsia="Arial" w:hAnsi="Arial"/>
                <w:sz w:val="18"/>
                <w:szCs w:val="18"/>
                <w:color w:val="0000FF"/>
              </w:rPr>
              <w:t>94586</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74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680" w:type="dxa"/>
            <w:vAlign w:val="bottom"/>
            <w:gridSpan w:val="4"/>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80" w:type="dxa"/>
            <w:vAlign w:val="bottom"/>
            <w:gridSpan w:val="7"/>
          </w:tcPr>
          <w:p>
            <w:pPr>
              <w:spacing w:after="0" w:line="224" w:lineRule="exact"/>
              <w:rPr>
                <w:rFonts w:ascii="Arial" w:cs="Arial" w:eastAsia="Arial" w:hAnsi="Arial"/>
                <w:sz w:val="22"/>
                <w:szCs w:val="22"/>
                <w:color w:val="0000EE"/>
                <w:w w:val="91"/>
              </w:rPr>
            </w:pPr>
            <w:hyperlink r:id="rId14">
              <w:r>
                <w:rPr>
                  <w:rFonts w:ascii="Arial" w:cs="Arial" w:eastAsia="Arial" w:hAnsi="Arial"/>
                  <w:sz w:val="22"/>
                  <w:szCs w:val="22"/>
                  <w:color w:val="0000EE"/>
                  <w:w w:val="91"/>
                </w:rPr>
                <w:t>Global Catalyst Venture Management III, LLC</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auto"/>
              </w:rPr>
              <w:t>(Middle)</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0000FF"/>
              </w:rPr>
              <w:t>3903 LITTLE VALLEY RD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8"/>
                <w:szCs w:val="18"/>
                <w:color w:val="0000FF"/>
                <w:w w:val="99"/>
              </w:rPr>
              <w:t>SUNOL</w:t>
            </w:r>
          </w:p>
        </w:tc>
        <w:tc>
          <w:tcPr>
            <w:tcW w:w="74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CA</w:t>
            </w:r>
          </w:p>
        </w:tc>
        <w:tc>
          <w:tcPr>
            <w:tcW w:w="1100" w:type="dxa"/>
            <w:vAlign w:val="bottom"/>
            <w:gridSpan w:val="2"/>
          </w:tcPr>
          <w:p>
            <w:pPr>
              <w:ind w:left="220"/>
              <w:spacing w:after="0"/>
              <w:rPr>
                <w:sz w:val="20"/>
                <w:szCs w:val="20"/>
                <w:color w:val="auto"/>
              </w:rPr>
            </w:pPr>
            <w:r>
              <w:rPr>
                <w:rFonts w:ascii="Arial" w:cs="Arial" w:eastAsia="Arial" w:hAnsi="Arial"/>
                <w:sz w:val="18"/>
                <w:szCs w:val="18"/>
                <w:color w:val="0000FF"/>
              </w:rPr>
              <w:t>94586</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74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-5213985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40" w:right="2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July 10, 2023, Global Catalyst Partners III, L.P. ("GCP III") distributed in-kind, without consideration, 5,000,000 shares of Class A Common Stock pro-rata to its partners, including its limited partners and its general partner, Global Catalyst Venture Management III, LLC ("GCVM III"), in accordance with the exemptions under Rule 16a-9 and Rule 16a-13 of the Securities Exchange Act of 1934, as amended. Upon receipt by GCVM III of its pro rata interest of the distribution (667,141 shares of Class A Common Stock), GCVM III distributed in-kind, without consideration, all such shares pro-rata to its members in accordance with the exemptions under Rule 16a-9 and Rule 16a-13 of the Securities Exchange Act of 1934, as amended.</w:t>
      </w:r>
    </w:p>
    <w:p>
      <w:pPr>
        <w:spacing w:after="0" w:line="9" w:lineRule="exact"/>
        <w:rPr>
          <w:rFonts w:ascii="Arial" w:cs="Arial" w:eastAsia="Arial" w:hAnsi="Arial"/>
          <w:sz w:val="12"/>
          <w:szCs w:val="12"/>
          <w:color w:val="008000"/>
        </w:rPr>
      </w:pPr>
    </w:p>
    <w:p>
      <w:pPr>
        <w:jc w:val="both"/>
        <w:ind w:left="40" w:right="340" w:firstLine="9"/>
        <w:spacing w:after="0" w:line="31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directly by GCP III, of which GCVM III is the general partner. GCVM III disclaims beneficial ownership of such shares for purposes of Section 16 of the Securities Exchange Act of 1934, as amended ("Section 16"), except to the extent of its pecuniary interest therein, if any, and this report shall not be deemed an admission that such shares are beneficially owned by it for</w:t>
      </w:r>
    </w:p>
    <w:p>
      <w:pPr>
        <w:sectPr>
          <w:pgSz w:w="11900" w:h="16838" w:orient="portrait"/>
          <w:cols w:equalWidth="0" w:num="1">
            <w:col w:w="11080"/>
          </w:cols>
          <w:pgMar w:left="460" w:top="22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color w:val="008000"/>
        </w:rPr>
        <w:t>Section 16 or any other purpose.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0320"/>
          </w:cols>
          <w:pgMar w:left="500" w:top="129" w:right="1079" w:bottom="1440" w:gutter="0" w:footer="0" w:header="0"/>
        </w:sectPr>
      </w:pPr>
    </w:p>
    <w:p>
      <w:pPr>
        <w:spacing w:after="0" w:line="14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Global Catalyst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0</wp:posOffset>
            </wp:positionV>
            <wp:extent cx="12585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L.P., By: Global Catalyst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156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11569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Venture Management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24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2458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846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/s/ Kamran Elahian,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8896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88963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8585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85852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Global Catalyst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1070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07061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Management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39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Kamran Elahian,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363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3634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778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5"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0000FF"/>
        </w:rPr>
        <w:t>07/12/2023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5"/>
          <w:szCs w:val="15"/>
          <w:color w:val="0000FF"/>
        </w:rPr>
        <w:t>07/12/2023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660" w:space="80"/>
            <w:col w:w="1580"/>
          </w:cols>
          <w:pgMar w:left="500" w:top="129" w:right="1079" w:bottom="1440" w:gutter="0" w:footer="0" w:header="0"/>
          <w:type w:val="continuous"/>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0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500" w:top="129" w:right="10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12" Type="http://schemas.openxmlformats.org/officeDocument/2006/relationships/hyperlink" Target="http://www.sec.gov/cgi-bin/browse-edgar?action=getcompany&amp;CIK=0001323582" TargetMode="External"/><Relationship Id="rId13" Type="http://schemas.openxmlformats.org/officeDocument/2006/relationships/hyperlink" Target="http://www.sec.gov/cgi-bin/browse-edgar?action=getcompany&amp;CIK=0001840856" TargetMode="External"/><Relationship Id="rId14" Type="http://schemas.openxmlformats.org/officeDocument/2006/relationships/hyperlink" Target="http://www.sec.gov/cgi-bin/browse-edgar?action=getcompany&amp;CIK=00019272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2023-07-12T15:22:34Z</dcterms:created>
  <dcterms:modified xsi:type="dcterms:W3CDTF">2023-07-12T15:22:34Z</dcterms:modified>
</cp:coreProperties>
</file>