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156845</wp:posOffset>
            </wp:positionV>
            <wp:extent cx="2194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171450</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SOUNDHOUND AI,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Delaware</w:t>
            </w:r>
          </w:p>
        </w:tc>
        <w:tc>
          <w:tcPr>
            <w:tcW w:w="13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001-40193</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85-1286799</w:t>
            </w:r>
          </w:p>
        </w:tc>
      </w:tr>
      <w:tr>
        <w:trPr>
          <w:trHeight w:val="195"/>
        </w:trPr>
        <w:tc>
          <w:tcPr>
            <w:tcW w:w="4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8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of incorporation)</w:t>
            </w:r>
          </w:p>
        </w:tc>
        <w:tc>
          <w:tcPr>
            <w:tcW w:w="2500" w:type="dxa"/>
            <w:vAlign w:val="bottom"/>
            <w:gridSpan w:val="4"/>
          </w:tcPr>
          <w:p>
            <w:pPr>
              <w:jc w:val="center"/>
              <w:ind w:right="540"/>
              <w:spacing w:after="0"/>
              <w:rPr>
                <w:sz w:val="20"/>
                <w:szCs w:val="20"/>
                <w:color w:val="auto"/>
              </w:rPr>
            </w:pPr>
            <w:r>
              <w:rPr>
                <w:rFonts w:ascii="Arial" w:cs="Arial" w:eastAsia="Arial" w:hAnsi="Arial"/>
                <w:sz w:val="18"/>
                <w:szCs w:val="18"/>
                <w:color w:val="auto"/>
                <w:w w:val="91"/>
              </w:rPr>
              <w:t>Number)</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4820" w:type="dxa"/>
            <w:vAlign w:val="bottom"/>
            <w:gridSpan w:val="3"/>
          </w:tcPr>
          <w:p>
            <w:pPr>
              <w:jc w:val="center"/>
              <w:ind w:left="1190"/>
              <w:spacing w:after="0"/>
              <w:rPr>
                <w:sz w:val="20"/>
                <w:szCs w:val="20"/>
                <w:color w:val="auto"/>
              </w:rPr>
            </w:pPr>
            <w:r>
              <w:rPr>
                <w:rFonts w:ascii="Arial" w:cs="Arial" w:eastAsia="Arial" w:hAnsi="Arial"/>
                <w:sz w:val="18"/>
                <w:szCs w:val="18"/>
                <w:b w:val="1"/>
                <w:bCs w:val="1"/>
                <w:color w:val="auto"/>
                <w:w w:val="88"/>
              </w:rPr>
              <w:t>5400 Betsy Ross Drive</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4"/>
        </w:trPr>
        <w:tc>
          <w:tcPr>
            <w:tcW w:w="482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w w:val="94"/>
              </w:rPr>
              <w:t>Santa Clara, CA</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jc w:val="right"/>
              <w:ind w:right="2210"/>
              <w:spacing w:after="0"/>
              <w:rPr>
                <w:sz w:val="20"/>
                <w:szCs w:val="20"/>
                <w:color w:val="auto"/>
              </w:rPr>
            </w:pPr>
            <w:r>
              <w:rPr>
                <w:rFonts w:ascii="Arial" w:cs="Arial" w:eastAsia="Arial" w:hAnsi="Arial"/>
                <w:sz w:val="18"/>
                <w:szCs w:val="18"/>
                <w:b w:val="1"/>
                <w:bCs w:val="1"/>
                <w:color w:val="auto"/>
              </w:rPr>
              <w:t>95054</w:t>
            </w:r>
          </w:p>
        </w:tc>
      </w:tr>
      <w:tr>
        <w:trPr>
          <w:trHeight w:val="224"/>
        </w:trPr>
        <w:tc>
          <w:tcPr>
            <w:tcW w:w="4820" w:type="dxa"/>
            <w:vAlign w:val="bottom"/>
            <w:gridSpan w:val="3"/>
          </w:tcPr>
          <w:p>
            <w:pPr>
              <w:jc w:val="center"/>
              <w:ind w:left="119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jc w:val="center"/>
              <w:ind w:right="1030"/>
              <w:spacing w:after="0"/>
              <w:rPr>
                <w:sz w:val="20"/>
                <w:szCs w:val="20"/>
                <w:color w:val="auto"/>
              </w:rPr>
            </w:pPr>
            <w:r>
              <w:rPr>
                <w:rFonts w:ascii="Arial" w:cs="Arial" w:eastAsia="Arial" w:hAnsi="Arial"/>
                <w:sz w:val="18"/>
                <w:szCs w:val="18"/>
                <w:color w:val="auto"/>
                <w:w w:val="94"/>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(408) 441-3200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178435</wp:posOffset>
            </wp:positionV>
            <wp:extent cx="219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SOUN</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6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Warrants, each exercisable for one share of Class A Common</w:t>
            </w:r>
          </w:p>
        </w:tc>
        <w:tc>
          <w:tcPr>
            <w:tcW w:w="29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SOUNW</w:t>
            </w:r>
          </w:p>
        </w:tc>
        <w:tc>
          <w:tcPr>
            <w:tcW w:w="37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 at an exercise price of $11.50 per share, subject to</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adjustment</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11, 2022, SoundHound AI, Inc. issued a press release announcing financial results and operational highlights for the second quarter ended June 30, 2022. A copy of the press release is furnished as Exhibit 99.1 to this current report on Form 8-K.</w:t>
      </w:r>
    </w:p>
    <w:p>
      <w:pPr>
        <w:spacing w:after="0" w:line="166"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966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r>
      <w:tr>
        <w:trPr>
          <w:trHeight w:val="169"/>
        </w:trPr>
        <w:tc>
          <w:tcPr>
            <w:tcW w:w="158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99.1</w:t>
            </w:r>
          </w:p>
        </w:tc>
        <w:tc>
          <w:tcPr>
            <w:tcW w:w="9660" w:type="dxa"/>
            <w:vAlign w:val="bottom"/>
            <w:gridSpan w:val="3"/>
            <w:shd w:val="clear" w:color="auto" w:fill="CCEEFF"/>
          </w:tcPr>
          <w:p>
            <w:pPr>
              <w:ind w:left="120"/>
              <w:spacing w:after="0" w:line="169" w:lineRule="exact"/>
              <w:rPr>
                <w:sz w:val="20"/>
                <w:szCs w:val="20"/>
                <w:color w:val="auto"/>
              </w:rPr>
            </w:pPr>
            <w:r>
              <w:rPr>
                <w:rFonts w:ascii="Arial" w:cs="Arial" w:eastAsia="Arial" w:hAnsi="Arial"/>
                <w:sz w:val="18"/>
                <w:szCs w:val="18"/>
                <w:color w:val="0000EE"/>
              </w:rPr>
              <w:t>Press Release, dated August 11, 2022</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104</w:t>
            </w:r>
          </w:p>
        </w:tc>
        <w:tc>
          <w:tcPr>
            <w:tcW w:w="9660" w:type="dxa"/>
            <w:vAlign w:val="bottom"/>
            <w:gridSpan w:val="3"/>
          </w:tcPr>
          <w:p>
            <w:pPr>
              <w:ind w:left="12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560"/>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gridSpan w:val="3"/>
          </w:tcPr>
          <w:p>
            <w:pPr>
              <w:jc w:val="right"/>
              <w:ind w:right="5560"/>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August 11, 2022</w:t>
      </w:r>
      <w:r>
        <w:rPr>
          <w:sz w:val="20"/>
          <w:szCs w:val="20"/>
          <w:color w:val="auto"/>
        </w:rPr>
        <w:tab/>
      </w:r>
      <w:r>
        <w:rPr>
          <w:rFonts w:ascii="Arial" w:cs="Arial" w:eastAsia="Arial" w:hAnsi="Arial"/>
          <w:sz w:val="16"/>
          <w:szCs w:val="16"/>
          <w:color w:val="auto"/>
        </w:rPr>
        <w:t>SoundHound AI, Inc.</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Keyvan Mohajer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097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SoundHound AI, Inc. Announces Second Quarter Financial Results With $283 Million In Cumulative Bookings Backlog, Up More Than 3x Year-Over-Year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SANTA CLARA, Calif.--(</w:t>
      </w:r>
      <w:r>
        <w:rPr>
          <w:rFonts w:ascii="Arial" w:cs="Arial" w:eastAsia="Arial" w:hAnsi="Arial"/>
          <w:sz w:val="18"/>
          <w:szCs w:val="18"/>
          <w:color w:val="auto"/>
          <w:highlight w:val="white"/>
        </w:rPr>
        <w:t>BUSINESS WIRE</w:t>
      </w:r>
      <w:r>
        <w:rPr>
          <w:rFonts w:ascii="Arial" w:cs="Arial" w:eastAsia="Arial" w:hAnsi="Arial"/>
          <w:sz w:val="18"/>
          <w:szCs w:val="18"/>
          <w:color w:val="auto"/>
        </w:rPr>
        <w:t>)--SoundHound AI, Inc. (Nasdaq: SOUN), a global leader in voice artificial intelligence, today reported its financial results for the three months ended June 30,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delighted to have kicked off our first quarter as a publicly listed company with strong business momentum. We have seen significant growth in bookings, user queries, customers, and new product launches,” said Keyvan Mohajer, Co-Founder and CEO of SoundHound. “We believe conversational voice AI is the next major disruption in computing. Our technological breakthroughs put us right at the forefront of this massive opportunity to voice enable billions of devices and services, and create a new monetization ecosystem.”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Cumulative bookings backlog increased 207% year-over-year, marking the third straight quarter of triple-digit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Monthly queries increased 3x since the start of 2021 and more than doubled year over year</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revenues were $6.2 million, up 43% quarter-over-quarter, down year-over-year, although up 56% when excluding prior year one-time revenue impact derived from a customer upon the conclusion of a professional services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several new and expanded relationships including Square, Hyundai, Stellantis and LG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first-of-its-kind voice ordering solution SoundHound for Restaurants with strong initial demand</w:t>
      </w:r>
    </w:p>
    <w:p>
      <w:pPr>
        <w:spacing w:after="0" w:line="23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Commenced trading on NASDAQ on April 28</w:t>
      </w:r>
      <w:r>
        <w:rPr>
          <w:rFonts w:ascii="Arial" w:cs="Arial" w:eastAsia="Arial" w:hAnsi="Arial"/>
          <w:sz w:val="29"/>
          <w:szCs w:val="29"/>
          <w:color w:val="auto"/>
          <w:vertAlign w:val="superscript"/>
        </w:rPr>
        <w:t>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-1525905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132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broader macroeconomic volatility, our Q2 results demonstrate our accelerating growth,” said Nitesh Sharan, CFO of SoundHound. “We are driving targeted investments in sales, marketing and technology, disrupting legacy providers while concurrently scaling new opportunities. The combination of our unique ecosystem strategy and superior technology is category defining.”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432"/>
        </w:trPr>
        <w:tc>
          <w:tcPr>
            <w:tcW w:w="7320" w:type="dxa"/>
            <w:vAlign w:val="bottom"/>
            <w:shd w:val="clear" w:color="auto" w:fill="FEFEFE"/>
          </w:tcPr>
          <w:p>
            <w:pPr>
              <w:spacing w:after="0"/>
              <w:rPr>
                <w:sz w:val="20"/>
                <w:szCs w:val="20"/>
                <w:color w:val="auto"/>
              </w:rPr>
            </w:pPr>
            <w:r>
              <w:rPr>
                <w:rFonts w:ascii="Arial" w:cs="Arial" w:eastAsia="Arial" w:hAnsi="Arial"/>
                <w:sz w:val="18"/>
                <w:szCs w:val="18"/>
                <w:b w:val="1"/>
                <w:bCs w:val="1"/>
                <w:color w:val="auto"/>
              </w:rPr>
              <w:t>Second Quarter 2022 Financial Highlights</w:t>
            </w:r>
          </w:p>
        </w:tc>
        <w:tc>
          <w:tcPr>
            <w:tcW w:w="16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40" w:type="dxa"/>
            <w:vAlign w:val="bottom"/>
            <w:shd w:val="clear" w:color="auto" w:fill="FEFEFE"/>
          </w:tcPr>
          <w:p>
            <w:pPr>
              <w:spacing w:after="0"/>
              <w:rPr>
                <w:sz w:val="24"/>
                <w:szCs w:val="24"/>
                <w:color w:val="auto"/>
              </w:rPr>
            </w:pPr>
          </w:p>
        </w:tc>
        <w:tc>
          <w:tcPr>
            <w:tcW w:w="12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820" w:type="dxa"/>
            <w:vAlign w:val="bottom"/>
            <w:tcBorders>
              <w:right w:val="single" w:sz="8" w:color="FEFEFE"/>
            </w:tcBorders>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980" w:type="dxa"/>
            <w:vAlign w:val="bottom"/>
            <w:shd w:val="clear" w:color="auto" w:fill="FEFEFE"/>
          </w:tcPr>
          <w:p>
            <w:pPr>
              <w:spacing w:after="0"/>
              <w:rPr>
                <w:sz w:val="18"/>
                <w:szCs w:val="18"/>
                <w:color w:val="auto"/>
              </w:rPr>
            </w:pPr>
          </w:p>
        </w:tc>
        <w:tc>
          <w:tcPr>
            <w:tcW w:w="1340" w:type="dxa"/>
            <w:vAlign w:val="bottom"/>
            <w:gridSpan w:val="3"/>
            <w:shd w:val="clear" w:color="auto" w:fill="FEFEFE"/>
          </w:tcPr>
          <w:p>
            <w:pPr>
              <w:spacing w:after="0"/>
              <w:rPr>
                <w:sz w:val="18"/>
                <w:szCs w:val="18"/>
                <w:color w:val="auto"/>
              </w:rPr>
            </w:pPr>
          </w:p>
        </w:tc>
        <w:tc>
          <w:tcPr>
            <w:tcW w:w="540" w:type="dxa"/>
            <w:vAlign w:val="bottom"/>
            <w:gridSpan w:val="2"/>
            <w:shd w:val="clear" w:color="auto" w:fill="FEFEFE"/>
          </w:tcPr>
          <w:p>
            <w:pPr>
              <w:spacing w:after="0"/>
              <w:rPr>
                <w:sz w:val="18"/>
                <w:szCs w:val="18"/>
                <w:color w:val="auto"/>
              </w:rPr>
            </w:pPr>
          </w:p>
        </w:tc>
        <w:tc>
          <w:tcPr>
            <w:tcW w:w="820" w:type="dxa"/>
            <w:vAlign w:val="bottom"/>
            <w:tcBorders>
              <w:right w:val="single" w:sz="8" w:color="FEFEFE"/>
            </w:tcBorders>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restart"/>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7"/>
                <w:szCs w:val="17"/>
                <w:color w:val="auto"/>
              </w:rPr>
            </w:pPr>
          </w:p>
        </w:tc>
        <w:tc>
          <w:tcPr>
            <w:tcW w:w="1220" w:type="dxa"/>
            <w:vAlign w:val="bottom"/>
            <w:gridSpan w:val="2"/>
          </w:tcPr>
          <w:p>
            <w:pPr>
              <w:jc w:val="right"/>
              <w:ind w:right="441"/>
              <w:spacing w:after="0" w:line="198" w:lineRule="exact"/>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7"/>
                <w:szCs w:val="17"/>
                <w:color w:val="auto"/>
              </w:rPr>
            </w:pPr>
          </w:p>
        </w:tc>
        <w:tc>
          <w:tcPr>
            <w:tcW w:w="1200" w:type="dxa"/>
            <w:vAlign w:val="bottom"/>
            <w:gridSpan w:val="2"/>
          </w:tcPr>
          <w:p>
            <w:pPr>
              <w:jc w:val="right"/>
              <w:ind w:right="301"/>
              <w:spacing w:after="0" w:line="198" w:lineRule="exact"/>
              <w:rPr>
                <w:sz w:val="20"/>
                <w:szCs w:val="20"/>
                <w:color w:val="auto"/>
              </w:rPr>
            </w:pPr>
            <w:r>
              <w:rPr>
                <w:rFonts w:ascii="Arial" w:cs="Arial" w:eastAsia="Arial" w:hAnsi="Arial"/>
                <w:sz w:val="18"/>
                <w:szCs w:val="18"/>
                <w:b w:val="1"/>
                <w:bCs w:val="1"/>
                <w:color w:val="auto"/>
                <w:w w:val="96"/>
              </w:rPr>
              <w:t>March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Cumulative bookings backlog</w:t>
            </w:r>
            <w:r>
              <w:rPr>
                <w:rFonts w:ascii="Arial" w:cs="Arial" w:eastAsia="Arial" w:hAnsi="Arial"/>
                <w:sz w:val="29"/>
                <w:szCs w:val="29"/>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283,431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229,827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92,305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6,152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4,290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8,279</w:t>
            </w: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4,370</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2,581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18,862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9,362</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4,003</w:t>
            </w:r>
          </w:p>
        </w:tc>
        <w:tc>
          <w:tcPr>
            <w:tcW w:w="32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35,082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profit (loss)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(28,930</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(20,717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(12,499</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profit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(30,668</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(25,103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(14,651</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earnings (loss) per share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(0.19</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(0.22</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line="27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9"/>
                <w:szCs w:val="29"/>
                <w:b w:val="1"/>
                <w:bCs w:val="1"/>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(20,015)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(17,037)</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(9,770)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Cumulative bookings backlog is cumulative new bookings minus revenue associated with the booking in the current period.</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in the second quarter 2021 were impacted by a one-time recognition of $4.3 million in revenue as a result of the conclusion of a professional services contract during the three months ended June 30, 2021.</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 see table below for a reconciliation from GAAP to non-GAAP.</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8680" w:type="dxa"/>
            <w:vAlign w:val="bottom"/>
            <w:shd w:val="clear" w:color="auto" w:fill="FEFEFE"/>
          </w:tcPr>
          <w:p>
            <w:pPr>
              <w:spacing w:after="0"/>
              <w:rPr>
                <w:sz w:val="20"/>
                <w:szCs w:val="20"/>
                <w:color w:val="auto"/>
              </w:rPr>
            </w:pPr>
            <w:r>
              <w:rPr>
                <w:rFonts w:ascii="Arial" w:cs="Arial" w:eastAsia="Arial" w:hAnsi="Arial"/>
                <w:sz w:val="18"/>
                <w:szCs w:val="18"/>
                <w:b w:val="1"/>
                <w:bCs w:val="1"/>
                <w:color w:val="auto"/>
              </w:rPr>
              <w:t>Second Quarter 2022 Summary Cash Flows</w:t>
            </w:r>
          </w:p>
        </w:tc>
        <w:tc>
          <w:tcPr>
            <w:tcW w:w="16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2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r>
      <w:tr>
        <w:trPr>
          <w:trHeight w:val="216"/>
        </w:trPr>
        <w:tc>
          <w:tcPr>
            <w:tcW w:w="868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960" w:type="dxa"/>
            <w:vAlign w:val="bottom"/>
            <w:shd w:val="clear" w:color="auto" w:fill="FEFEFE"/>
          </w:tcPr>
          <w:p>
            <w:pPr>
              <w:spacing w:after="0"/>
              <w:rPr>
                <w:sz w:val="18"/>
                <w:szCs w:val="18"/>
                <w:color w:val="auto"/>
              </w:rPr>
            </w:pPr>
          </w:p>
        </w:tc>
        <w:tc>
          <w:tcPr>
            <w:tcW w:w="1340" w:type="dxa"/>
            <w:vAlign w:val="bottom"/>
            <w:gridSpan w:val="3"/>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gridSpan w:val="2"/>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(32,625)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90,167</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35,254</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42,418</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2,518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was $65 million at June 30, 2022 quarter-end.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194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t>Business Outlook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SoundHound reaffirms its full year 2022 revenue guidance of between $27 million to $33 million, with revenue momentum accelerating through the second half of the year principally due to seasonality and the expected benefits from sales and marketing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26, SoundHound Inc. successfully completed its previously announced business combination with Archimedes Tech SPAC Partners Co. The resulting company, SoundHound AI, Inc., began trading on Nasdaq Global Market under the ticker symbol “SOUN” on April 28, 2022.</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SoundHound expects to file its Form 10-Q for the quarterly period ended June 30, 2022, by August 15, 2022. For more information please see the company’s SEC filings which can be obtained on our website at </w:t>
      </w:r>
      <w:r>
        <w:rPr>
          <w:rFonts w:ascii="Arial" w:cs="Arial" w:eastAsia="Arial" w:hAnsi="Arial"/>
          <w:sz w:val="18"/>
          <w:szCs w:val="18"/>
          <w:color w:val="auto"/>
          <w:highlight w:val="white"/>
        </w:rPr>
        <w:t>investors.soundhound.com</w:t>
      </w:r>
      <w:r>
        <w:rPr>
          <w:rFonts w:ascii="Arial" w:cs="Arial" w:eastAsia="Arial" w:hAnsi="Arial"/>
          <w:sz w:val="18"/>
          <w:szCs w:val="18"/>
          <w:color w:val="auto"/>
        </w:rPr>
        <w:t xml:space="preserve"> or </w:t>
      </w:r>
      <w:r>
        <w:rPr>
          <w:rFonts w:ascii="Arial" w:cs="Arial" w:eastAsia="Arial" w:hAnsi="Arial"/>
          <w:sz w:val="18"/>
          <w:szCs w:val="18"/>
          <w:color w:val="auto"/>
          <w:highlight w:val="white"/>
        </w:rPr>
        <w:t>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Keyvan Mohajer, Co-Founder and CEO and Nitesh Sharan, CFO will host a live audio conference call and webcast today at 2:30 p.m. Pacific Time/5:30 p.m. Eastern Time. To register, please visit SoundHound’s Investor Relations website at investors.soundhound.com. Following the call, a replay will be available on the same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SoundHound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SoundHound,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t>
      </w:r>
      <w:r>
        <w:rPr>
          <w:rFonts w:ascii="Arial" w:cs="Arial" w:eastAsia="Arial" w:hAnsi="Arial"/>
          <w:sz w:val="18"/>
          <w:szCs w:val="18"/>
          <w:color w:val="auto"/>
          <w:highlight w:val="white"/>
        </w:rPr>
        <w:t>www.soundhound.com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which are not historical facts, within the meaning of Section 27A of the Securities Act of 1933, as amended, and Section 21E of the Securities Exchange Act of 1934, as amended. Our actual results, performance or achievements may differ materially from those expressed or implied by these forward-looking statements.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As a result, readers are cautioned not to place undue reliance on these forward-looking statements. Actual results may differ materially from those indicated by these forward-looking statements as a result of risks and uncertainties impacting SoundHound’s business including, current uncertainties associated with the COVID-19 pandemic, our inability to predict or measure supply chain disruptions resulting from the COVID-19 pandemic and other causes, the potential future revenue associated with our AI platform products and services; our rate of growth;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other risks described in the Prospectus filed April 8, 2022 and detailed from time to time in SoundHound’s filings with the Securities and Exchange Commission.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Non-GAAP Measures of Financial Performance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supplement our financial statements, which are presented on the basis of U.S. generally accepted accounting principles (GAAP), the following non-GAAP measure of financial performance is included in this release: adjusted EBITDA.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20" w:type="dxa"/>
            <w:vAlign w:val="bottom"/>
            <w:gridSpan w:val="2"/>
            <w:shd w:val="clear" w:color="auto" w:fill="FEFEFE"/>
          </w:tcPr>
          <w:p>
            <w:pPr>
              <w:spacing w:after="0"/>
              <w:rPr>
                <w:sz w:val="20"/>
                <w:szCs w:val="20"/>
                <w:color w:val="auto"/>
              </w:rPr>
            </w:pPr>
            <w:r>
              <w:rPr>
                <w:rFonts w:ascii="Arial" w:cs="Arial" w:eastAsia="Arial" w:hAnsi="Arial"/>
                <w:sz w:val="18"/>
                <w:szCs w:val="18"/>
                <w:b w:val="1"/>
                <w:bCs w:val="1"/>
                <w:color w:val="auto"/>
              </w:rPr>
              <w:t>Reconciliation of GAAP Net Profit (Loss) to Non-GAAP Adjusted EBITDA</w:t>
            </w:r>
          </w:p>
        </w:tc>
        <w:tc>
          <w:tcPr>
            <w:tcW w:w="160" w:type="dxa"/>
            <w:vAlign w:val="bottom"/>
            <w:shd w:val="clear" w:color="auto" w:fill="FEFEFE"/>
          </w:tcPr>
          <w:p>
            <w:pPr>
              <w:spacing w:after="0"/>
              <w:rPr>
                <w:sz w:val="22"/>
                <w:szCs w:val="22"/>
                <w:color w:val="auto"/>
              </w:rPr>
            </w:pPr>
          </w:p>
        </w:tc>
        <w:tc>
          <w:tcPr>
            <w:tcW w:w="980" w:type="dxa"/>
            <w:vAlign w:val="bottom"/>
            <w:shd w:val="clear" w:color="auto" w:fill="FEFEFE"/>
          </w:tcPr>
          <w:p>
            <w:pPr>
              <w:spacing w:after="0"/>
              <w:rPr>
                <w:sz w:val="22"/>
                <w:szCs w:val="22"/>
                <w:color w:val="auto"/>
              </w:rPr>
            </w:pPr>
          </w:p>
        </w:tc>
        <w:tc>
          <w:tcPr>
            <w:tcW w:w="240" w:type="dxa"/>
            <w:vAlign w:val="bottom"/>
            <w:shd w:val="clear" w:color="auto" w:fill="FEFEFE"/>
          </w:tcPr>
          <w:p>
            <w:pPr>
              <w:spacing w:after="0"/>
              <w:rPr>
                <w:sz w:val="22"/>
                <w:szCs w:val="22"/>
                <w:color w:val="auto"/>
              </w:rPr>
            </w:pPr>
          </w:p>
        </w:tc>
        <w:tc>
          <w:tcPr>
            <w:tcW w:w="120" w:type="dxa"/>
            <w:vAlign w:val="bottom"/>
            <w:shd w:val="clear" w:color="auto" w:fill="FEFEFE"/>
          </w:tcPr>
          <w:p>
            <w:pPr>
              <w:spacing w:after="0"/>
              <w:rPr>
                <w:sz w:val="22"/>
                <w:szCs w:val="22"/>
                <w:color w:val="auto"/>
              </w:rPr>
            </w:pPr>
          </w:p>
        </w:tc>
        <w:tc>
          <w:tcPr>
            <w:tcW w:w="980" w:type="dxa"/>
            <w:vAlign w:val="bottom"/>
            <w:shd w:val="clear" w:color="auto" w:fill="FEFEFE"/>
          </w:tcPr>
          <w:p>
            <w:pPr>
              <w:spacing w:after="0"/>
              <w:rPr>
                <w:sz w:val="22"/>
                <w:szCs w:val="22"/>
                <w:color w:val="auto"/>
              </w:rPr>
            </w:pPr>
          </w:p>
        </w:tc>
        <w:tc>
          <w:tcPr>
            <w:tcW w:w="220" w:type="dxa"/>
            <w:vAlign w:val="bottom"/>
            <w:shd w:val="clear" w:color="auto" w:fill="FEFEFE"/>
          </w:tcPr>
          <w:p>
            <w:pPr>
              <w:spacing w:after="0"/>
              <w:rPr>
                <w:sz w:val="22"/>
                <w:szCs w:val="22"/>
                <w:color w:val="auto"/>
              </w:rPr>
            </w:pPr>
          </w:p>
        </w:tc>
        <w:tc>
          <w:tcPr>
            <w:tcW w:w="160" w:type="dxa"/>
            <w:vAlign w:val="bottom"/>
            <w:shd w:val="clear" w:color="auto" w:fill="FEFEFE"/>
          </w:tcPr>
          <w:p>
            <w:pPr>
              <w:spacing w:after="0"/>
              <w:rPr>
                <w:sz w:val="22"/>
                <w:szCs w:val="22"/>
                <w:color w:val="auto"/>
              </w:rPr>
            </w:pPr>
          </w:p>
        </w:tc>
        <w:tc>
          <w:tcPr>
            <w:tcW w:w="960" w:type="dxa"/>
            <w:vAlign w:val="bottom"/>
            <w:shd w:val="clear" w:color="auto" w:fill="FEFEFE"/>
          </w:tcPr>
          <w:p>
            <w:pPr>
              <w:spacing w:after="0"/>
              <w:rPr>
                <w:sz w:val="22"/>
                <w:szCs w:val="22"/>
                <w:color w:val="auto"/>
              </w:rPr>
            </w:pPr>
          </w:p>
        </w:tc>
        <w:tc>
          <w:tcPr>
            <w:tcW w:w="20" w:type="dxa"/>
            <w:vAlign w:val="bottom"/>
            <w:shd w:val="clear" w:color="auto" w:fill="FEFEFE"/>
          </w:tcPr>
          <w:p>
            <w:pPr>
              <w:spacing w:after="0"/>
              <w:rPr>
                <w:sz w:val="22"/>
                <w:szCs w:val="22"/>
                <w:color w:val="auto"/>
              </w:rPr>
            </w:pPr>
          </w:p>
        </w:tc>
        <w:tc>
          <w:tcPr>
            <w:tcW w:w="80" w:type="dxa"/>
            <w:vAlign w:val="bottom"/>
            <w:shd w:val="clear" w:color="auto" w:fill="FEFEFE"/>
          </w:tcPr>
          <w:p>
            <w:pPr>
              <w:spacing w:after="0"/>
              <w:rPr>
                <w:sz w:val="22"/>
                <w:szCs w:val="22"/>
                <w:color w:val="auto"/>
              </w:rPr>
            </w:pPr>
          </w:p>
        </w:tc>
      </w:tr>
      <w:tr>
        <w:trPr>
          <w:trHeight w:val="178"/>
        </w:trPr>
        <w:tc>
          <w:tcPr>
            <w:tcW w:w="580" w:type="dxa"/>
            <w:vAlign w:val="bottom"/>
            <w:shd w:val="clear" w:color="auto" w:fill="FEFEFE"/>
          </w:tcPr>
          <w:p>
            <w:pPr>
              <w:spacing w:after="0"/>
              <w:rPr>
                <w:sz w:val="15"/>
                <w:szCs w:val="15"/>
                <w:color w:val="auto"/>
              </w:rPr>
            </w:pPr>
          </w:p>
        </w:tc>
        <w:tc>
          <w:tcPr>
            <w:tcW w:w="67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980" w:type="dxa"/>
            <w:vAlign w:val="bottom"/>
            <w:shd w:val="clear" w:color="auto" w:fill="FEFEFE"/>
          </w:tcPr>
          <w:p>
            <w:pPr>
              <w:spacing w:after="0"/>
              <w:rPr>
                <w:sz w:val="15"/>
                <w:szCs w:val="15"/>
                <w:color w:val="auto"/>
              </w:rPr>
            </w:pPr>
          </w:p>
        </w:tc>
        <w:tc>
          <w:tcPr>
            <w:tcW w:w="1340" w:type="dxa"/>
            <w:vAlign w:val="bottom"/>
            <w:gridSpan w:val="3"/>
            <w:shd w:val="clear" w:color="auto" w:fill="FEFEFE"/>
          </w:tcPr>
          <w:p>
            <w:pPr>
              <w:spacing w:after="0"/>
              <w:rPr>
                <w:sz w:val="15"/>
                <w:szCs w:val="15"/>
                <w:color w:val="auto"/>
              </w:rPr>
            </w:pPr>
          </w:p>
        </w:tc>
        <w:tc>
          <w:tcPr>
            <w:tcW w:w="380" w:type="dxa"/>
            <w:vAlign w:val="bottom"/>
            <w:gridSpan w:val="2"/>
            <w:shd w:val="clear" w:color="auto" w:fill="FEFEFE"/>
          </w:tcPr>
          <w:p>
            <w:pPr>
              <w:spacing w:after="0"/>
              <w:rPr>
                <w:sz w:val="15"/>
                <w:szCs w:val="15"/>
                <w:color w:val="auto"/>
              </w:rPr>
            </w:pPr>
          </w:p>
        </w:tc>
        <w:tc>
          <w:tcPr>
            <w:tcW w:w="9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6"/>
          </w:tcPr>
          <w:p>
            <w:pPr>
              <w:jc w:val="right"/>
              <w:ind w:right="50"/>
              <w:spacing w:after="0" w:line="198" w:lineRule="exact"/>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June 30,</w:t>
            </w:r>
          </w:p>
        </w:tc>
      </w:tr>
      <w:tr>
        <w:trPr>
          <w:trHeight w:val="241"/>
        </w:trPr>
        <w:tc>
          <w:tcPr>
            <w:tcW w:w="7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net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(14,651)</w:t>
            </w:r>
          </w:p>
        </w:tc>
        <w:tc>
          <w:tcPr>
            <w:tcW w:w="100" w:type="dxa"/>
            <w:vAlign w:val="bottom"/>
            <w:gridSpan w:val="2"/>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73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Interest and other expense</w:t>
            </w:r>
            <w:r>
              <w:rPr>
                <w:rFonts w:ascii="Arial" w:cs="Arial" w:eastAsia="Arial" w:hAnsi="Arial"/>
                <w:sz w:val="29"/>
                <w:szCs w:val="29"/>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1,349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4,034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2,110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7,863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(20,015</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(17,037</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(9,770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80" w:type="dxa"/>
            <w:vAlign w:val="bottom"/>
          </w:tcPr>
          <w:p>
            <w:pPr>
              <w:spacing w:after="0"/>
              <w:rPr>
                <w:sz w:val="18"/>
                <w:szCs w:val="18"/>
                <w:color w:val="auto"/>
              </w:rPr>
            </w:pPr>
          </w:p>
        </w:tc>
        <w:tc>
          <w:tcPr>
            <w:tcW w:w="6740" w:type="dxa"/>
            <w:vAlign w:val="bottom"/>
            <w:shd w:val="clear" w:color="auto" w:fill="FEFEFE"/>
          </w:tcPr>
          <w:p>
            <w:pPr>
              <w:spacing w:after="0"/>
              <w:rPr>
                <w:sz w:val="18"/>
                <w:szCs w:val="18"/>
                <w:color w:val="auto"/>
              </w:rPr>
            </w:pPr>
          </w:p>
        </w:tc>
        <w:tc>
          <w:tcPr>
            <w:tcW w:w="160" w:type="dxa"/>
            <w:vAlign w:val="bottom"/>
            <w:tcBorders>
              <w:top w:val="single" w:sz="8" w:color="auto"/>
            </w:tcBorders>
            <w:shd w:val="clear" w:color="auto" w:fill="FEFEFE"/>
          </w:tcPr>
          <w:p>
            <w:pPr>
              <w:spacing w:after="0"/>
              <w:rPr>
                <w:sz w:val="18"/>
                <w:szCs w:val="18"/>
                <w:color w:val="auto"/>
              </w:rPr>
            </w:pPr>
          </w:p>
        </w:tc>
        <w:tc>
          <w:tcPr>
            <w:tcW w:w="980" w:type="dxa"/>
            <w:vAlign w:val="bottom"/>
            <w:tcBorders>
              <w:top w:val="single" w:sz="8" w:color="auto"/>
            </w:tcBorders>
            <w:shd w:val="clear" w:color="auto" w:fill="FEFEFE"/>
          </w:tcPr>
          <w:p>
            <w:pPr>
              <w:spacing w:after="0"/>
              <w:rPr>
                <w:sz w:val="18"/>
                <w:szCs w:val="18"/>
                <w:color w:val="auto"/>
              </w:rPr>
            </w:pPr>
          </w:p>
        </w:tc>
        <w:tc>
          <w:tcPr>
            <w:tcW w:w="240" w:type="dxa"/>
            <w:vAlign w:val="bottom"/>
            <w:shd w:val="clear" w:color="auto" w:fill="FEFEFE"/>
          </w:tcPr>
          <w:p>
            <w:pPr>
              <w:spacing w:after="0"/>
              <w:rPr>
                <w:sz w:val="18"/>
                <w:szCs w:val="18"/>
                <w:color w:val="auto"/>
              </w:rPr>
            </w:pPr>
          </w:p>
        </w:tc>
        <w:tc>
          <w:tcPr>
            <w:tcW w:w="120" w:type="dxa"/>
            <w:vAlign w:val="bottom"/>
            <w:tcBorders>
              <w:top w:val="single" w:sz="8" w:color="auto"/>
            </w:tcBorders>
            <w:shd w:val="clear" w:color="auto" w:fill="FEFEFE"/>
          </w:tcPr>
          <w:p>
            <w:pPr>
              <w:spacing w:after="0"/>
              <w:rPr>
                <w:sz w:val="18"/>
                <w:szCs w:val="18"/>
                <w:color w:val="auto"/>
              </w:rPr>
            </w:pPr>
          </w:p>
        </w:tc>
        <w:tc>
          <w:tcPr>
            <w:tcW w:w="980" w:type="dxa"/>
            <w:vAlign w:val="bottom"/>
            <w:tcBorders>
              <w:top w:val="single" w:sz="8" w:color="auto"/>
            </w:tcBorders>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60" w:type="dxa"/>
            <w:vAlign w:val="bottom"/>
            <w:tcBorders>
              <w:top w:val="single" w:sz="8" w:color="auto"/>
            </w:tcBorders>
            <w:shd w:val="clear" w:color="auto" w:fill="FEFEFE"/>
          </w:tcPr>
          <w:p>
            <w:pPr>
              <w:spacing w:after="0"/>
              <w:rPr>
                <w:sz w:val="18"/>
                <w:szCs w:val="18"/>
                <w:color w:val="auto"/>
              </w:rPr>
            </w:pPr>
          </w:p>
        </w:tc>
        <w:tc>
          <w:tcPr>
            <w:tcW w:w="960" w:type="dxa"/>
            <w:vAlign w:val="bottom"/>
            <w:tcBorders>
              <w:top w:val="single" w:sz="8" w:color="auto"/>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r>
    </w:tbl>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other income/(expense) of $0.2, $(1.1) and $0.2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SoundHound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408-724-1498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IR@SoundHound.com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Fiona McEvoy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415-610-6590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PR@SoundHound.com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2022-08-11T18:58:20Z</dcterms:created>
  <dcterms:modified xsi:type="dcterms:W3CDTF">2022-08-11T18:58:20Z</dcterms:modified>
</cp:coreProperties>
</file>