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59"/>
        <w:spacing w:after="0" w:line="308" w:lineRule="auto"/>
        <w:rPr>
          <w:sz w:val="20"/>
          <w:szCs w:val="20"/>
          <w:color w:val="auto"/>
        </w:rPr>
      </w:pPr>
      <w:r>
        <w:rPr>
          <w:rFonts w:ascii="Arial" w:cs="Arial" w:eastAsia="Arial" w:hAnsi="Arial"/>
          <w:sz w:val="16"/>
          <w:szCs w:val="16"/>
          <w:b w:val="1"/>
          <w:bCs w:val="1"/>
          <w:color w:val="auto"/>
        </w:rPr>
        <w:t>This confidential draft submission is being submitted confidentially to the U.S. Securities and Exchange Commission on January 15, 2021 and is not being filed under the Securities Act of 1933, as amended.</w:t>
      </w:r>
    </w:p>
    <w:p>
      <w:pPr>
        <w:ind w:left="59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60325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ARCHIMEDES TECH SPAC PARTNERS CO.</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93"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86-1286799</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3"/>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3"/>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180"/>
              <w:spacing w:after="0"/>
              <w:rPr>
                <w:sz w:val="20"/>
                <w:szCs w:val="20"/>
                <w:color w:val="auto"/>
              </w:rPr>
            </w:pPr>
            <w:r>
              <w:rPr>
                <w:rFonts w:ascii="Arial" w:cs="Arial" w:eastAsia="Arial" w:hAnsi="Arial"/>
                <w:sz w:val="18"/>
                <w:szCs w:val="18"/>
                <w:i w:val="1"/>
                <w:iCs w:val="1"/>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1"/>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i w:val="1"/>
                <w:iCs w:val="1"/>
                <w:color w:val="auto"/>
                <w:w w:val="93"/>
              </w:rPr>
              <w:t>Identification Number)</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offices)</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N. Cannon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Corporation Service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185"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Mitchell S. Nussbaum</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David Alan Miller, Esq.</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Giovanni Caruso</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Jeffrey M. Gallant, Esq.</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4"/>
              </w:rPr>
              <w:t>Loeb &amp; Loeb LLP</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7"/>
              </w:rPr>
              <w:t>Graubard Miller</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345 Park Avenues</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The Chrysler Building</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New York 10145</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405 Lexington Avenue</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(212) 407-4000</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New York, New York 10174</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(212) 407-4990 — Facsimile</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(212) 818-8800</w:t>
            </w:r>
          </w:p>
        </w:tc>
      </w:tr>
      <w:tr>
        <w:trPr>
          <w:trHeight w:val="234"/>
        </w:trPr>
        <w:tc>
          <w:tcPr>
            <w:tcW w:w="2200" w:type="dxa"/>
            <w:vAlign w:val="bottom"/>
          </w:tcPr>
          <w:p>
            <w:pPr>
              <w:spacing w:after="0"/>
              <w:rPr>
                <w:sz w:val="20"/>
                <w:szCs w:val="20"/>
                <w:color w:val="auto"/>
              </w:rPr>
            </w:pP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(212) 818-8881 — Facsimile</w:t>
            </w:r>
          </w:p>
        </w:tc>
      </w:tr>
      <w:tr>
        <w:trPr>
          <w:trHeight w:val="445"/>
        </w:trPr>
        <w:tc>
          <w:tcPr>
            <w:tcW w:w="2200" w:type="dxa"/>
            <w:vAlign w:val="bottom"/>
          </w:tcPr>
          <w:p>
            <w:pPr>
              <w:spacing w:after="0"/>
              <w:rPr>
                <w:sz w:val="24"/>
                <w:szCs w:val="24"/>
                <w:color w:val="auto"/>
              </w:rPr>
            </w:pPr>
          </w:p>
        </w:tc>
        <w:tc>
          <w:tcPr>
            <w:tcW w:w="4020" w:type="dxa"/>
            <w:vAlign w:val="bottom"/>
          </w:tcPr>
          <w:p>
            <w:pPr>
              <w:jc w:val="right"/>
              <w:ind w:right="2150"/>
              <w:spacing w:after="0"/>
              <w:rPr>
                <w:sz w:val="20"/>
                <w:szCs w:val="20"/>
                <w:color w:val="auto"/>
              </w:rPr>
            </w:pPr>
            <w:r>
              <w:rPr>
                <w:rFonts w:ascii="Arial" w:cs="Arial" w:eastAsia="Arial" w:hAnsi="Arial"/>
                <w:sz w:val="18"/>
                <w:szCs w:val="18"/>
                <w:b w:val="1"/>
                <w:bCs w:val="1"/>
                <w:color w:val="auto"/>
                <w:w w:val="92"/>
              </w:rPr>
              <w:t>___________________</w:t>
            </w:r>
          </w:p>
        </w:tc>
      </w:tr>
    </w:tbl>
    <w:p>
      <w:pPr>
        <w:spacing w:after="0" w:line="40" w:lineRule="exact"/>
        <w:rPr>
          <w:sz w:val="24"/>
          <w:szCs w:val="24"/>
          <w:color w:val="auto"/>
        </w:rPr>
      </w:pPr>
    </w:p>
    <w:p>
      <w:pPr>
        <w:jc w:val="both"/>
        <w:ind w:left="460" w:right="479"/>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w:t>
      </w:r>
    </w:p>
    <w:p>
      <w:pPr>
        <w:spacing w:after="0" w:line="6" w:lineRule="exact"/>
        <w:rPr>
          <w:sz w:val="24"/>
          <w:szCs w:val="24"/>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10" w:lineRule="exact"/>
        <w:rPr>
          <w:sz w:val="24"/>
          <w:szCs w:val="24"/>
          <w:color w:val="auto"/>
        </w:rPr>
      </w:pPr>
    </w:p>
    <w:p>
      <w:pPr>
        <w:jc w:val="both"/>
        <w:ind w:left="460" w:right="479"/>
        <w:spacing w:after="0" w:line="278"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79"/>
        <w:spacing w:after="0" w:line="278"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79"/>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1520" w:type="dxa"/>
            <w:vAlign w:val="bottom"/>
          </w:tcPr>
          <w:p>
            <w:pPr>
              <w:spacing w:after="0"/>
              <w:rPr>
                <w:sz w:val="20"/>
                <w:szCs w:val="20"/>
                <w:color w:val="auto"/>
              </w:rPr>
            </w:pPr>
            <w:r>
              <w:rPr>
                <w:rFonts w:ascii="Arial" w:cs="Arial" w:eastAsia="Arial" w:hAnsi="Arial"/>
                <w:sz w:val="16"/>
                <w:szCs w:val="16"/>
                <w:color w:val="auto"/>
                <w:w w:val="94"/>
              </w:rPr>
              <w:t>Large accelerated filer</w:t>
            </w:r>
          </w:p>
        </w:tc>
        <w:tc>
          <w:tcPr>
            <w:tcW w:w="1180" w:type="dxa"/>
            <w:vAlign w:val="bottom"/>
          </w:tcPr>
          <w:p>
            <w:pPr>
              <w:ind w:left="60"/>
              <w:spacing w:after="0"/>
              <w:rPr>
                <w:sz w:val="20"/>
                <w:szCs w:val="20"/>
                <w:color w:val="auto"/>
              </w:rPr>
            </w:pPr>
            <w:r>
              <w:rPr>
                <w:rFonts w:ascii="Arial" w:cs="Arial" w:eastAsia="Arial" w:hAnsi="Arial"/>
                <w:sz w:val="16"/>
                <w:szCs w:val="16"/>
                <w:color w:val="auto"/>
              </w:rPr>
              <w:t>£</w:t>
            </w:r>
          </w:p>
        </w:tc>
        <w:tc>
          <w:tcPr>
            <w:tcW w:w="3020" w:type="dxa"/>
            <w:vAlign w:val="bottom"/>
          </w:tcPr>
          <w:p>
            <w:pPr>
              <w:ind w:left="10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r>
      <w:tr>
        <w:trPr>
          <w:trHeight w:val="284"/>
        </w:trPr>
        <w:tc>
          <w:tcPr>
            <w:tcW w:w="1520" w:type="dxa"/>
            <w:vAlign w:val="bottom"/>
          </w:tcPr>
          <w:p>
            <w:pPr>
              <w:spacing w:after="0"/>
              <w:rPr>
                <w:sz w:val="20"/>
                <w:szCs w:val="20"/>
                <w:color w:val="auto"/>
              </w:rPr>
            </w:pPr>
            <w:r>
              <w:rPr>
                <w:rFonts w:ascii="Arial" w:cs="Arial" w:eastAsia="Arial" w:hAnsi="Arial"/>
                <w:sz w:val="16"/>
                <w:szCs w:val="16"/>
                <w:color w:val="auto"/>
              </w:rPr>
              <w:t>Non-accelerated filer</w:t>
            </w:r>
          </w:p>
        </w:tc>
        <w:tc>
          <w:tcPr>
            <w:tcW w:w="1180" w:type="dxa"/>
            <w:vAlign w:val="bottom"/>
          </w:tcPr>
          <w:p>
            <w:pPr>
              <w:ind w:left="60"/>
              <w:spacing w:after="0"/>
              <w:rPr>
                <w:sz w:val="20"/>
                <w:szCs w:val="20"/>
                <w:color w:val="auto"/>
              </w:rPr>
            </w:pPr>
            <w:r>
              <w:rPr>
                <w:rFonts w:ascii="Arial" w:cs="Arial" w:eastAsia="Arial" w:hAnsi="Arial"/>
                <w:sz w:val="16"/>
                <w:szCs w:val="16"/>
                <w:color w:val="auto"/>
              </w:rPr>
              <w:t>S</w:t>
            </w:r>
          </w:p>
        </w:tc>
        <w:tc>
          <w:tcPr>
            <w:tcW w:w="3020" w:type="dxa"/>
            <w:vAlign w:val="bottom"/>
          </w:tcPr>
          <w:p>
            <w:pPr>
              <w:ind w:left="10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40"/>
              <w:spacing w:after="0"/>
              <w:rPr>
                <w:sz w:val="20"/>
                <w:szCs w:val="20"/>
                <w:color w:val="auto"/>
              </w:rPr>
            </w:pPr>
            <w:r>
              <w:rPr>
                <w:rFonts w:ascii="Arial" w:cs="Arial" w:eastAsia="Arial" w:hAnsi="Arial"/>
                <w:sz w:val="16"/>
                <w:szCs w:val="16"/>
                <w:color w:val="auto"/>
                <w:w w:val="74"/>
              </w:rPr>
              <w:t>S</w:t>
            </w:r>
          </w:p>
        </w:tc>
      </w:tr>
      <w:tr>
        <w:trPr>
          <w:trHeight w:val="283"/>
        </w:trPr>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20" w:type="dxa"/>
            <w:vAlign w:val="bottom"/>
          </w:tcPr>
          <w:p>
            <w:pPr>
              <w:ind w:left="102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40"/>
              <w:spacing w:after="0"/>
              <w:rPr>
                <w:sz w:val="20"/>
                <w:szCs w:val="20"/>
                <w:color w:val="auto"/>
              </w:rPr>
            </w:pPr>
            <w:r>
              <w:rPr>
                <w:rFonts w:ascii="Arial" w:cs="Arial" w:eastAsia="Arial" w:hAnsi="Arial"/>
                <w:sz w:val="16"/>
                <w:szCs w:val="16"/>
                <w:color w:val="auto"/>
                <w:w w:val="74"/>
              </w:rPr>
              <w:t>S</w:t>
            </w:r>
          </w:p>
        </w:tc>
      </w:tr>
    </w:tbl>
    <w:p>
      <w:pPr>
        <w:spacing w:after="0" w:line="199" w:lineRule="exact"/>
        <w:rPr>
          <w:sz w:val="24"/>
          <w:szCs w:val="24"/>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pgSz w:w="11900" w:h="16838" w:orient="portrait"/>
          <w:cols w:equalWidth="0" w:num="1">
            <w:col w:w="9019"/>
          </w:cols>
          <w:pgMar w:left="1440" w:top="337" w:right="1440" w:bottom="0" w:gutter="0" w:footer="0" w:header="0"/>
        </w:sectPr>
      </w:pPr>
    </w:p>
    <w:bookmarkStart w:id="1" w:name="page2"/>
    <w:bookmarkEnd w:id="1"/>
    <w:p>
      <w:pPr>
        <w:jc w:val="both"/>
        <w:spacing w:after="0" w:line="27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Proposed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Proposed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Maximum</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Offering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Amount being</w:t>
            </w: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Price Per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0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53"/>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w w:val="92"/>
              </w:rPr>
              <w:t>Title of each Class of Security being registered</w:t>
            </w: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Registered</w:t>
            </w:r>
          </w:p>
        </w:tc>
        <w:tc>
          <w:tcPr>
            <w:tcW w:w="9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Security</w:t>
            </w:r>
            <w:r>
              <w:rPr>
                <w:rFonts w:ascii="Arial" w:cs="Arial" w:eastAsia="Arial" w:hAnsi="Arial"/>
                <w:sz w:val="18"/>
                <w:szCs w:val="18"/>
                <w:b w:val="1"/>
                <w:bCs w:val="1"/>
                <w:color w:val="auto"/>
                <w:w w:val="89"/>
                <w:vertAlign w:val="superscript"/>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Price</w:t>
            </w:r>
            <w:r>
              <w:rPr>
                <w:rFonts w:ascii="Arial" w:cs="Arial" w:eastAsia="Arial" w:hAnsi="Arial"/>
                <w:sz w:val="18"/>
                <w:szCs w:val="18"/>
                <w:b w:val="1"/>
                <w:bCs w:val="1"/>
                <w:color w:val="auto"/>
                <w:w w:val="85"/>
                <w:vertAlign w:val="superscript"/>
              </w:rPr>
              <w:t>(1)</w:t>
            </w:r>
          </w:p>
        </w:tc>
        <w:tc>
          <w:tcPr>
            <w:tcW w:w="10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199"/>
        </w:trPr>
        <w:tc>
          <w:tcPr>
            <w:tcW w:w="324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7"/>
              </w:rPr>
              <w:t>Units, each consisting of one Subunit and</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one-half of one Warrant</w:t>
            </w:r>
            <w:r>
              <w:rPr>
                <w:rFonts w:ascii="Arial" w:cs="Arial" w:eastAsia="Arial" w:hAnsi="Arial"/>
                <w:sz w:val="20"/>
                <w:szCs w:val="20"/>
                <w:color w:val="auto"/>
                <w:vertAlign w:val="superscript"/>
              </w:rPr>
              <w:t>(2)</w:t>
            </w:r>
          </w:p>
        </w:tc>
        <w:tc>
          <w:tcPr>
            <w:tcW w:w="1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11,500,000 Units</w:t>
            </w:r>
            <w:r>
              <w:rPr>
                <w:rFonts w:ascii="Arial" w:cs="Arial" w:eastAsia="Arial" w:hAnsi="Arial"/>
                <w:sz w:val="20"/>
                <w:szCs w:val="20"/>
                <w:color w:val="auto"/>
                <w:w w:val="89"/>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1"/>
              </w:rPr>
              <w:t>Redeemable Warrants included as part of the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tcPr>
          <w:p>
            <w:pPr>
              <w:ind w:left="180"/>
              <w:spacing w:after="0" w:line="271" w:lineRule="exact"/>
              <w:rPr>
                <w:sz w:val="20"/>
                <w:szCs w:val="20"/>
                <w:color w:val="auto"/>
              </w:rPr>
            </w:pPr>
            <w:r>
              <w:rPr>
                <w:rFonts w:ascii="Arial" w:cs="Arial" w:eastAsia="Arial" w:hAnsi="Arial"/>
                <w:sz w:val="31"/>
                <w:szCs w:val="31"/>
                <w:color w:val="auto"/>
                <w:vertAlign w:val="subscript"/>
              </w:rPr>
              <w:t>Units</w:t>
            </w:r>
            <w:r>
              <w:rPr>
                <w:rFonts w:ascii="Arial" w:cs="Arial" w:eastAsia="Arial" w:hAnsi="Arial"/>
                <w:sz w:val="10"/>
                <w:szCs w:val="10"/>
                <w:color w:val="auto"/>
              </w:rPr>
              <w:t>(3)(4)</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5,750,000 Warrants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underlying</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warrants included in the units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5,750,000 Shares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66,125,000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5"/>
              </w:rPr>
              <w:t>Subunits included as part of the Units, each</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w w:val="94"/>
              </w:rPr>
              <w:t>consisting of one share of common stock,</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w w:val="95"/>
              </w:rPr>
              <w:t>$.0001 par value, and one-quarter of one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Warrant</w:t>
            </w:r>
          </w:p>
        </w:tc>
        <w:tc>
          <w:tcPr>
            <w:tcW w:w="16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11,500,000 Subunits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Shares of common stock included as part of</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Subunits</w:t>
            </w:r>
            <w:r>
              <w:rPr>
                <w:rFonts w:ascii="Arial" w:cs="Arial" w:eastAsia="Arial" w:hAnsi="Arial"/>
                <w:sz w:val="20"/>
                <w:szCs w:val="20"/>
                <w:color w:val="auto"/>
                <w:vertAlign w:val="superscript"/>
              </w:rPr>
              <w:t>(3)</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11,500,000 Shares</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600"/>
              <w:spacing w:after="0" w:line="271" w:lineRule="exact"/>
              <w:rPr>
                <w:sz w:val="20"/>
                <w:szCs w:val="20"/>
                <w:color w:val="auto"/>
              </w:rPr>
            </w:pPr>
            <w:r>
              <w:rPr>
                <w:rFonts w:ascii="Arial" w:cs="Arial" w:eastAsia="Arial" w:hAnsi="Arial"/>
                <w:sz w:val="31"/>
                <w:szCs w:val="31"/>
                <w:color w:val="auto"/>
                <w:w w:val="91"/>
                <w:vertAlign w:val="subscript"/>
              </w:rPr>
              <w:t>—</w:t>
            </w:r>
            <w:r>
              <w:rPr>
                <w:rFonts w:ascii="Arial" w:cs="Arial" w:eastAsia="Arial" w:hAnsi="Arial"/>
                <w:sz w:val="10"/>
                <w:szCs w:val="10"/>
                <w:color w:val="auto"/>
                <w:w w:val="91"/>
              </w:rPr>
              <w:t>(5)</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1"/>
              </w:rPr>
              <w:t>Redeemable Warrants included as part of the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Subunits</w:t>
            </w:r>
            <w:r>
              <w:rPr>
                <w:rFonts w:ascii="Arial" w:cs="Arial" w:eastAsia="Arial" w:hAnsi="Arial"/>
                <w:sz w:val="20"/>
                <w:szCs w:val="20"/>
                <w:color w:val="auto"/>
                <w:vertAlign w:val="superscript"/>
              </w:rPr>
              <w:t>(3)</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2,875,000 Warrants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underlying</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warrants included in the subunits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2,875,000 Shares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33,062,500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gridSpan w:val="2"/>
            <w:vMerge w:val="continue"/>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214,187,500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23,370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w:t>
      </w:r>
    </w:p>
    <w:p>
      <w:pPr>
        <w:spacing w:after="0" w:line="22" w:lineRule="exact"/>
        <w:rPr>
          <w:rFonts w:ascii="Arial" w:cs="Arial" w:eastAsia="Arial" w:hAnsi="Arial"/>
          <w:sz w:val="16"/>
          <w:szCs w:val="16"/>
          <w:color w:val="auto"/>
        </w:rPr>
      </w:pPr>
    </w:p>
    <w:p>
      <w:pPr>
        <w:jc w:val="both"/>
        <w:ind w:left="880" w:right="479" w:hanging="426"/>
        <w:spacing w:after="0" w:line="264" w:lineRule="auto"/>
        <w:tabs>
          <w:tab w:leader="none" w:pos="983"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1,500,000 Units, 1,500,000 Subunits, 1,500,000 shares of common stock and an aggregate of 1,125,000 Redeemable Warrants underlying such Units and Subunits which may be issued on exercise of a 45-day option granted to the underwriter.</w:t>
      </w:r>
    </w:p>
    <w:p>
      <w:pPr>
        <w:ind w:left="880" w:right="479" w:hanging="426"/>
        <w:spacing w:after="0" w:line="264" w:lineRule="auto"/>
        <w:tabs>
          <w:tab w:leader="none" w:pos="96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there are also being registered an indeterminable number of additional securities as may be issued to prevent dilution resulting from stock splits, stock dividends or similar transactions.</w:t>
      </w: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Excludes the 2,875,000 redeemable warrants included as part of the subunits underlying the units.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6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24130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66675</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349885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238" w:lineRule="auto"/>
        <w:rPr>
          <w:sz w:val="20"/>
          <w:szCs w:val="20"/>
          <w:color w:val="auto"/>
        </w:rPr>
      </w:pPr>
      <w:r>
        <w:rPr>
          <w:rFonts w:ascii="Arial" w:cs="Arial" w:eastAsia="Arial" w:hAnsi="Arial"/>
          <w:sz w:val="14"/>
          <w:szCs w:val="14"/>
          <w:color w:val="D2232A"/>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or jurisdiction where the offer or sale is not permitted.</w:t>
      </w:r>
    </w:p>
    <w:p>
      <w:pPr>
        <w:spacing w:after="0" w:line="183" w:lineRule="exact"/>
        <w:rPr>
          <w:sz w:val="20"/>
          <w:szCs w:val="20"/>
          <w:color w:val="auto"/>
        </w:rPr>
      </w:pPr>
    </w:p>
    <w:p>
      <w:pPr>
        <w:ind w:left="460" w:right="2619" w:firstLine="2156"/>
        <w:spacing w:after="0" w:line="376" w:lineRule="auto"/>
        <w:rPr>
          <w:sz w:val="20"/>
          <w:szCs w:val="20"/>
          <w:color w:val="auto"/>
        </w:rPr>
      </w:pPr>
      <w:r>
        <w:rPr>
          <w:rFonts w:ascii="Arial" w:cs="Arial" w:eastAsia="Arial" w:hAnsi="Arial"/>
          <w:sz w:val="18"/>
          <w:szCs w:val="18"/>
          <w:b w:val="1"/>
          <w:bCs w:val="1"/>
          <w:color w:val="D2232A"/>
        </w:rPr>
        <w:t>SUBJECT TO COMPLETION, DATED __, 2021 PRELIMINARY PROSPECTUS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$100,000,000</w:t>
      </w:r>
    </w:p>
    <w:p>
      <w:pPr>
        <w:spacing w:after="0" w:line="32" w:lineRule="exact"/>
        <w:rPr>
          <w:sz w:val="20"/>
          <w:szCs w:val="20"/>
          <w:color w:val="auto"/>
        </w:rPr>
      </w:pPr>
    </w:p>
    <w:p>
      <w:pPr>
        <w:ind w:left="3280" w:right="3379" w:firstLine="89"/>
        <w:spacing w:after="0" w:line="292" w:lineRule="auto"/>
        <w:rPr>
          <w:sz w:val="20"/>
          <w:szCs w:val="20"/>
          <w:color w:val="auto"/>
        </w:rPr>
      </w:pPr>
      <w:r>
        <w:rPr>
          <w:rFonts w:ascii="Arial" w:cs="Arial" w:eastAsia="Arial" w:hAnsi="Arial"/>
          <w:sz w:val="26"/>
          <w:szCs w:val="26"/>
          <w:b w:val="1"/>
          <w:bCs w:val="1"/>
          <w:color w:val="auto"/>
        </w:rPr>
        <w:t>Archimedes Tech SPAC Partners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1448435"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8435" cy="19748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-435610</wp:posOffset>
            </wp:positionV>
            <wp:extent cx="124333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48006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b w:val="1"/>
          <w:bCs w:val="1"/>
          <w:color w:val="auto"/>
        </w:rPr>
        <w:t>10,000,000 Units</w:t>
      </w:r>
    </w:p>
    <w:p>
      <w:pPr>
        <w:spacing w:after="0" w:line="1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___________________</w:t>
      </w:r>
    </w:p>
    <w:p>
      <w:pPr>
        <w:spacing w:after="0" w:line="142" w:lineRule="exact"/>
        <w:rPr>
          <w:sz w:val="20"/>
          <w:szCs w:val="20"/>
          <w:color w:val="auto"/>
        </w:rPr>
      </w:pPr>
    </w:p>
    <w:p>
      <w:pPr>
        <w:jc w:val="both"/>
        <w:ind w:left="460" w:right="459"/>
        <w:spacing w:after="0" w:line="239" w:lineRule="auto"/>
        <w:rPr>
          <w:sz w:val="20"/>
          <w:szCs w:val="20"/>
          <w:color w:val="auto"/>
        </w:rPr>
      </w:pPr>
      <w:r>
        <w:rPr>
          <w:rFonts w:ascii="Arial" w:cs="Arial" w:eastAsia="Arial" w:hAnsi="Arial"/>
          <w:sz w:val="12"/>
          <w:szCs w:val="12"/>
          <w:color w:val="auto"/>
        </w:rPr>
        <w:t>Archimedes Tech SPAC Partners Co. is a blank check company formed for the purpose of entering into a merger, share exchange, asset acquisition, stock purchase, recapitalization, reorganization or other similar business combination with one or more businesses or entities, which we refer to as a “target business.” Our efforts to identify a prospective target business will not be limited to a particular industry or geographic region although we intend to focus our search for target businesses in the technology industry. We do not have any specific business combination under consideration and we have not (nor has anyone on our behalf), directly or indirectly, contacted any prospective target business or had any substantive discussions, formal or otherwise, with respect to such a transaction. If we are unable to consummate an initial business combination within 18 months from the closing of this offering (or up to 21 months if a definitive agreement with respect to a proposed business combination has been executed within 18 months), we will redeem 100% of the public subunits (as defined below) for a pro rata portion of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w:t>
      </w:r>
    </w:p>
    <w:p>
      <w:pPr>
        <w:spacing w:after="0" w:line="70" w:lineRule="exact"/>
        <w:rPr>
          <w:sz w:val="20"/>
          <w:szCs w:val="20"/>
          <w:color w:val="auto"/>
        </w:rPr>
      </w:pPr>
    </w:p>
    <w:p>
      <w:pPr>
        <w:jc w:val="both"/>
        <w:ind w:left="460" w:right="459"/>
        <w:spacing w:after="0" w:line="223"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subunit and one-half of a warrant. Each subunit consists of one share of our common stock and one-quarter of a warrant. Each whole warrant entitles the holder to purchase one share of common stock at a price of $11.50 per share. Each whole warrant will become exercisable 30 days after the completion of an initial business combination and will expire on the fifth anniversary of our completion of an initial business combination, or earlier upon redemption or liquidation. No fractional warrants will be issued upon separation of the units and only whole warrants will trade. We have granted the underwriters a 45-day option to purchase up to an additional 1,500,000 units to cover over-allotments, if any.</w:t>
      </w:r>
    </w:p>
    <w:p>
      <w:pPr>
        <w:spacing w:after="0" w:line="58" w:lineRule="exact"/>
        <w:rPr>
          <w:sz w:val="20"/>
          <w:szCs w:val="20"/>
          <w:color w:val="auto"/>
        </w:rPr>
      </w:pPr>
    </w:p>
    <w:p>
      <w:pPr>
        <w:jc w:val="both"/>
        <w:ind w:left="460" w:right="459"/>
        <w:spacing w:after="0" w:line="239" w:lineRule="auto"/>
        <w:rPr>
          <w:sz w:val="20"/>
          <w:szCs w:val="20"/>
          <w:color w:val="auto"/>
        </w:rPr>
      </w:pPr>
      <w:r>
        <w:rPr>
          <w:rFonts w:ascii="Arial" w:cs="Arial" w:eastAsia="Arial" w:hAnsi="Arial"/>
          <w:sz w:val="12"/>
          <w:szCs w:val="12"/>
          <w:color w:val="auto"/>
        </w:rPr>
        <w:t>Archimedes Tech SPAC Sponsors LLC, our sponsor, and EarlyBirdCapital, Inc., or EarlyBirdCapital, the representative of the underwriters in this offering,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will consist of one subunit and one-half of a warrant. Each such subunit, or “private subunit,” will consist of one share of our common stock or “private shares,” and one-quarter of a warrant. The warrants included in the private units and private subunits are referred to as the “private warrants.”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in this prospectus.</w:t>
      </w:r>
    </w:p>
    <w:p>
      <w:pPr>
        <w:spacing w:after="0" w:line="70" w:lineRule="exact"/>
        <w:rPr>
          <w:sz w:val="20"/>
          <w:szCs w:val="20"/>
          <w:color w:val="auto"/>
        </w:rPr>
      </w:pPr>
    </w:p>
    <w:p>
      <w:pPr>
        <w:jc w:val="both"/>
        <w:ind w:left="460" w:right="459"/>
        <w:spacing w:after="0" w:line="300" w:lineRule="auto"/>
        <w:rPr>
          <w:sz w:val="20"/>
          <w:szCs w:val="20"/>
          <w:color w:val="auto"/>
        </w:rPr>
      </w:pPr>
      <w:r>
        <w:rPr>
          <w:rFonts w:ascii="Arial" w:cs="Arial" w:eastAsia="Arial" w:hAnsi="Arial"/>
          <w:sz w:val="10"/>
          <w:szCs w:val="10"/>
          <w:color w:val="auto"/>
        </w:rPr>
        <w:t>There is presently no public market for our units, subunits, shares of common stock or warrants. We intend to apply to have our units listed on the Nasdaq Capital Market, or Nasdaq, under the symbol “ATSPU” on or promptly after the date of this prospectus. The securities comprising the units will begin separate</w:t>
      </w:r>
    </w:p>
    <w:p>
      <w:pPr>
        <w:jc w:val="both"/>
        <w:ind w:left="460" w:right="459"/>
        <w:spacing w:after="0" w:line="241" w:lineRule="auto"/>
        <w:rPr>
          <w:sz w:val="20"/>
          <w:szCs w:val="20"/>
          <w:color w:val="auto"/>
        </w:rPr>
      </w:pPr>
      <w:r>
        <w:rPr>
          <w:rFonts w:ascii="Arial" w:cs="Arial" w:eastAsia="Arial" w:hAnsi="Arial"/>
          <w:sz w:val="12"/>
          <w:szCs w:val="12"/>
          <w:color w:val="auto"/>
        </w:rPr>
        <w:t>trading on the 90</w:t>
      </w:r>
      <w:r>
        <w:rPr>
          <w:rFonts w:ascii="Arial" w:cs="Arial" w:eastAsia="Arial" w:hAnsi="Arial"/>
          <w:sz w:val="13"/>
          <w:szCs w:val="13"/>
          <w:color w:val="auto"/>
          <w:vertAlign w:val="superscript"/>
        </w:rPr>
        <w:t>th</w:t>
      </w:r>
      <w:r>
        <w:rPr>
          <w:rFonts w:ascii="Arial" w:cs="Arial" w:eastAsia="Arial" w:hAnsi="Arial"/>
          <w:sz w:val="12"/>
          <w:szCs w:val="12"/>
          <w:color w:val="auto"/>
        </w:rPr>
        <w:t xml:space="preserve"> day following the date of this prospectus unless EarlyBirdCapital informs us of its decision to allow earlier separate trading, subject to our filing a Current Report on Form 8-K with the SEC containing an audited balance sheet reflecting our receipt of the gross proceeds of this offering and issuing a press release announcing when such separate trading will begin; provided that no fractional warrants will be issued upon separation of the units and only whole warrants will trade. We cannot guarantee that our securities will be approved for listing. Once the securities comprising the units begin separate trading, the subunits and public warrants included in the units will be traded on Nasdaq under the symbols “ATSPT” and “ATSPW,” respectively. The common stock will not trade separately unless and until we consummate an initial business combination.</w:t>
      </w:r>
    </w:p>
    <w:p>
      <w:pPr>
        <w:spacing w:after="0" w:line="71" w:lineRule="exact"/>
        <w:rPr>
          <w:sz w:val="20"/>
          <w:szCs w:val="20"/>
          <w:color w:val="auto"/>
        </w:rPr>
      </w:pPr>
    </w:p>
    <w:p>
      <w:pPr>
        <w:jc w:val="both"/>
        <w:ind w:left="460" w:right="479"/>
        <w:spacing w:after="0" w:line="236" w:lineRule="auto"/>
        <w:rPr>
          <w:sz w:val="20"/>
          <w:szCs w:val="20"/>
          <w:color w:val="auto"/>
        </w:rPr>
      </w:pPr>
      <w:r>
        <w:rPr>
          <w:rFonts w:ascii="Arial" w:cs="Arial" w:eastAsia="Arial" w:hAnsi="Arial"/>
          <w:sz w:val="13"/>
          <w:szCs w:val="13"/>
          <w:color w:val="auto"/>
        </w:rPr>
        <w:t>We are an “emerging growth company” as defined in the Jumpstart Our Business Startups Act and will therefore be subject to reduced public company reporting requirements.</w:t>
      </w:r>
    </w:p>
    <w:p>
      <w:pPr>
        <w:spacing w:after="0" w:line="53" w:lineRule="exact"/>
        <w:rPr>
          <w:sz w:val="20"/>
          <w:szCs w:val="20"/>
          <w:color w:val="auto"/>
        </w:rPr>
      </w:pPr>
    </w:p>
    <w:p>
      <w:pPr>
        <w:jc w:val="both"/>
        <w:ind w:left="460" w:right="459"/>
        <w:spacing w:after="0"/>
        <w:rPr>
          <w:sz w:val="20"/>
          <w:szCs w:val="20"/>
          <w:color w:val="auto"/>
        </w:rPr>
      </w:pPr>
      <w:r>
        <w:rPr>
          <w:rFonts w:ascii="Arial" w:cs="Arial" w:eastAsia="Arial" w:hAnsi="Arial"/>
          <w:sz w:val="13"/>
          <w:szCs w:val="13"/>
          <w:b w:val="1"/>
          <w:bCs w:val="1"/>
          <w:color w:val="auto"/>
        </w:rPr>
        <w:t>Investing in our securities involves a high degree of risk. See “Risk Factors” beginning on page 20 of this prospectus for a discussion of information that should be considered in connection with an investment in our securities.</w:t>
      </w:r>
    </w:p>
    <w:p>
      <w:pPr>
        <w:spacing w:after="0" w:line="66" w:lineRule="exact"/>
        <w:rPr>
          <w:sz w:val="20"/>
          <w:szCs w:val="20"/>
          <w:color w:val="auto"/>
        </w:rPr>
      </w:pPr>
    </w:p>
    <w:p>
      <w:pPr>
        <w:jc w:val="both"/>
        <w:ind w:left="460" w:right="479"/>
        <w:spacing w:after="0"/>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Per Unit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b w:val="1"/>
                <w:bCs w:val="1"/>
                <w:color w:val="auto"/>
              </w:rPr>
              <w:t>Total</w:t>
            </w:r>
          </w:p>
        </w:tc>
      </w:tr>
      <w:tr>
        <w:trPr>
          <w:trHeight w:val="30"/>
        </w:trPr>
        <w:tc>
          <w:tcPr>
            <w:tcW w:w="4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100,000,000</w:t>
            </w:r>
          </w:p>
        </w:tc>
      </w:tr>
      <w:tr>
        <w:trPr>
          <w:trHeight w:val="274"/>
        </w:trPr>
        <w:tc>
          <w:tcPr>
            <w:tcW w:w="4200" w:type="dxa"/>
            <w:vAlign w:val="bottom"/>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4"/>
                <w:szCs w:val="14"/>
                <w:color w:val="auto"/>
                <w:vertAlign w:val="superscript"/>
              </w:rPr>
              <w:t>(1)</w:t>
            </w:r>
          </w:p>
        </w:tc>
        <w:tc>
          <w:tcPr>
            <w:tcW w:w="2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0.20</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2,000,000</w:t>
            </w:r>
          </w:p>
        </w:tc>
      </w:tr>
      <w:tr>
        <w:trPr>
          <w:trHeight w:val="27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9.80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98,000,000</w:t>
            </w: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____________</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86" w:lineRule="exact"/>
        <w:rPr>
          <w:sz w:val="20"/>
          <w:szCs w:val="20"/>
          <w:color w:val="auto"/>
        </w:rPr>
      </w:pPr>
    </w:p>
    <w:p>
      <w:pPr>
        <w:jc w:val="both"/>
        <w:ind w:left="880" w:right="479" w:hanging="426"/>
        <w:spacing w:after="0" w:line="230" w:lineRule="auto"/>
        <w:tabs>
          <w:tab w:leader="none" w:pos="946"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The underwriters have received and will receive compensation in addition to the underwriting discount, including 350,000 shares of common stock, which we refer to herein as the “representative shares.” See “Underwriting” for further information relating to the underwriting compensation we will pay in this offering.</w:t>
      </w:r>
    </w:p>
    <w:p>
      <w:pPr>
        <w:spacing w:after="0" w:line="70" w:lineRule="exact"/>
        <w:rPr>
          <w:sz w:val="20"/>
          <w:szCs w:val="20"/>
          <w:color w:val="auto"/>
        </w:rPr>
      </w:pPr>
    </w:p>
    <w:p>
      <w:pPr>
        <w:jc w:val="both"/>
        <w:ind w:left="460" w:right="479"/>
        <w:spacing w:after="0" w:line="226" w:lineRule="auto"/>
        <w:rPr>
          <w:sz w:val="20"/>
          <w:szCs w:val="20"/>
          <w:color w:val="auto"/>
        </w:rPr>
      </w:pPr>
      <w:r>
        <w:rPr>
          <w:rFonts w:ascii="Arial" w:cs="Arial" w:eastAsia="Arial" w:hAnsi="Arial"/>
          <w:sz w:val="13"/>
          <w:szCs w:val="13"/>
          <w:color w:val="auto"/>
        </w:rPr>
        <w:t>Upon consummation of the offering, an aggregate of $100,000,000 (or $115,000,000 if the over-allotment option is exercised in full) or $10.00 per unit sold to the public in this offering will be deposited into a U.S.-based trust account maintained by Continental Stock Transfer &amp; Trust Company, acting as trustee. Except as described in this prospectus, these funds will not be released to us until the earlier of the completion of a business combination and our redemption of our public shares.</w:t>
      </w:r>
    </w:p>
    <w:p>
      <w:pPr>
        <w:spacing w:after="0" w:line="58" w:lineRule="exact"/>
        <w:rPr>
          <w:sz w:val="20"/>
          <w:szCs w:val="20"/>
          <w:color w:val="auto"/>
        </w:rPr>
      </w:pPr>
    </w:p>
    <w:p>
      <w:pPr>
        <w:jc w:val="both"/>
        <w:ind w:left="460" w:right="459"/>
        <w:spacing w:after="0" w:line="223" w:lineRule="auto"/>
        <w:rPr>
          <w:sz w:val="20"/>
          <w:szCs w:val="20"/>
          <w:color w:val="auto"/>
        </w:rPr>
      </w:pPr>
      <w:r>
        <w:rPr>
          <w:rFonts w:ascii="Arial" w:cs="Arial" w:eastAsia="Arial" w:hAnsi="Arial"/>
          <w:sz w:val="13"/>
          <w:szCs w:val="13"/>
          <w:color w:val="auto"/>
        </w:rPr>
        <w:t>EarlyBirdCapital has a “conflict of interest” within the meaning of Financial Industry Regulatory Authority (“FINRA”) Rule 5121(f)(5)(B) in this offering because it beneficially owns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be paid a fee from the total underwriting discount in this offering in consideration for its services and expenses as qualified independent underwriter. See “Underwriting — Conflicts of Interest” for further information.</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The underwriters are offering the units on a firm commitment basis. The underwriters expect to deliver the units to purchasers on or about </w:t>
      </w:r>
      <w:r>
        <w:rPr>
          <w:rFonts w:ascii="Arial" w:cs="Arial" w:eastAsia="Arial" w:hAnsi="Arial"/>
          <w:sz w:val="12"/>
          <w:szCs w:val="12"/>
          <w:b w:val="1"/>
          <w:bCs w:val="1"/>
          <w:color w:val="auto"/>
        </w:rPr>
        <w:t>[•]</w:t>
      </w:r>
      <w:r>
        <w:rPr>
          <w:rFonts w:ascii="Arial" w:cs="Arial" w:eastAsia="Arial" w:hAnsi="Arial"/>
          <w:sz w:val="12"/>
          <w:szCs w:val="12"/>
          <w:color w:val="auto"/>
        </w:rPr>
        <w:t>,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EarlyBirdCapital,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Co-Manager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I-Bankers Securities, Inc.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44"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Summary Financial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Cautionary Note Regarding Forward 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Use of Proceeds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Dividend Policy</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Proposed 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Principal Stockholders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Certain Transactions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Material U.S. Federal Tax Considerations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Underwriting</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Where You Can Find Additional Information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Index to Financial Statements</w:t>
              </w:r>
            </w:hyperlink>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F-1</w:t>
            </w:r>
          </w:p>
        </w:tc>
      </w:tr>
      <w:tr>
        <w:trPr>
          <w:trHeight w:val="40"/>
        </w:trPr>
        <w:tc>
          <w:tcPr>
            <w:tcW w:w="7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44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644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References in this prospectus to “we,” “us” or “our company” refer to Archimedes Tech SPAC Partners Co. References in this prospectus to our “public subunits” refer to the subunits sold as part of the units in this offering (each subunit consisting of one share of our common stock and one-quarter of a warrant), references to our “public shares” refer to shares of our common stock sold as part of the subunits contained in the units sold in this offering (in each case, whether they are purchased in this offering or thereafter in the open market as part of the subunits) and references to “public stockholders” refer to the holders of our subunits which are being sold as part of the units in this public offering, including our sponsor (as defined below), officers and directors to the extent they purchase such subunits, provided that their status as “public stockholders” shall only exist with respect to such subunits. References in this prospectus to our “management” or our “management team” refer to our offıcers and directors, references to our “initial stockholders” refer to our stockholders prior to this offering excluding the holders of the representative shares and references to our “sponsor” refer to Archimedes Tech SPAC Sponsors LLC, a Delaware limited liability company affiliated with Stephen N. Cannon, our Chief Executive Officer, President and Director. The term “equity-linked securities” refers to any debt or equity securities issued in a transaction, including but not limited to a private placement of equity or debt, that are convertible, exercisable or exchangeable for shares of common stock. Unless we tell you otherwise, the information in this prospectus assumes that the underwriters will not exercise their over-allotment option.</w:t>
      </w:r>
    </w:p>
    <w:p>
      <w:pPr>
        <w:spacing w:after="0" w:line="3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ind w:left="540" w:right="559"/>
        <w:spacing w:after="0" w:line="287" w:lineRule="auto"/>
        <w:rPr>
          <w:sz w:val="20"/>
          <w:szCs w:val="20"/>
          <w:color w:val="auto"/>
        </w:rPr>
      </w:pPr>
      <w:r>
        <w:rPr>
          <w:rFonts w:ascii="Arial" w:cs="Arial" w:eastAsia="Arial" w:hAnsi="Arial"/>
          <w:sz w:val="16"/>
          <w:szCs w:val="16"/>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00"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97" w:lineRule="exact"/>
        <w:rPr>
          <w:sz w:val="20"/>
          <w:szCs w:val="20"/>
          <w:color w:val="auto"/>
        </w:rPr>
      </w:pPr>
    </w:p>
    <w:p>
      <w:pPr>
        <w:jc w:val="both"/>
        <w:ind w:left="540" w:right="559"/>
        <w:spacing w:after="0" w:line="270" w:lineRule="auto"/>
        <w:rPr>
          <w:sz w:val="20"/>
          <w:szCs w:val="20"/>
          <w:color w:val="auto"/>
        </w:rPr>
      </w:pPr>
      <w:r>
        <w:rPr>
          <w:rFonts w:ascii="Arial" w:cs="Arial" w:eastAsia="Arial" w:hAnsi="Arial"/>
          <w:sz w:val="17"/>
          <w:szCs w:val="17"/>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 a company that develops, publishes and markets a portfolio of free-to-play mobile games.</w:t>
      </w:r>
    </w:p>
    <w:p>
      <w:pPr>
        <w:spacing w:after="0" w:line="113"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Mr. Brent Callinicos is our special advisor. Mr. Callinicos is currently an angel investor, active in investing in early-stage technology companies. Mr. Callinicos was formerly the Chief Operating Officer and Chief Financial Officer of Virgin Hyperloop One, an autonomous transportation company. Prior to that, Mr. Callinicos was the Chief Financial Officer of Uber Technologies Inc., an on-demand car service company. Prior to that, Mr. Callinicos was the Vice President, Treasurer and Chief Accountant of Google Inc., now known as Alphabet Inc. Prior to that, Mr. Callinicos held several</w:t>
      </w:r>
    </w:p>
    <w:p>
      <w:pPr>
        <w:sectPr>
          <w:pgSz w:w="11900" w:h="16838" w:orient="portrait"/>
          <w:cols w:equalWidth="0" w:num="1">
            <w:col w:w="9019"/>
          </w:cols>
          <w:pgMar w:left="1440" w:top="274" w:right="1440"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9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16"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07" w:lineRule="exact"/>
        <w:rPr>
          <w:sz w:val="20"/>
          <w:szCs w:val="20"/>
          <w:color w:val="auto"/>
        </w:rPr>
      </w:pPr>
    </w:p>
    <w:p>
      <w:pPr>
        <w:jc w:val="both"/>
        <w:ind w:left="540" w:right="559"/>
        <w:spacing w:after="0" w:line="342" w:lineRule="auto"/>
        <w:rPr>
          <w:sz w:val="20"/>
          <w:szCs w:val="20"/>
          <w:color w:val="auto"/>
        </w:rPr>
      </w:pPr>
      <w:r>
        <w:rPr>
          <w:rFonts w:ascii="Arial" w:cs="Arial" w:eastAsia="Arial" w:hAnsi="Arial"/>
          <w:sz w:val="16"/>
          <w:szCs w:val="16"/>
          <w:color w:val="auto"/>
        </w:rPr>
        <w:t>Daniel L Sheehan, our Chief Operating Officer, and Long Long, our Chief Financial Officer, are also currently serving as members of the board and management, respectively, for Ackrell SPAC Partners I Co.</w:t>
      </w:r>
    </w:p>
    <w:p>
      <w:pPr>
        <w:spacing w:after="0" w:line="56" w:lineRule="exact"/>
        <w:rPr>
          <w:sz w:val="20"/>
          <w:szCs w:val="20"/>
          <w:color w:val="auto"/>
        </w:rPr>
      </w:pPr>
    </w:p>
    <w:p>
      <w:pPr>
        <w:jc w:val="both"/>
        <w:ind w:left="540" w:right="559"/>
        <w:spacing w:after="0" w:line="308" w:lineRule="auto"/>
        <w:rPr>
          <w:sz w:val="20"/>
          <w:szCs w:val="20"/>
          <w:color w:val="auto"/>
        </w:rPr>
      </w:pPr>
      <w:r>
        <w:rPr>
          <w:rFonts w:ascii="Arial" w:cs="Arial" w:eastAsia="Arial" w:hAnsi="Arial"/>
          <w:sz w:val="17"/>
          <w:szCs w:val="17"/>
          <w:color w:val="auto"/>
        </w:rPr>
        <w:t>Bryant B. Edwards, a director of ours, served as Chief Operating Officer and director for Twelve Seas Investment Co., a SPAC which successful closed its business combination in December 2019.</w:t>
      </w:r>
    </w:p>
    <w:p>
      <w:pPr>
        <w:spacing w:after="0" w:line="79"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03"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See “</w:t>
      </w:r>
      <w:r>
        <w:rPr>
          <w:rFonts w:ascii="Arial" w:cs="Arial" w:eastAsia="Arial" w:hAnsi="Arial"/>
          <w:sz w:val="16"/>
          <w:szCs w:val="16"/>
          <w:i w:val="1"/>
          <w:iCs w:val="1"/>
          <w:color w:val="auto"/>
        </w:rPr>
        <w:t>Management</w:t>
      </w:r>
      <w:r>
        <w:rPr>
          <w:rFonts w:ascii="Arial" w:cs="Arial" w:eastAsia="Arial" w:hAnsi="Arial"/>
          <w:sz w:val="16"/>
          <w:szCs w:val="16"/>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97" w:lineRule="exact"/>
        <w:rPr>
          <w:sz w:val="20"/>
          <w:szCs w:val="20"/>
          <w:color w:val="auto"/>
        </w:rPr>
      </w:pPr>
    </w:p>
    <w:p>
      <w:pPr>
        <w:jc w:val="both"/>
        <w:ind w:left="540" w:right="559"/>
        <w:spacing w:after="0" w:line="279" w:lineRule="auto"/>
        <w:rPr>
          <w:sz w:val="20"/>
          <w:szCs w:val="20"/>
          <w:color w:val="auto"/>
        </w:rPr>
      </w:pPr>
      <w:r>
        <w:rPr>
          <w:rFonts w:ascii="Arial" w:cs="Arial" w:eastAsia="Arial" w:hAnsi="Arial"/>
          <w:sz w:val="17"/>
          <w:szCs w:val="17"/>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125"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jc w:val="both"/>
        <w:ind w:left="540" w:right="559"/>
        <w:spacing w:after="0" w:line="308" w:lineRule="auto"/>
        <w:rPr>
          <w:sz w:val="20"/>
          <w:szCs w:val="20"/>
          <w:color w:val="auto"/>
        </w:rPr>
      </w:pPr>
      <w:r>
        <w:rPr>
          <w:rFonts w:ascii="Arial" w:cs="Arial" w:eastAsia="Arial" w:hAnsi="Arial"/>
          <w:sz w:val="17"/>
          <w:szCs w:val="17"/>
          <w:color w:val="auto"/>
        </w:rPr>
        <w:t>We believe that our management team is well positioned to identify attractive target businesses within the technology industry and to facilitate a successful business combination for the following reasons:</w:t>
      </w:r>
    </w:p>
    <w:p>
      <w:pPr>
        <w:spacing w:after="0" w:line="61" w:lineRule="exact"/>
        <w:rPr>
          <w:sz w:val="20"/>
          <w:szCs w:val="20"/>
          <w:color w:val="auto"/>
        </w:rPr>
      </w:pPr>
    </w:p>
    <w:p>
      <w:pPr>
        <w:jc w:val="both"/>
        <w:ind w:left="540" w:right="559"/>
        <w:spacing w:after="0" w:line="281" w:lineRule="auto"/>
        <w:rPr>
          <w:sz w:val="20"/>
          <w:szCs w:val="20"/>
          <w:color w:val="auto"/>
        </w:rPr>
      </w:pPr>
      <w:r>
        <w:rPr>
          <w:rFonts w:ascii="Arial" w:cs="Arial" w:eastAsia="Arial" w:hAnsi="Arial"/>
          <w:sz w:val="17"/>
          <w:szCs w:val="17"/>
          <w:b w:val="1"/>
          <w:bCs w:val="1"/>
          <w:color w:val="auto"/>
        </w:rPr>
        <w:t xml:space="preserve">Experience recognizing key technology trends: </w:t>
      </w:r>
      <w:r>
        <w:rPr>
          <w:rFonts w:ascii="Arial" w:cs="Arial" w:eastAsia="Arial" w:hAnsi="Arial"/>
          <w:sz w:val="17"/>
          <w:szCs w:val="17"/>
          <w:color w:val="auto"/>
        </w:rPr>
        <w:t>Our team has demonstrated a long history of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and growing businesses at the epicenter of major technology trends. More recently, certain team members have been active in identifying and investing, at earlier stages, in companies focus on the next big trend, such as artificial intelligence, cloud services and automotive technology.</w:t>
      </w:r>
    </w:p>
    <w:p>
      <w:pPr>
        <w:spacing w:after="0" w:line="97" w:lineRule="exact"/>
        <w:rPr>
          <w:sz w:val="20"/>
          <w:szCs w:val="20"/>
          <w:color w:val="auto"/>
        </w:rPr>
      </w:pPr>
    </w:p>
    <w:p>
      <w:pPr>
        <w:jc w:val="both"/>
        <w:ind w:left="540" w:right="559"/>
        <w:spacing w:after="0" w:line="303" w:lineRule="auto"/>
        <w:rPr>
          <w:sz w:val="20"/>
          <w:szCs w:val="20"/>
          <w:color w:val="auto"/>
        </w:rPr>
      </w:pPr>
      <w:r>
        <w:rPr>
          <w:rFonts w:ascii="Arial" w:cs="Arial" w:eastAsia="Arial" w:hAnsi="Arial"/>
          <w:sz w:val="16"/>
          <w:szCs w:val="16"/>
          <w:b w:val="1"/>
          <w:bCs w:val="1"/>
          <w:color w:val="auto"/>
        </w:rPr>
        <w:t xml:space="preserve">Experience identifying strong management teams: </w:t>
      </w:r>
      <w:r>
        <w:rPr>
          <w:rFonts w:ascii="Arial" w:cs="Arial" w:eastAsia="Arial" w:hAnsi="Arial"/>
          <w:sz w:val="16"/>
          <w:szCs w:val="16"/>
          <w:color w:val="auto"/>
        </w:rPr>
        <w:t>With key members of our team having had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ectPr>
          <w:pgSz w:w="11900" w:h="16838" w:orient="portrait"/>
          <w:cols w:equalWidth="0" w:num="1">
            <w:col w:w="9019"/>
          </w:cols>
          <w:pgMar w:left="1440" w:top="274" w:right="1440" w:bottom="1440" w:gutter="0" w:footer="0" w:header="0"/>
          <w:type w:val="continuous"/>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13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7134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6" w:lineRule="exact"/>
        <w:rPr>
          <w:sz w:val="20"/>
          <w:szCs w:val="20"/>
          <w:color w:val="auto"/>
        </w:rPr>
      </w:pPr>
    </w:p>
    <w:p>
      <w:pPr>
        <w:jc w:val="both"/>
        <w:ind w:left="540" w:right="559"/>
        <w:spacing w:after="0" w:line="289" w:lineRule="auto"/>
        <w:rPr>
          <w:sz w:val="20"/>
          <w:szCs w:val="20"/>
          <w:color w:val="auto"/>
        </w:rPr>
      </w:pPr>
      <w:r>
        <w:rPr>
          <w:rFonts w:ascii="Arial" w:cs="Arial" w:eastAsia="Arial" w:hAnsi="Arial"/>
          <w:sz w:val="17"/>
          <w:szCs w:val="17"/>
          <w:b w:val="1"/>
          <w:bCs w:val="1"/>
          <w:color w:val="auto"/>
        </w:rPr>
        <w:t xml:space="preserve">History of operating experience: </w:t>
      </w:r>
      <w:r>
        <w:rPr>
          <w:rFonts w:ascii="Arial" w:cs="Arial" w:eastAsia="Arial" w:hAnsi="Arial"/>
          <w:sz w:val="17"/>
          <w:szCs w:val="17"/>
          <w:color w:val="auto"/>
        </w:rPr>
        <w:t>The members of our team are seasoned operators having held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level roles in various companies. We have experience in developing and executing strategy, building and retaining teams, and executing business combinations among other activities.</w:t>
      </w:r>
    </w:p>
    <w:p>
      <w:pPr>
        <w:spacing w:after="0" w:line="90" w:lineRule="exact"/>
        <w:rPr>
          <w:sz w:val="20"/>
          <w:szCs w:val="20"/>
          <w:color w:val="auto"/>
        </w:rPr>
      </w:pPr>
    </w:p>
    <w:p>
      <w:pPr>
        <w:jc w:val="both"/>
        <w:ind w:left="540" w:right="559"/>
        <w:spacing w:after="0" w:line="303" w:lineRule="auto"/>
        <w:rPr>
          <w:sz w:val="20"/>
          <w:szCs w:val="20"/>
          <w:color w:val="auto"/>
        </w:rPr>
      </w:pPr>
      <w:r>
        <w:rPr>
          <w:rFonts w:ascii="Arial" w:cs="Arial" w:eastAsia="Arial" w:hAnsi="Arial"/>
          <w:sz w:val="16"/>
          <w:szCs w:val="16"/>
          <w:b w:val="1"/>
          <w:bCs w:val="1"/>
          <w:color w:val="auto"/>
        </w:rPr>
        <w:t xml:space="preserve">Deep network and connections to company founders: </w:t>
      </w:r>
      <w:r>
        <w:rPr>
          <w:rFonts w:ascii="Arial" w:cs="Arial" w:eastAsia="Arial" w:hAnsi="Arial"/>
          <w:sz w:val="16"/>
          <w:szCs w:val="16"/>
          <w:color w:val="auto"/>
        </w:rPr>
        <w:t>Our team has numerous existing connections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founders and business leaders across sectors within the technology industry. We have invested in many companies, served on many boards and have worked with many influential founders and senior management teams within the technology industry, and specifically the sectors we intend to initially focus on.</w:t>
      </w:r>
    </w:p>
    <w:p>
      <w:pPr>
        <w:spacing w:after="0" w:line="70" w:lineRule="exact"/>
        <w:rPr>
          <w:sz w:val="20"/>
          <w:szCs w:val="20"/>
          <w:color w:val="auto"/>
        </w:rPr>
      </w:pPr>
    </w:p>
    <w:p>
      <w:pPr>
        <w:jc w:val="both"/>
        <w:ind w:left="540" w:right="559"/>
        <w:spacing w:after="0" w:line="256" w:lineRule="auto"/>
        <w:rPr>
          <w:sz w:val="20"/>
          <w:szCs w:val="20"/>
          <w:color w:val="auto"/>
        </w:rPr>
      </w:pPr>
      <w:r>
        <w:rPr>
          <w:rFonts w:ascii="Arial" w:cs="Arial" w:eastAsia="Arial" w:hAnsi="Arial"/>
          <w:sz w:val="18"/>
          <w:szCs w:val="18"/>
          <w:b w:val="1"/>
          <w:bCs w:val="1"/>
          <w:color w:val="auto"/>
        </w:rPr>
        <w:t xml:space="preserve">Significant Prior SPAC Experience: </w:t>
      </w:r>
      <w:r>
        <w:rPr>
          <w:rFonts w:ascii="Arial" w:cs="Arial" w:eastAsia="Arial" w:hAnsi="Arial"/>
          <w:sz w:val="18"/>
          <w:szCs w:val="18"/>
          <w:color w:val="auto"/>
        </w:rPr>
        <w:t>Our management team possesses a strong understanding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SPAC structure and market. Our CEO, Stephen N. Cannon, has served as a member of management for five SPACs that have completed initial public offerings, four of which have consummated business combinations. His most recently completed initial business combination was with Twelve Seas Investment Co. in December 2019, and his most recent SPAC initial public offering was Ackrell SPAC Partners I Co. in December 2020.</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Clear and Sustainable Competitive Advantages</w:t>
      </w:r>
    </w:p>
    <w:p>
      <w:pPr>
        <w:spacing w:after="0" w:line="158"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We intend to target businesses that differentiate themselves from their peers in ways that are difficult to replicate and have clear competitive advantages.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High Growth Potential and Cash Flow</w:t>
      </w:r>
    </w:p>
    <w:p>
      <w:pPr>
        <w:spacing w:after="0" w:line="144"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We intend to seek businesses that are well positioned to grow in their respective markets and which have clear plans on how to leverage additional capital to accelerate growth. We expect to target businesses that have had, or expect to have, strong cash flow generation.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Experienced Management Teams</w:t>
      </w:r>
    </w:p>
    <w:p>
      <w:pPr>
        <w:spacing w:after="0" w:line="158"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intend to seek to target businesses that have strong, experienced management teams who we believe may benefit from our financial, managerial and investment expertise as well as our extensive industry networks and insights. We believe that identifying such management teams is particularly important given our target industry.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Attractive Valuations</w:t>
      </w:r>
    </w:p>
    <w:p>
      <w:pPr>
        <w:spacing w:after="0" w:line="158"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We will only evaluate a business that, based on our due diligence and industry experience, represents an attractive valuation relative to publicly listed companies with similar characteristics or in similar industry segments.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Will Benefit from Being a Public Company</w:t>
      </w:r>
    </w:p>
    <w:p>
      <w:pPr>
        <w:spacing w:after="0" w:line="144"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We intend to pursue a business that will benefit from being a public company, including potentially having broader access to capital and a public currency for acquisitions.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Effecting a Business Combination</w:t>
      </w:r>
    </w:p>
    <w:p>
      <w:pPr>
        <w:spacing w:after="0" w:line="162" w:lineRule="exact"/>
        <w:rPr>
          <w:sz w:val="20"/>
          <w:szCs w:val="20"/>
          <w:color w:val="auto"/>
        </w:rPr>
      </w:pPr>
    </w:p>
    <w:p>
      <w:pPr>
        <w:jc w:val="both"/>
        <w:ind w:left="540" w:right="559"/>
        <w:spacing w:after="0" w:line="271"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w:t>
      </w:r>
    </w:p>
    <w:p>
      <w:pPr>
        <w:sectPr>
          <w:pgSz w:w="11900" w:h="16838" w:orient="portrait"/>
          <w:cols w:equalWidth="0" w:num="1">
            <w:col w:w="9019"/>
          </w:cols>
          <w:pgMar w:left="1440" w:top="274" w:right="1440"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763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70" w:lineRule="auto"/>
        <w:rPr>
          <w:sz w:val="20"/>
          <w:szCs w:val="20"/>
          <w:color w:val="auto"/>
        </w:rPr>
      </w:pPr>
      <w:r>
        <w:rPr>
          <w:rFonts w:ascii="Arial" w:cs="Arial" w:eastAsia="Arial" w:hAnsi="Arial"/>
          <w:sz w:val="17"/>
          <w:szCs w:val="17"/>
          <w:color w:val="auto"/>
        </w:rPr>
        <w:t>combination or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13" w:lineRule="exact"/>
        <w:rPr>
          <w:sz w:val="20"/>
          <w:szCs w:val="20"/>
          <w:color w:val="auto"/>
        </w:rPr>
      </w:pPr>
    </w:p>
    <w:p>
      <w:pPr>
        <w:jc w:val="both"/>
        <w:ind w:left="540" w:right="559"/>
        <w:spacing w:after="0" w:line="269" w:lineRule="auto"/>
        <w:rPr>
          <w:sz w:val="20"/>
          <w:szCs w:val="20"/>
          <w:color w:val="auto"/>
        </w:rPr>
      </w:pPr>
      <w:r>
        <w:rPr>
          <w:rFonts w:ascii="Arial" w:cs="Arial" w:eastAsia="Arial" w:hAnsi="Arial"/>
          <w:sz w:val="17"/>
          <w:szCs w:val="17"/>
          <w:color w:val="auto"/>
        </w:rPr>
        <w:t>We will have up to 18 months from the closing of this offering (or up to 21 months if a definitive agreement with respect to a proposed business combination has been executed within 18 months) to consummate an initial business combination. If we are unable to consummate an initial business combination within such time period, we will redeem 100% of the outstanding public subunits for a pro rata portion of the funds held in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 and then seek to dissolve and liquidate. We expect that the pro rata redemption price to be approximately $10.00 per subunit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stockholders.</w:t>
      </w:r>
    </w:p>
    <w:p>
      <w:pPr>
        <w:spacing w:after="0" w:line="98" w:lineRule="exact"/>
        <w:rPr>
          <w:sz w:val="20"/>
          <w:szCs w:val="20"/>
          <w:color w:val="auto"/>
        </w:rPr>
      </w:pPr>
    </w:p>
    <w:p>
      <w:pPr>
        <w:jc w:val="both"/>
        <w:ind w:left="540" w:right="559"/>
        <w:spacing w:after="0" w:line="285" w:lineRule="auto"/>
        <w:rPr>
          <w:sz w:val="20"/>
          <w:szCs w:val="20"/>
          <w:color w:val="auto"/>
        </w:rPr>
      </w:pPr>
      <w:r>
        <w:rPr>
          <w:rFonts w:ascii="Arial" w:cs="Arial" w:eastAsia="Arial" w:hAnsi="Arial"/>
          <w:sz w:val="16"/>
          <w:szCs w:val="16"/>
          <w:color w:val="auto"/>
        </w:rPr>
        <w:t>Nasdaq listing rules require that our initial business combination must occur with one or more target businesses that together have a fair market value of at least 80% of the assets held in the trust account (excluding taxes payable on the interest earned on the trust account) at the time of the agreement to enter into the initial business combination. Notwithstanding the foregoing, if we are not then listed on the Nasdaq for whatever reason, we would no longer be required to meet the foregoing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322" w:lineRule="exact"/>
        <w:rPr>
          <w:sz w:val="20"/>
          <w:szCs w:val="20"/>
          <w:color w:val="auto"/>
        </w:rPr>
      </w:pPr>
    </w:p>
    <w:p>
      <w:pPr>
        <w:jc w:val="both"/>
        <w:ind w:left="540" w:right="559"/>
        <w:spacing w:after="0" w:line="267"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our initial business combination where we merge directly with the target business or a newly formed subsidiary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w:t>
      </w:r>
    </w:p>
    <w:p>
      <w:pPr>
        <w:sectPr>
          <w:pgSz w:w="11900" w:h="16838" w:orient="portrait"/>
          <w:cols w:equalWidth="0" w:num="1">
            <w:col w:w="9019"/>
          </w:cols>
          <w:pgMar w:left="1440" w:top="274"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87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7"/>
          <w:szCs w:val="17"/>
          <w:color w:val="auto"/>
        </w:rPr>
        <w:t>Unlike other blank check company offerings, we have structured our offering to be an offering of units that consist of one subunit (consisting of one share of common stock and one-quarter of a warrant) and one-half of a warrant. We have structured our offering in this fashion for two primary reasons:</w:t>
      </w:r>
    </w:p>
    <w:p>
      <w:pPr>
        <w:spacing w:after="0" w:line="98" w:lineRule="exact"/>
        <w:rPr>
          <w:sz w:val="20"/>
          <w:szCs w:val="20"/>
          <w:color w:val="auto"/>
        </w:rPr>
      </w:pPr>
    </w:p>
    <w:p>
      <w:pPr>
        <w:jc w:val="both"/>
        <w:ind w:left="1400" w:right="559" w:hanging="424"/>
        <w:spacing w:after="0" w:line="255"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11" w:lineRule="exact"/>
        <w:rPr>
          <w:rFonts w:ascii="Arial" w:cs="Arial" w:eastAsia="Arial" w:hAnsi="Arial"/>
          <w:sz w:val="18"/>
          <w:szCs w:val="18"/>
          <w:color w:val="auto"/>
        </w:rPr>
      </w:pPr>
    </w:p>
    <w:p>
      <w:pPr>
        <w:jc w:val="both"/>
        <w:ind w:left="1400" w:right="559" w:hanging="424"/>
        <w:spacing w:after="0" w:line="275" w:lineRule="auto"/>
        <w:tabs>
          <w:tab w:leader="none" w:pos="1445"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Minimize Dilution. This structure may reduce the total number of warrants outstanding, as compared to a structure in which one unit consists of one share and one full warrant, if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9" w:lineRule="exact"/>
        <w:rPr>
          <w:sz w:val="20"/>
          <w:szCs w:val="20"/>
          <w:color w:val="auto"/>
        </w:rPr>
      </w:pPr>
    </w:p>
    <w:p>
      <w:pPr>
        <w:jc w:val="both"/>
        <w:ind w:left="540" w:right="559"/>
        <w:spacing w:after="0" w:line="301" w:lineRule="auto"/>
        <w:rPr>
          <w:sz w:val="20"/>
          <w:szCs w:val="20"/>
          <w:color w:val="auto"/>
        </w:rPr>
      </w:pPr>
      <w:r>
        <w:rPr>
          <w:rFonts w:ascii="Arial" w:cs="Arial" w:eastAsia="Arial" w:hAnsi="Arial"/>
          <w:sz w:val="16"/>
          <w:szCs w:val="16"/>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Conflicts</w:t>
      </w:r>
    </w:p>
    <w:p>
      <w:pPr>
        <w:spacing w:after="0" w:line="162"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Members of our management team will directly or indirectly own shares of our common stock, or other instruments, such as units, subunits or warrants, linked to our common stock,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6" w:lineRule="exact"/>
        <w:rPr>
          <w:sz w:val="20"/>
          <w:szCs w:val="20"/>
          <w:color w:val="auto"/>
        </w:rPr>
      </w:pPr>
    </w:p>
    <w:p>
      <w:pPr>
        <w:jc w:val="both"/>
        <w:ind w:left="540" w:right="559"/>
        <w:spacing w:after="0" w:line="288" w:lineRule="auto"/>
        <w:rPr>
          <w:sz w:val="20"/>
          <w:szCs w:val="20"/>
          <w:color w:val="auto"/>
        </w:rPr>
      </w:pPr>
      <w:r>
        <w:rPr>
          <w:rFonts w:ascii="Arial" w:cs="Arial" w:eastAsia="Arial" w:hAnsi="Arial"/>
          <w:sz w:val="16"/>
          <w:szCs w:val="16"/>
          <w:color w:val="auto"/>
        </w:rPr>
        <w:t xml:space="preserve">Our officers and directors have agreed to present to us all target business opportunities that have a fair market value of at least 80% of the assets held in the trust account (excluding the taxes payable on the interest earned on the trust account), subject to any pre-existing fiduciary or contractual obligations. As more fully discussed in </w:t>
      </w:r>
      <w:r>
        <w:rPr>
          <w:rFonts w:ascii="Arial" w:cs="Arial" w:eastAsia="Arial" w:hAnsi="Arial"/>
          <w:sz w:val="16"/>
          <w:szCs w:val="16"/>
          <w:i w:val="1"/>
          <w:iCs w:val="1"/>
          <w:color w:val="auto"/>
        </w:rPr>
        <w:t>“Management — Conflicts of Interest</w:t>
      </w:r>
      <w:r>
        <w:rPr>
          <w:rFonts w:ascii="Arial" w:cs="Arial" w:eastAsia="Arial" w:hAnsi="Arial"/>
          <w:sz w:val="16"/>
          <w:szCs w:val="16"/>
          <w:color w:val="auto"/>
        </w:rPr>
        <w:t>,” if any of our officers or directors becomes aware of an initial business combination opportunity that might be attractive to any entity to which he has pre-existing fiduciary or contractual obligations, he may be required to present such initial business combination opportunity to such entity prior to presenting such initial business combination opportunity to us. Certain of our other officers and directors currently may have certain relevant pre-existing fiduciary duties or contractual obligations. For more information on the relevant pre-existing fiduciary duties or contractual obligations of our management team, see the section titled “</w:t>
      </w:r>
      <w:r>
        <w:rPr>
          <w:rFonts w:ascii="Arial" w:cs="Arial" w:eastAsia="Arial" w:hAnsi="Arial"/>
          <w:sz w:val="16"/>
          <w:szCs w:val="16"/>
          <w:i w:val="1"/>
          <w:iCs w:val="1"/>
          <w:color w:val="auto"/>
        </w:rPr>
        <w:t>Management — Conflicts of Interest</w:t>
      </w:r>
      <w:r>
        <w:rPr>
          <w:rFonts w:ascii="Arial" w:cs="Arial" w:eastAsia="Arial" w:hAnsi="Arial"/>
          <w:sz w:val="16"/>
          <w:szCs w:val="16"/>
          <w:color w:val="auto"/>
        </w:rPr>
        <w:t>.”</w:t>
      </w:r>
    </w:p>
    <w:p>
      <w:pPr>
        <w:spacing w:after="0" w:line="101"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In addition, some of our officers and directors, including our Chief Executive Officer, are currently officers and/or directors in other SPACs and may participate in the formation of, or become an officer or director of, additional blank check companies prior to completion of our initial business combination. As a result, our officers and/or directors currently have conflicts of interest in determining whether to present business combination opportunities to us or to any other blank check company with which they may become involved and could have additional conflicts in the future.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(which we refer to herein as the JOBS Act) and will remain such for up to five years. However, if our annual gross revenue is $1.07 billion or more, if our non-convertible debt issued within a three year period exceeds $1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have elected, under Section 107(b) of the JOBS Act, to take advantage of the extended transition period provided in Section 7(a)</w:t>
      </w:r>
    </w:p>
    <w:p>
      <w:pPr>
        <w:spacing w:after="0" w:line="2" w:lineRule="exact"/>
        <w:rPr>
          <w:sz w:val="20"/>
          <w:szCs w:val="20"/>
          <w:color w:val="auto"/>
        </w:rPr>
      </w:pPr>
    </w:p>
    <w:p>
      <w:pPr>
        <w:jc w:val="both"/>
        <w:ind w:left="540" w:right="559"/>
        <w:spacing w:after="0" w:line="260"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464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5464810"/>
                    </a:xfrm>
                    <a:prstGeom prst="rect">
                      <a:avLst/>
                    </a:prstGeom>
                    <a:noFill/>
                  </pic:spPr>
                </pic:pic>
              </a:graphicData>
            </a:graphic>
          </wp:anchor>
        </w:drawing>
      </w:r>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On January 4, 2021, we issued 2,875,000 shares of common stock to Archimedes Tech SPAC Sponsors LLC for $25,000, at a purchase price of approximately $0.009 per share, in connection with our formation, that include up to 375,000 shares subject to forfeiture to the extent that the underwriters’ over-allotment is not exercised in full or in part, which we refer to throughout this prospectus as the “</w:t>
      </w:r>
      <w:r>
        <w:rPr>
          <w:rFonts w:ascii="Arial" w:cs="Arial" w:eastAsia="Arial" w:hAnsi="Arial"/>
          <w:sz w:val="18"/>
          <w:szCs w:val="18"/>
          <w:i w:val="1"/>
          <w:iCs w:val="1"/>
          <w:color w:val="auto"/>
        </w:rPr>
        <w:t>founder shares</w:t>
      </w:r>
      <w:r>
        <w:rPr>
          <w:rFonts w:ascii="Arial" w:cs="Arial" w:eastAsia="Arial" w:hAnsi="Arial"/>
          <w:sz w:val="18"/>
          <w:szCs w:val="18"/>
          <w:color w:val="auto"/>
        </w:rPr>
        <w:t>”, owned by our sponsor and director nominees.</w:t>
      </w:r>
    </w:p>
    <w:p>
      <w:pPr>
        <w:spacing w:after="0" w:line="107"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On January 13, 2021, we issued to EarlyBirdCapital and its designees an aggregate of 350,000 shares of common stock at $0.0001 per share, which we refer to throughout this prospectus as the “</w:t>
      </w:r>
      <w:r>
        <w:rPr>
          <w:rFonts w:ascii="Arial" w:cs="Arial" w:eastAsia="Arial" w:hAnsi="Arial"/>
          <w:sz w:val="18"/>
          <w:szCs w:val="18"/>
          <w:i w:val="1"/>
          <w:iCs w:val="1"/>
          <w:color w:val="auto"/>
        </w:rPr>
        <w:t>representative</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 owned by EarlyBirdCapital, the representative of the underwriters in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shares are deemed to be underwriters’ compensation by FINRA pursuant to Rule 5110 of the FINRA Manual.</w:t>
      </w:r>
    </w:p>
    <w:p>
      <w:pPr>
        <w:spacing w:after="0" w:line="120"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In addition, our sponsor and EarlyBirdCapital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consists of one subunit and one-half of a warrant. Each such subunit, or “private subunit” consists of one share of our common stock or “private shares,” and one-quarter of a warrant. The warrants included in the private units and private subunits are referred to as the “private warrants.” Of the 350,000 private units, 300,000 will be purchased by our sponsor and 50,000 will be purchased by EarlyBirdCapital and/or its designees.</w:t>
      </w:r>
    </w:p>
    <w:p>
      <w:pPr>
        <w:spacing w:after="0" w:line="124" w:lineRule="exact"/>
        <w:rPr>
          <w:sz w:val="20"/>
          <w:szCs w:val="20"/>
          <w:color w:val="auto"/>
        </w:rPr>
      </w:pPr>
    </w:p>
    <w:p>
      <w:pPr>
        <w:jc w:val="both"/>
        <w:ind w:left="540" w:right="559"/>
        <w:spacing w:after="0" w:line="268" w:lineRule="auto"/>
        <w:rPr>
          <w:sz w:val="20"/>
          <w:szCs w:val="20"/>
          <w:color w:val="auto"/>
        </w:rPr>
      </w:pPr>
      <w:r>
        <w:rPr>
          <w:rFonts w:ascii="Arial" w:cs="Arial" w:eastAsia="Arial" w:hAnsi="Arial"/>
          <w:sz w:val="17"/>
          <w:szCs w:val="17"/>
          <w:color w:val="auto"/>
        </w:rPr>
        <w:t>Our sponsor and EarlyBirdCapital have also agreed that if the over-allotment option is exercised by the underwriters in full or in part, they and/or their designees will purchase from us additional private units (up to a maximum of 30,000 private units at a price of $10.00 per private unit, of which up to 22,500 will be purchased by our sponsor and 7,500 will be purchased by EarlyBirdCapital and/or its designees)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a U.S.-based trust account maintained by Continental Stock Transfer &amp; Trust Company, as trustee. If we do not complete an initial business combination within 18 months from the closing of this offering (or up to 21 months if a definitive agreement with respect to a proposed business combination has been executed within 18 months), the proceeds from the sale of the private units will be included in the liquidating distribution to our public stockholders and the private units will be worthless.</w:t>
      </w:r>
    </w:p>
    <w:p>
      <w:pPr>
        <w:spacing w:after="0" w:line="105"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Our executive offices are located at 2093 Philadelphia Pike #1968, Claymont, DE 19703 and our telephone number is (650) 560 4753.</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92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9281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right="40" w:hanging="179"/>
        <w:spacing w:after="0" w:line="277" w:lineRule="auto"/>
        <w:rPr>
          <w:sz w:val="20"/>
          <w:szCs w:val="20"/>
          <w:color w:val="auto"/>
        </w:rPr>
      </w:pPr>
      <w:r>
        <w:rPr>
          <w:rFonts w:ascii="Arial" w:cs="Arial" w:eastAsia="Arial" w:hAnsi="Arial"/>
          <w:sz w:val="18"/>
          <w:szCs w:val="18"/>
          <w:color w:val="auto"/>
        </w:rPr>
        <w:t>Listing of our securities and proposed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20" w:hanging="179"/>
        <w:spacing w:after="0" w:line="342" w:lineRule="auto"/>
        <w:rPr>
          <w:sz w:val="20"/>
          <w:szCs w:val="20"/>
          <w:color w:val="auto"/>
        </w:rPr>
      </w:pPr>
      <w:r>
        <w:rPr>
          <w:rFonts w:ascii="Arial" w:cs="Arial" w:eastAsia="Arial" w:hAnsi="Arial"/>
          <w:sz w:val="16"/>
          <w:szCs w:val="16"/>
          <w:color w:val="auto"/>
        </w:rPr>
        <w:t>Trading commencement and separation of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10,000,000 units, at $10.00 per unit, each unit consisting of (i) one subunit, each subunit consisting of one share of common stock and one-quarter of one warrant, and (ii) one-half of one warrant; each whole warrant will be exercisable to purchase one share of common stock.</w:t>
      </w:r>
    </w:p>
    <w:p>
      <w:pPr>
        <w:spacing w:after="0" w:line="347" w:lineRule="exact"/>
        <w:rPr>
          <w:sz w:val="20"/>
          <w:szCs w:val="20"/>
          <w:color w:val="auto"/>
        </w:rPr>
      </w:pPr>
    </w:p>
    <w:p>
      <w:pPr>
        <w:jc w:val="both"/>
        <w:ind w:right="579"/>
        <w:spacing w:after="0" w:line="279" w:lineRule="auto"/>
        <w:rPr>
          <w:sz w:val="20"/>
          <w:szCs w:val="20"/>
          <w:color w:val="auto"/>
        </w:rPr>
      </w:pPr>
      <w:r>
        <w:rPr>
          <w:rFonts w:ascii="Arial" w:cs="Arial" w:eastAsia="Arial" w:hAnsi="Arial"/>
          <w:sz w:val="17"/>
          <w:szCs w:val="17"/>
          <w:color w:val="auto"/>
        </w:rPr>
        <w:t>We anticipate that the units, subunits and public warrants, will be listed on Nasdaq under the symbols “ATSPU,” “ATSPT,” and “ATSPW,” respectively. The common stock will not be listed or traded separately unless and until we consummate an initial business combination.</w:t>
      </w:r>
    </w:p>
    <w:p>
      <w:pPr>
        <w:spacing w:after="0" w:line="360"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The units will begin trading on or promptly after the date of this prospectus. The subunits and warrants comprising the units, but not the shares of common stock and warrants included in the subunits, will begin to trade separately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date of this prospectus unless EarlyBirdCapital informs us of its decision to allow earlier separate trading, subject to our having filed the Current Report on Form 8-K described below and having issued a press release and filed a Current Report on Form 8-K announcing when such separate trading will begin.</w:t>
      </w:r>
    </w:p>
    <w:p>
      <w:pPr>
        <w:spacing w:after="0" w:line="142" w:lineRule="exact"/>
        <w:rPr>
          <w:sz w:val="20"/>
          <w:szCs w:val="20"/>
          <w:color w:val="auto"/>
        </w:rPr>
      </w:pPr>
    </w:p>
    <w:p>
      <w:pPr>
        <w:jc w:val="both"/>
        <w:ind w:right="559"/>
        <w:spacing w:after="0" w:line="290" w:lineRule="auto"/>
        <w:rPr>
          <w:sz w:val="20"/>
          <w:szCs w:val="20"/>
          <w:color w:val="auto"/>
        </w:rPr>
      </w:pPr>
      <w:r>
        <w:rPr>
          <w:rFonts w:ascii="Arial" w:cs="Arial" w:eastAsia="Arial" w:hAnsi="Arial"/>
          <w:sz w:val="16"/>
          <w:szCs w:val="16"/>
          <w:color w:val="auto"/>
        </w:rPr>
        <w:t>Once the subunits and warrants commence separate trading, holders will have the option to continue to hold units or separate their units into the component pieces. Holders will need to have their brokers contact our transfer agent in order to separate the units into subunits and warrants. No fractional warrants will be issued upon separation of the units and only whole warrants will trade. Accordingly, unless you purchase a multiple of two units, the number of tradeable warrants issuable to you upon separation of the units will be rounded down to the nearest whole number of warrants.</w:t>
      </w:r>
    </w:p>
    <w:p>
      <w:pPr>
        <w:spacing w:after="0" w:line="138"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In no event will the subunits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 We will also include the Form 8-K, or amendment thereto, or in a subsequent Form 8-K, information indicating if EarlyBirdCapital has allowed separate trading of the subunits and warrants prior to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after the date of this prospectus.</w:t>
      </w:r>
    </w:p>
    <w:p>
      <w:pPr>
        <w:spacing w:after="0" w:line="154" w:lineRule="exact"/>
        <w:rPr>
          <w:sz w:val="20"/>
          <w:szCs w:val="20"/>
          <w:color w:val="auto"/>
        </w:rPr>
      </w:pPr>
    </w:p>
    <w:p>
      <w:pPr>
        <w:jc w:val="both"/>
        <w:ind w:right="559"/>
        <w:spacing w:after="0" w:line="268" w:lineRule="auto"/>
        <w:rPr>
          <w:sz w:val="20"/>
          <w:szCs w:val="20"/>
          <w:color w:val="auto"/>
        </w:rPr>
      </w:pPr>
      <w:r>
        <w:rPr>
          <w:rFonts w:ascii="Arial" w:cs="Arial" w:eastAsia="Arial" w:hAnsi="Arial"/>
          <w:sz w:val="17"/>
          <w:szCs w:val="17"/>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The common stock will not trade separately unless and until we consummate an initial business combination.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lose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200" w:lineRule="exact"/>
        <w:rPr>
          <w:sz w:val="20"/>
          <w:szCs w:val="20"/>
          <w:color w:val="auto"/>
        </w:rPr>
      </w:pPr>
    </w:p>
    <w:p>
      <w:pPr>
        <w:sectPr>
          <w:pgSz w:w="11900" w:h="16838" w:orient="portrait"/>
          <w:cols w:equalWidth="0" w:num="2">
            <w:col w:w="2600" w:space="380"/>
            <w:col w:w="6039"/>
          </w:cols>
          <w:pgMar w:left="1440" w:top="274" w:right="1440" w:bottom="1440" w:gutter="0" w:footer="0" w:header="0"/>
          <w:type w:val="continuous"/>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71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4" w:right="1440" w:bottom="865"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Units:</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120" w:hanging="179"/>
        <w:spacing w:after="0" w:line="263" w:lineRule="auto"/>
        <w:rPr>
          <w:sz w:val="20"/>
          <w:szCs w:val="20"/>
          <w:color w:val="auto"/>
        </w:rPr>
      </w:pPr>
      <w:r>
        <w:rPr>
          <w:rFonts w:ascii="Arial" w:cs="Arial" w:eastAsia="Arial" w:hAnsi="Arial"/>
          <w:sz w:val="18"/>
          <w:szCs w:val="18"/>
          <w:color w:val="auto"/>
        </w:rPr>
        <w:t>Number outstanding after this offering and private placement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Subunits:</w:t>
      </w:r>
    </w:p>
    <w:p>
      <w:pPr>
        <w:spacing w:after="0" w:line="63"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120" w:hanging="179"/>
        <w:spacing w:after="0" w:line="263" w:lineRule="auto"/>
        <w:rPr>
          <w:sz w:val="20"/>
          <w:szCs w:val="20"/>
          <w:color w:val="auto"/>
        </w:rPr>
      </w:pPr>
      <w:r>
        <w:rPr>
          <w:rFonts w:ascii="Arial" w:cs="Arial" w:eastAsia="Arial" w:hAnsi="Arial"/>
          <w:sz w:val="18"/>
          <w:szCs w:val="18"/>
          <w:color w:val="auto"/>
        </w:rPr>
        <w:t>Number outstanding after this offering and private placement</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 of common stock:</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20" w:hanging="179"/>
        <w:spacing w:after="0" w:line="263" w:lineRule="auto"/>
        <w:rPr>
          <w:sz w:val="20"/>
          <w:szCs w:val="20"/>
          <w:color w:val="auto"/>
        </w:rPr>
      </w:pPr>
      <w:r>
        <w:rPr>
          <w:rFonts w:ascii="Arial" w:cs="Arial" w:eastAsia="Arial" w:hAnsi="Arial"/>
          <w:sz w:val="18"/>
          <w:szCs w:val="18"/>
          <w:color w:val="auto"/>
        </w:rPr>
        <w:t>Number to be outstanding after this offering and private placement</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Warrants:</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60" w:hanging="179"/>
        <w:spacing w:after="0" w:line="263" w:lineRule="auto"/>
        <w:rPr>
          <w:sz w:val="20"/>
          <w:szCs w:val="20"/>
          <w:color w:val="auto"/>
        </w:rPr>
      </w:pPr>
      <w:r>
        <w:rPr>
          <w:rFonts w:ascii="Arial" w:cs="Arial" w:eastAsia="Arial" w:hAnsi="Arial"/>
          <w:sz w:val="18"/>
          <w:szCs w:val="18"/>
          <w:color w:val="auto"/>
        </w:rPr>
        <w:t>Number to be sold as part of units and subunits in private placement</w:t>
      </w:r>
    </w:p>
    <w:p>
      <w:pPr>
        <w:spacing w:after="0" w:line="157" w:lineRule="exact"/>
        <w:rPr>
          <w:sz w:val="20"/>
          <w:szCs w:val="20"/>
          <w:color w:val="auto"/>
        </w:rPr>
      </w:pPr>
    </w:p>
    <w:p>
      <w:pPr>
        <w:ind w:left="720" w:right="220" w:hanging="179"/>
        <w:spacing w:after="0" w:line="259" w:lineRule="auto"/>
        <w:rPr>
          <w:sz w:val="20"/>
          <w:szCs w:val="20"/>
          <w:color w:val="auto"/>
        </w:rPr>
      </w:pPr>
      <w:r>
        <w:rPr>
          <w:rFonts w:ascii="Arial" w:cs="Arial" w:eastAsia="Arial" w:hAnsi="Arial"/>
          <w:sz w:val="18"/>
          <w:szCs w:val="18"/>
          <w:color w:val="auto"/>
        </w:rPr>
        <w:t>Number to be sold as part of units and subunits in this offering and private placement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819" w:firstLine="7"/>
        <w:spacing w:after="0" w:line="840"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units 350,000 units 10,350,000 units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right="4579" w:firstLine="7"/>
        <w:spacing w:after="0" w:line="840"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subunits 350,000 subunits 10,350,000 subunits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3,225,000 shares</w:t>
      </w:r>
      <w:r>
        <w:rPr>
          <w:rFonts w:ascii="Arial" w:cs="Arial" w:eastAsia="Arial" w:hAnsi="Arial"/>
          <w:sz w:val="20"/>
          <w:szCs w:val="20"/>
          <w:color w:val="auto"/>
          <w:vertAlign w:val="superscript"/>
        </w:rPr>
        <w:t>(1)</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350,000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13,200,000 shares</w:t>
      </w:r>
      <w:r>
        <w:rPr>
          <w:rFonts w:ascii="Arial" w:cs="Arial" w:eastAsia="Arial" w:hAnsi="Arial"/>
          <w:sz w:val="20"/>
          <w:szCs w:val="20"/>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659" w:firstLine="7"/>
        <w:spacing w:after="0" w:line="1027"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warrants 262,500 warrants</w:t>
      </w:r>
      <w:r>
        <w:rPr>
          <w:rFonts w:ascii="Arial" w:cs="Arial" w:eastAsia="Arial" w:hAnsi="Arial"/>
          <w:sz w:val="18"/>
          <w:szCs w:val="18"/>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7,762,500 warrants</w:t>
      </w:r>
      <w:r>
        <w:rPr>
          <w:rFonts w:ascii="Arial" w:cs="Arial" w:eastAsia="Arial" w:hAnsi="Arial"/>
          <w:sz w:val="20"/>
          <w:szCs w:val="20"/>
          <w:color w:val="auto"/>
          <w:vertAlign w:val="superscript"/>
        </w:rPr>
        <w:t>(3)</w:t>
      </w:r>
    </w:p>
    <w:p>
      <w:pPr>
        <w:spacing w:after="0" w:line="243"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Each whole warrant is exercisable for one share of common stock at a price of $11.50 per share and only whole warrants are exercisable. The warrants will become exercisable 30 days after the completion of an initial business combination. The warrants will expire at 5:00 p.m., New York City time, on the fifth anniversary of our completion of an initial business combination, or earlier upon redemption.</w:t>
      </w:r>
    </w:p>
    <w:p>
      <w:pPr>
        <w:spacing w:after="0" w:line="372" w:lineRule="exact"/>
        <w:rPr>
          <w:sz w:val="20"/>
          <w:szCs w:val="20"/>
          <w:color w:val="auto"/>
        </w:rPr>
      </w:pPr>
    </w:p>
    <w:p>
      <w:pPr>
        <w:sectPr>
          <w:pgSz w:w="11900" w:h="16838" w:orient="portrait"/>
          <w:cols w:equalWidth="0" w:num="2">
            <w:col w:w="2820" w:space="160"/>
            <w:col w:w="6039"/>
          </w:cols>
          <w:pgMar w:left="1440" w:top="274" w:right="1440" w:bottom="865" w:gutter="0" w:footer="0" w:header="0"/>
          <w:type w:val="continuous"/>
        </w:sectPr>
      </w:pPr>
    </w:p>
    <w:p>
      <w:pPr>
        <w:jc w:val="both"/>
        <w:ind w:left="980" w:right="559" w:hanging="436"/>
        <w:spacing w:after="0" w:line="265" w:lineRule="auto"/>
        <w:tabs>
          <w:tab w:leader="none" w:pos="102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2,875,000 founder shares and 350,000 representative shares. The 2,875,000 founder shares include an aggregate of up to 375,000 founder shares that are subject to forfeiture if the over-allotment option is not exercised by the underwriters in full.</w:t>
      </w:r>
    </w:p>
    <w:p>
      <w:pPr>
        <w:spacing w:after="0" w:line="1" w:lineRule="exact"/>
        <w:rPr>
          <w:rFonts w:ascii="Arial" w:cs="Arial" w:eastAsia="Arial" w:hAnsi="Arial"/>
          <w:sz w:val="16"/>
          <w:szCs w:val="16"/>
          <w:color w:val="auto"/>
        </w:rPr>
      </w:pPr>
    </w:p>
    <w:p>
      <w:pPr>
        <w:ind w:left="980" w:right="559" w:hanging="436"/>
        <w:spacing w:after="0" w:line="264" w:lineRule="auto"/>
        <w:tabs>
          <w:tab w:leader="none" w:pos="1012"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375,000 founder shares have been forfeited.</w:t>
      </w:r>
    </w:p>
    <w:p>
      <w:pPr>
        <w:jc w:val="both"/>
        <w:ind w:left="980" w:right="559" w:hanging="436"/>
        <w:spacing w:after="0" w:line="267" w:lineRule="auto"/>
        <w:tabs>
          <w:tab w:leader="none" w:pos="1055"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unit consists of one subunit and one-half of a warrant. Each subunit consists of one share of our common stock and one-quarter of a warrant. 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have a number of subunits divisible by four at that time or they will lose any fractions of a warrant they hold.</w:t>
      </w:r>
    </w:p>
    <w:p>
      <w:pPr>
        <w:sectPr>
          <w:pgSz w:w="11900" w:h="16838" w:orient="portrait"/>
          <w:cols w:equalWidth="0" w:num="1">
            <w:col w:w="9019"/>
          </w:cols>
          <w:pgMar w:left="1440" w:top="274" w:right="1440" w:bottom="865"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65" w:gutter="0" w:footer="0" w:header="0"/>
          <w:type w:val="continuous"/>
        </w:sectPr>
      </w:pPr>
    </w:p>
    <w:bookmarkStart w:id="13" w:name="page14"/>
    <w:bookmarkEnd w:id="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07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607935"/>
                    </a:xfrm>
                    <a:prstGeom prst="rect">
                      <a:avLst/>
                    </a:prstGeom>
                    <a:noFill/>
                  </pic:spPr>
                </pic:pic>
              </a:graphicData>
            </a:graphic>
          </wp:anchor>
        </w:drawing>
      </w:r>
    </w:p>
    <w:p>
      <w:pPr>
        <w:spacing w:after="0" w:line="367" w:lineRule="exact"/>
        <w:rPr>
          <w:sz w:val="20"/>
          <w:szCs w:val="20"/>
          <w:color w:val="auto"/>
        </w:rPr>
      </w:pPr>
    </w:p>
    <w:p>
      <w:pPr>
        <w:jc w:val="both"/>
        <w:ind w:left="2980" w:right="559"/>
        <w:spacing w:after="0" w:line="285" w:lineRule="auto"/>
        <w:rPr>
          <w:sz w:val="20"/>
          <w:szCs w:val="20"/>
          <w:color w:val="auto"/>
        </w:rPr>
      </w:pPr>
      <w:r>
        <w:rPr>
          <w:rFonts w:ascii="Arial" w:cs="Arial" w:eastAsia="Arial" w:hAnsi="Arial"/>
          <w:sz w:val="16"/>
          <w:szCs w:val="16"/>
          <w:color w:val="auto"/>
        </w:rPr>
        <w:t>We structured each unit to consist of one subunit (consisting of one share of common stock and one-quarter of a warrant) and one-half of a warrant. We have structured our offering in this fashion to attempt to (i) maximize the amount of cash in trust that will be available for our use following our business combination and (ii) to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 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three-quarters of a full warrant, due to a reduction in the number of warrants outstanding.</w:t>
      </w:r>
    </w:p>
    <w:p>
      <w:pPr>
        <w:spacing w:after="0" w:line="136"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Exercise price</w:t>
      </w:r>
      <w:r>
        <w:rPr>
          <w:sz w:val="20"/>
          <w:szCs w:val="20"/>
          <w:color w:val="auto"/>
        </w:rPr>
        <w:tab/>
      </w:r>
      <w:r>
        <w:rPr>
          <w:rFonts w:ascii="Arial" w:cs="Arial" w:eastAsia="Arial" w:hAnsi="Arial"/>
          <w:sz w:val="16"/>
          <w:szCs w:val="16"/>
          <w:color w:val="auto"/>
        </w:rPr>
        <w:t>$11.50 per share, subject to adjustment as described herein. In addition, if</w:t>
      </w:r>
    </w:p>
    <w:p>
      <w:pPr>
        <w:spacing w:after="0" w:line="23" w:lineRule="exact"/>
        <w:rPr>
          <w:sz w:val="20"/>
          <w:szCs w:val="20"/>
          <w:color w:val="auto"/>
        </w:rPr>
      </w:pPr>
    </w:p>
    <w:p>
      <w:pPr>
        <w:jc w:val="both"/>
        <w:ind w:left="2980" w:right="559" w:firstLine="7"/>
        <w:spacing w:after="0" w:line="281" w:lineRule="auto"/>
        <w:tabs>
          <w:tab w:leader="none" w:pos="3247"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6" w:lineRule="exact"/>
        <w:rPr>
          <w:rFonts w:ascii="Arial" w:cs="Arial" w:eastAsia="Arial" w:hAnsi="Arial"/>
          <w:sz w:val="16"/>
          <w:szCs w:val="16"/>
          <w:color w:val="auto"/>
        </w:rPr>
      </w:pPr>
    </w:p>
    <w:p>
      <w:pPr>
        <w:jc w:val="both"/>
        <w:ind w:left="2980" w:right="559" w:firstLine="7"/>
        <w:spacing w:after="0" w:line="268" w:lineRule="auto"/>
        <w:tabs>
          <w:tab w:leader="none" w:pos="323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volume weighted average trading price of our shares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56"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6"/>
          <w:szCs w:val="16"/>
          <w:color w:val="auto"/>
        </w:rPr>
        <w:t>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7710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77108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hanging="179"/>
        <w:spacing w:after="0" w:line="311" w:lineRule="auto"/>
        <w:rPr>
          <w:sz w:val="20"/>
          <w:szCs w:val="20"/>
          <w:color w:val="auto"/>
        </w:rPr>
      </w:pPr>
      <w:r>
        <w:rPr>
          <w:rFonts w:ascii="Arial" w:cs="Arial" w:eastAsia="Arial" w:hAnsi="Arial"/>
          <w:sz w:val="16"/>
          <w:szCs w:val="16"/>
          <w:color w:val="auto"/>
        </w:rPr>
        <w:t>Securities purchased, or being purchased, by insiders in connection with this offering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We may redeem the outstanding warrants (excluding the private warrants underlying the private units and private subunits, and any warrants underlying additional units issued to our sponsor, officers, directors, initial stockholders or their affiliates in payment of working capital loans made to us) in whole and not in part, at a price of $0.01 per warrant at any time after the warrants become exercisable, upon a minimum of 30 days’ prior written notice of redemption, if, and only if, the last sales price of our shares of common stock equals or exceeds $18.00 per share (as adjusted for stock splits, stock dividends, reorganizations and recapitalizations) for any 20 trading days within a 30 trading day period commencing once the warrants become exercisable and ending three business days before we send the notice of redemption; and if, and only if, there is a current registration statement in effect with respect to the shares of common stock underlying such warrants.</w:t>
      </w:r>
    </w:p>
    <w:p>
      <w:pPr>
        <w:spacing w:after="0" w:line="130" w:lineRule="exact"/>
        <w:rPr>
          <w:sz w:val="20"/>
          <w:szCs w:val="20"/>
          <w:color w:val="auto"/>
        </w:rPr>
      </w:pPr>
    </w:p>
    <w:p>
      <w:pPr>
        <w:jc w:val="both"/>
        <w:ind w:right="559"/>
        <w:spacing w:after="0" w:line="275" w:lineRule="auto"/>
        <w:rPr>
          <w:sz w:val="20"/>
          <w:szCs w:val="20"/>
          <w:color w:val="auto"/>
        </w:rPr>
      </w:pPr>
      <w:r>
        <w:rPr>
          <w:rFonts w:ascii="Arial" w:cs="Arial" w:eastAsia="Arial" w:hAnsi="Arial"/>
          <w:sz w:val="17"/>
          <w:szCs w:val="17"/>
          <w:color w:val="auto"/>
        </w:rPr>
        <w:t>If the foregoing conditions are satisfied and we issue a notice of redemption, each warrant holder can exercise his, her or its warrant prior to the scheduled redemption date. However, the price of the shares of common stock may fall below the $18.00 trigger price as well as the $11.50 warrant exercise price after the redemption notice is issued.</w:t>
      </w:r>
    </w:p>
    <w:p>
      <w:pPr>
        <w:spacing w:after="0" w:line="149"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200" w:lineRule="exact"/>
        <w:rPr>
          <w:sz w:val="20"/>
          <w:szCs w:val="20"/>
          <w:color w:val="auto"/>
        </w:rPr>
      </w:pPr>
    </w:p>
    <w:p>
      <w:pPr>
        <w:spacing w:after="0" w:line="384" w:lineRule="exact"/>
        <w:rPr>
          <w:sz w:val="20"/>
          <w:szCs w:val="20"/>
          <w:color w:val="auto"/>
        </w:rPr>
      </w:pPr>
    </w:p>
    <w:p>
      <w:pPr>
        <w:jc w:val="both"/>
        <w:ind w:right="559"/>
        <w:spacing w:after="0" w:line="272" w:lineRule="auto"/>
        <w:rPr>
          <w:sz w:val="20"/>
          <w:szCs w:val="20"/>
          <w:color w:val="auto"/>
        </w:rPr>
      </w:pPr>
      <w:r>
        <w:rPr>
          <w:rFonts w:ascii="Arial" w:cs="Arial" w:eastAsia="Arial" w:hAnsi="Arial"/>
          <w:sz w:val="17"/>
          <w:szCs w:val="17"/>
          <w:color w:val="auto"/>
        </w:rPr>
        <w:t>Prior to this offering, we have issued 2,875,000 founder shares owned by our sponsor and director nominees, including up to 375,000 shares subject to forfeiture to the extent that the underwriters’ over-allotment is not exercised in full or in part,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150" w:lineRule="exact"/>
        <w:rPr>
          <w:sz w:val="20"/>
          <w:szCs w:val="20"/>
          <w:color w:val="auto"/>
        </w:rPr>
      </w:pPr>
    </w:p>
    <w:p>
      <w:pPr>
        <w:jc w:val="both"/>
        <w:ind w:right="559"/>
        <w:spacing w:after="0" w:line="289"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However, our initial stockholders and officers and directors have agreed (A) to vote any shares owned by them in favor of any proposed business combination, (B) not to convert any shares in connection with a stockholder vote to approve a proposed initial business combination or sell any shares to us in a tender offer in connection with a proposed initial business combination and (C) that the founder shares will not participate in any liquidating distributions from our trust account upon winding up if a business combination is not consummated.</w:t>
      </w:r>
    </w:p>
    <w:p>
      <w:pPr>
        <w:spacing w:after="0" w:line="200" w:lineRule="exact"/>
        <w:rPr>
          <w:sz w:val="20"/>
          <w:szCs w:val="20"/>
          <w:color w:val="auto"/>
        </w:rPr>
      </w:pPr>
    </w:p>
    <w:p>
      <w:pPr>
        <w:sectPr>
          <w:pgSz w:w="11900" w:h="16838" w:orient="portrait"/>
          <w:cols w:equalWidth="0" w:num="2">
            <w:col w:w="2800" w:space="180"/>
            <w:col w:w="6039"/>
          </w:cols>
          <w:pgMar w:left="1440" w:top="274" w:right="1440" w:bottom="1440" w:gutter="0" w:footer="0" w:header="0"/>
          <w:type w:val="continuous"/>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53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253855"/>
                    </a:xfrm>
                    <a:prstGeom prst="rect">
                      <a:avLst/>
                    </a:prstGeom>
                    <a:noFill/>
                  </pic:spPr>
                </pic:pic>
              </a:graphicData>
            </a:graphic>
          </wp:anchor>
        </w:drawing>
      </w:r>
    </w:p>
    <w:p>
      <w:pPr>
        <w:sectPr>
          <w:pgSz w:w="11900" w:h="16838" w:orient="portrait"/>
          <w:cols w:equalWidth="0" w:num="1">
            <w:col w:w="9019"/>
          </w:cols>
          <w:pgMar w:left="1440" w:top="274" w:right="1440" w:bottom="8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0" w:hanging="179"/>
        <w:spacing w:after="0" w:line="263" w:lineRule="auto"/>
        <w:rPr>
          <w:sz w:val="20"/>
          <w:szCs w:val="20"/>
          <w:color w:val="auto"/>
        </w:rPr>
      </w:pPr>
      <w:r>
        <w:rPr>
          <w:rFonts w:ascii="Arial" w:cs="Arial" w:eastAsia="Arial" w:hAnsi="Arial"/>
          <w:sz w:val="18"/>
          <w:szCs w:val="18"/>
          <w:color w:val="auto"/>
        </w:rPr>
        <w:t>Restrictions on transfer of founder shares and private units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3" w:lineRule="auto"/>
        <w:rPr>
          <w:sz w:val="20"/>
          <w:szCs w:val="20"/>
          <w:color w:val="auto"/>
        </w:rPr>
      </w:pPr>
      <w:r>
        <w:rPr>
          <w:rFonts w:ascii="Arial" w:cs="Arial" w:eastAsia="Arial" w:hAnsi="Arial"/>
          <w:sz w:val="16"/>
          <w:szCs w:val="16"/>
          <w:color w:val="auto"/>
        </w:rPr>
        <w:t>Simultaneously with the consummation of this offering, 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one-half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amounts to be paid upon consummation of the private placement will be placed in escrow with our counsel prior to the consummation of this offering.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shares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358" w:lineRule="exact"/>
        <w:rPr>
          <w:sz w:val="20"/>
          <w:szCs w:val="20"/>
          <w:color w:val="auto"/>
        </w:rPr>
      </w:pPr>
    </w:p>
    <w:p>
      <w:pPr>
        <w:jc w:val="both"/>
        <w:ind w:right="579"/>
        <w:spacing w:after="0" w:line="289" w:lineRule="auto"/>
        <w:rPr>
          <w:sz w:val="20"/>
          <w:szCs w:val="20"/>
          <w:color w:val="auto"/>
        </w:rPr>
      </w:pPr>
      <w:r>
        <w:rPr>
          <w:rFonts w:ascii="Arial" w:cs="Arial" w:eastAsia="Arial" w:hAnsi="Arial"/>
          <w:sz w:val="16"/>
          <w:szCs w:val="16"/>
          <w:color w:val="auto"/>
        </w:rPr>
        <w:t>If we sought stockholder approval of a proposed transaction we could need as little as 100,001 of our public shares (or approximately 1.0% of our public shares) to be voted in favor of the transaction in order to have such transaction approved (assuming that only a quorum is present at the meeting, that the over-allotment option is not exercised, that the initial stockholders do not purchase any units in this offering or units or subunits in the after-market and that the 350,000 representative shares are voted in favor of the transaction). In the event of a liquidation prior to our initial business combination, the private warrants will likely be worthless.</w:t>
      </w:r>
    </w:p>
    <w:p>
      <w:pPr>
        <w:spacing w:after="0" w:line="355" w:lineRule="exact"/>
        <w:rPr>
          <w:sz w:val="20"/>
          <w:szCs w:val="20"/>
          <w:color w:val="auto"/>
        </w:rPr>
      </w:pPr>
    </w:p>
    <w:p>
      <w:pPr>
        <w:jc w:val="both"/>
        <w:ind w:right="559"/>
        <w:spacing w:after="0" w:line="283" w:lineRule="auto"/>
        <w:rPr>
          <w:sz w:val="20"/>
          <w:szCs w:val="20"/>
          <w:color w:val="auto"/>
        </w:rPr>
      </w:pPr>
      <w:r>
        <w:rPr>
          <w:rFonts w:ascii="Arial" w:cs="Arial" w:eastAsia="Arial" w:hAnsi="Arial"/>
          <w:sz w:val="16"/>
          <w:szCs w:val="16"/>
          <w:color w:val="auto"/>
        </w:rPr>
        <w:t>On the date of this prospectus, the founder shares will be placed into an escrow account maintained in New York, New York by Continental Stock Transfer &amp; Trust Company, acting as escrow agent. Subject to certain limited exceptions, these shares will not be transferred, assigned, sold or released from escrow for a period ending on the six-month anniversary of the date of the consummation of our initial business combination or earlier if, subsequent to our initial business combination, we consummate a liquidation, merger, stock exchange or other similar transaction which results in all of our stockholders having the right to exchange their shares of common stock for cash, securities or other property. The limited exceptions include transfers, assignments or sales (i) among our initial stockholders or to our initial stockholders’ members, officers, directors, consultants or their affiliates, (ii) to a holder’s stockholders or members upon its liquidation, (iii) by bona fide gift to a member of the holder’s immediate family or to a trust, the beneficiary of which is the holder or a</w:t>
      </w:r>
    </w:p>
    <w:p>
      <w:pPr>
        <w:spacing w:after="0"/>
        <w:tabs>
          <w:tab w:leader="none" w:pos="2820" w:val="left"/>
          <w:tab w:leader="none" w:pos="5240" w:val="left"/>
        </w:tabs>
        <w:rPr>
          <w:sz w:val="20"/>
          <w:szCs w:val="20"/>
          <w:color w:val="auto"/>
        </w:rPr>
      </w:pPr>
      <w:r>
        <w:rPr>
          <w:rFonts w:ascii="Arial" w:cs="Arial" w:eastAsia="Arial" w:hAnsi="Arial"/>
          <w:sz w:val="18"/>
          <w:szCs w:val="18"/>
          <w:color w:val="auto"/>
        </w:rPr>
        <w:t>member</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5"/>
          <w:szCs w:val="15"/>
          <w:color w:val="auto"/>
        </w:rPr>
        <w:t>the</w:t>
      </w:r>
    </w:p>
    <w:p>
      <w:pPr>
        <w:spacing w:after="0" w:line="200" w:lineRule="exact"/>
        <w:rPr>
          <w:sz w:val="20"/>
          <w:szCs w:val="20"/>
          <w:color w:val="auto"/>
        </w:rPr>
      </w:pPr>
    </w:p>
    <w:p>
      <w:pPr>
        <w:sectPr>
          <w:pgSz w:w="11900" w:h="16838" w:orient="portrait"/>
          <w:cols w:equalWidth="0" w:num="2">
            <w:col w:w="2620" w:space="360"/>
            <w:col w:w="6039"/>
          </w:cols>
          <w:pgMar w:left="1440" w:top="274" w:right="1440" w:bottom="858"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858" w:gutter="0" w:footer="0" w:header="0"/>
          <w:type w:val="continuous"/>
        </w:sectPr>
      </w:pPr>
    </w:p>
    <w:bookmarkStart w:id="16" w:name="page17"/>
    <w:bookmarkEnd w:id="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453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7453630"/>
                    </a:xfrm>
                    <a:prstGeom prst="rect">
                      <a:avLst/>
                    </a:prstGeom>
                    <a:noFill/>
                  </pic:spPr>
                </pic:pic>
              </a:graphicData>
            </a:graphic>
          </wp:anchor>
        </w:drawing>
      </w:r>
    </w:p>
    <w:p>
      <w:pPr>
        <w:spacing w:after="0" w:line="367"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holder’s immediate family, for estate planning purposes, (iv) by virtue of</w:t>
      </w:r>
    </w:p>
    <w:p>
      <w:pPr>
        <w:spacing w:after="0" w:line="3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laws of descent and distribution upon death, (v) pursuant to a qualified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domestic relations order, (vi) to us for no value for cancellation in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connection with the consummation of our initial business combination, or</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(vii) in connection with the consummation of a business combination at</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prices no greater than the price at which the shares were originally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purchased, in each case (except for clause (vi) or with our prior consent)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where the transferee agrees to the terms of the escrow agreement and to be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bound by these transfer restrictions, but will retain all other rights as our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stockholders, including, without limitation, the right to vote their shares of</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common stock and the right to receive cash dividends, if declared. If</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dividends are declared and payable in shares of common stock, such</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dividends will also be placed in escrow. If we are unable to effect a</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business combination and liquidate, there will be no liquidation distribution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with respect to the founder shares.</w:t>
      </w:r>
    </w:p>
    <w:p>
      <w:pPr>
        <w:spacing w:after="0" w:line="17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purchasers of the private units have also agreed not to transfer, assign</w:t>
      </w:r>
    </w:p>
    <w:p>
      <w:pPr>
        <w:spacing w:after="0" w:line="46"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or sell any of the private units, including the underlying private subunits,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private shares and private warrants (except in connection with the same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limited exceptions that the founder shares may be transferred as described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above), until after the completion of our initial business combination.</w:t>
      </w:r>
    </w:p>
    <w:p>
      <w:pPr>
        <w:spacing w:after="0" w:line="184"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Representative shares</w:t>
      </w:r>
      <w:r>
        <w:rPr>
          <w:sz w:val="20"/>
          <w:szCs w:val="20"/>
          <w:color w:val="auto"/>
        </w:rPr>
        <w:tab/>
      </w:r>
      <w:r>
        <w:rPr>
          <w:rFonts w:ascii="Arial" w:cs="Arial" w:eastAsia="Arial" w:hAnsi="Arial"/>
          <w:sz w:val="16"/>
          <w:szCs w:val="16"/>
          <w:color w:val="auto"/>
        </w:rPr>
        <w:t>On January 13, 2021, we issued to EarlyBirdCapital and its designees an</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aggregate of 350,000 representative shares at $0.0001 per share. The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holders of the representative shares have agreed not to transfer, assign or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sell any such shares without our prior consent until the completion of our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initial business combination. In addition, the holders of the representative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shares have agreed (i) to waive their conversion rights (or right to</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participate in any tender offer) with respect to such shares in connection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with the completion of our initial business combination and (ii) to waive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their rights to liquidating distributions from the trust account with respect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to such shares if we fail to complete our initial business combination within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18 months from the closing of this offering (or up to 21 months if a</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definitive agreement with respect to a proposed business combination has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been executed within 18 months).</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Offering proceeds to be held in trust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An aggregate of $10.00 per unit sold to the public in this offering (regardless of whether or not the over-allotment option is exercised) will be placed in a U.S.-based trust account maintained by Continental Stock Transfer &amp; Trust Company, acting as trustee pursuant to an agreement to be signed on the date of this prospectus. Except as set forth below, the proceeds held in the trust account will not be released until the earlier of the completion of an initial business combination and our redemption of 100% of the outstanding public subunits if we have not completed a business combination in the required time period. Therefore, except as set forth below, unless and until an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200" w:lineRule="exact"/>
        <w:rPr>
          <w:sz w:val="20"/>
          <w:szCs w:val="20"/>
          <w:color w:val="auto"/>
        </w:rPr>
      </w:pPr>
    </w:p>
    <w:p>
      <w:pPr>
        <w:sectPr>
          <w:pgSz w:w="11900" w:h="16838" w:orient="portrait"/>
          <w:cols w:equalWidth="0" w:num="2">
            <w:col w:w="2780" w:space="200"/>
            <w:col w:w="6039"/>
          </w:cols>
          <w:pgMar w:left="1440" w:top="274" w:right="1440" w:bottom="1440"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05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3052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sectPr>
      </w:pPr>
    </w:p>
    <w:p>
      <w:pPr>
        <w:spacing w:after="0" w:line="200" w:lineRule="exact"/>
        <w:rPr>
          <w:sz w:val="20"/>
          <w:szCs w:val="20"/>
          <w:color w:val="auto"/>
        </w:rPr>
      </w:pPr>
    </w:p>
    <w:p>
      <w:pPr>
        <w:spacing w:after="0" w:line="21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Notwithstanding the foregoing, there can be released to us from the trust</w:t>
      </w:r>
    </w:p>
    <w:p>
      <w:pPr>
        <w:spacing w:after="0" w:line="3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account any interest earned on the funds in the trust account that we need to</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pay our income or other tax obligations. With these exceptions, expenses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incurred by us may be paid prior to a business combination only from the</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net proceeds of this offering not held in the trust account (initially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estimated to be $750,000). Additionally, in order to meet our working</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capital needs following the consummation of this offering if the funds not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held in the trust account are insufficient, our sponsor, initial stockholders,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officers, directors and their affiliates may, but are not obligated to, loan us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funds, from time to time or at any time, in whatever amount they deem</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reasonable in their sole discretion. Each loan would be evidenced by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promissory note. The notes would either be paid upon consummation of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initial business combination, without interest, or, at the holder’s discretion,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up to $1,500,000 of the notes may be converted into units at a price of</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$10.00 per unit. The units would consist of one share of our common stock</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and one warrant, which common stock and warrants would be identical to</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common stock and warrants included in the private units. In the event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that the initial business combination does not close, we may use a portion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of the working capital held outside the trust account to repay such loaned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amounts, but no other proceeds from our trust account would be used for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such repayment.</w:t>
      </w:r>
    </w:p>
    <w:p>
      <w:pPr>
        <w:spacing w:after="0" w:line="170" w:lineRule="exact"/>
        <w:rPr>
          <w:sz w:val="20"/>
          <w:szCs w:val="20"/>
          <w:color w:val="auto"/>
        </w:rPr>
      </w:pPr>
    </w:p>
    <w:p>
      <w:pPr>
        <w:ind w:left="2980"/>
        <w:spacing w:after="0"/>
        <w:tabs>
          <w:tab w:leader="none" w:pos="3500" w:val="left"/>
          <w:tab w:leader="none" w:pos="3780" w:val="left"/>
          <w:tab w:leader="none" w:pos="4140" w:val="left"/>
          <w:tab w:leader="none" w:pos="4900" w:val="left"/>
          <w:tab w:leader="none" w:pos="5360" w:val="left"/>
          <w:tab w:leader="none" w:pos="5660" w:val="left"/>
          <w:tab w:leader="none" w:pos="6480" w:val="left"/>
          <w:tab w:leader="none" w:pos="6960" w:val="left"/>
          <w:tab w:leader="none" w:pos="7280" w:val="left"/>
          <w:tab w:leader="none" w:pos="7740" w:val="left"/>
          <w:tab w:leader="none" w:pos="8200" w:val="left"/>
        </w:tabs>
        <w:rPr>
          <w:sz w:val="20"/>
          <w:szCs w:val="20"/>
          <w:color w:val="auto"/>
        </w:rPr>
      </w:pPr>
      <w:r>
        <w:rPr>
          <w:rFonts w:ascii="Arial" w:cs="Arial" w:eastAsia="Arial" w:hAnsi="Arial"/>
          <w:sz w:val="18"/>
          <w:szCs w:val="18"/>
          <w:color w:val="auto"/>
        </w:rPr>
        <w:t>None</w:t>
        <w:tab/>
        <w:t>of</w:t>
        <w:tab/>
        <w:t>the</w:t>
        <w:tab/>
        <w:t>warrants</w:t>
        <w:tab/>
        <w:t>may</w:t>
        <w:tab/>
        <w:t>be</w:t>
        <w:tab/>
        <w:t>exercised</w:t>
        <w:tab/>
        <w:t>until</w:t>
        <w:tab/>
        <w:t>30</w:t>
        <w:tab/>
        <w:t>days</w:t>
        <w:tab/>
        <w:t>after</w:t>
      </w:r>
      <w:r>
        <w:rPr>
          <w:sz w:val="20"/>
          <w:szCs w:val="20"/>
          <w:color w:val="auto"/>
        </w:rPr>
        <w:tab/>
      </w:r>
      <w:r>
        <w:rPr>
          <w:rFonts w:ascii="Arial" w:cs="Arial" w:eastAsia="Arial" w:hAnsi="Arial"/>
          <w:sz w:val="15"/>
          <w:szCs w:val="15"/>
          <w:color w:val="auto"/>
        </w:rPr>
        <w:t>the</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consummation of a business combination and, thus, after the proceeds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trust account have been disbursed. Accordingly, the warrant exercise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price will be paid directly to us and not placed in the trust account.</w:t>
      </w:r>
    </w:p>
    <w:p>
      <w:pPr>
        <w:spacing w:after="0" w:line="184"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6"/>
          <w:szCs w:val="16"/>
          <w:color w:val="auto"/>
        </w:rPr>
        <w:t>There will be no fees, reimbursements or other cash payments paid to our</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officers, directors, initial stockholders or their affiliates for any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services they render prior to, or in order to effectuate the consummation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 initial business combination (regardless of the type of transaction that it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is) other than the following payments, none of which will be made from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proceeds of this offering held in the trust account prior to the completion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our initial business combination:</w:t>
      </w:r>
    </w:p>
    <w:p>
      <w:pPr>
        <w:spacing w:after="0" w:line="184" w:lineRule="exact"/>
        <w:rPr>
          <w:sz w:val="20"/>
          <w:szCs w:val="20"/>
          <w:color w:val="auto"/>
        </w:rPr>
      </w:pPr>
    </w:p>
    <w:p>
      <w:pPr>
        <w:ind w:left="3200"/>
        <w:spacing w:after="0"/>
        <w:tabs>
          <w:tab w:leader="none" w:pos="3460" w:val="left"/>
        </w:tabs>
        <w:rPr>
          <w:sz w:val="20"/>
          <w:szCs w:val="20"/>
          <w:color w:val="auto"/>
        </w:rPr>
      </w:pPr>
      <w:r>
        <w:rPr>
          <w:rFonts w:ascii="Arial" w:cs="Arial" w:eastAsia="Arial" w:hAnsi="Arial"/>
          <w:sz w:val="17"/>
          <w:szCs w:val="17"/>
          <w:color w:val="auto"/>
        </w:rPr>
        <w:t>•</w:t>
        <w:tab/>
        <w:t>repayment at the closing of this offering of an aggregate of up to</w:t>
      </w:r>
    </w:p>
    <w:p>
      <w:pPr>
        <w:spacing w:after="0" w:line="35" w:lineRule="exact"/>
        <w:rPr>
          <w:sz w:val="20"/>
          <w:szCs w:val="20"/>
          <w:color w:val="auto"/>
        </w:rPr>
      </w:pPr>
    </w:p>
    <w:p>
      <w:pPr>
        <w:ind w:left="3420"/>
        <w:spacing w:after="0"/>
        <w:tabs>
          <w:tab w:leader="none" w:pos="6080" w:val="left"/>
          <w:tab w:leader="none" w:pos="6600" w:val="left"/>
          <w:tab w:leader="none" w:pos="7140" w:val="left"/>
          <w:tab w:leader="none" w:pos="7460" w:val="left"/>
          <w:tab w:leader="none" w:pos="7840" w:val="left"/>
        </w:tabs>
        <w:rPr>
          <w:sz w:val="20"/>
          <w:szCs w:val="20"/>
          <w:color w:val="auto"/>
        </w:rPr>
      </w:pPr>
      <w:r>
        <w:rPr>
          <w:rFonts w:ascii="Arial" w:cs="Arial" w:eastAsia="Arial" w:hAnsi="Arial"/>
          <w:sz w:val="18"/>
          <w:szCs w:val="18"/>
          <w:color w:val="auto"/>
        </w:rPr>
        <w:t>$300,000  of  non-interest-bearing</w:t>
        <w:tab/>
        <w:t>loans</w:t>
        <w:tab/>
        <w:t>made</w:t>
        <w:tab/>
        <w:t>by</w:t>
        <w:tab/>
        <w:t>our</w:t>
      </w:r>
      <w:r>
        <w:rPr>
          <w:sz w:val="20"/>
          <w:szCs w:val="20"/>
          <w:color w:val="auto"/>
        </w:rPr>
        <w:tab/>
      </w:r>
      <w:r>
        <w:rPr>
          <w:rFonts w:ascii="Arial" w:cs="Arial" w:eastAsia="Arial" w:hAnsi="Arial"/>
          <w:sz w:val="15"/>
          <w:szCs w:val="15"/>
          <w:color w:val="auto"/>
        </w:rPr>
        <w:t>sponsor,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Archimedes Tech SPAC Sponsors LLC;</w:t>
      </w:r>
    </w:p>
    <w:p>
      <w:pPr>
        <w:spacing w:after="0" w:line="184" w:lineRule="exact"/>
        <w:rPr>
          <w:sz w:val="20"/>
          <w:szCs w:val="20"/>
          <w:color w:val="auto"/>
        </w:rPr>
      </w:pPr>
    </w:p>
    <w:p>
      <w:pPr>
        <w:ind w:left="3200"/>
        <w:spacing w:after="0"/>
        <w:tabs>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$10,000 per month to an affiliate of our Chief Executive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Officer for office space and related services;</w:t>
      </w:r>
    </w:p>
    <w:p>
      <w:pPr>
        <w:spacing w:after="0" w:line="184" w:lineRule="exact"/>
        <w:rPr>
          <w:sz w:val="20"/>
          <w:szCs w:val="20"/>
          <w:color w:val="auto"/>
        </w:rPr>
      </w:pPr>
    </w:p>
    <w:p>
      <w:pPr>
        <w:ind w:left="3200"/>
        <w:spacing w:after="0"/>
        <w:tabs>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consulting, success or finder fees to our sponsor, officers,</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directors, initial stockholders or their affiliates in connection with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consummation of our initial business combination; we may pay such</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fees in the event such parties bring specific target company, industry</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or market expertise, as well as insights or relationships that we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believe  are  necessary  in  order  to  locate,  assess,  negotiate  and</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consummate an initial business combination; the amount of any fee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 pay to such parties will be based upon the prevailing market for</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similar services for such transactions at such time, and will be subject</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to  the  review  of  our  audit  committee  pursuant  to  the  audit</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committee’s policies and procedures relating to transactions that may</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present conflicts of interest; and</w:t>
      </w:r>
    </w:p>
    <w:p>
      <w:pPr>
        <w:spacing w:after="0" w:line="184" w:lineRule="exact"/>
        <w:rPr>
          <w:sz w:val="20"/>
          <w:szCs w:val="20"/>
          <w:color w:val="auto"/>
        </w:rPr>
      </w:pPr>
    </w:p>
    <w:p>
      <w:pPr>
        <w:ind w:left="3200"/>
        <w:spacing w:after="0"/>
        <w:tabs>
          <w:tab w:leader="none" w:pos="3440" w:val="left"/>
        </w:tabs>
        <w:rPr>
          <w:sz w:val="20"/>
          <w:szCs w:val="20"/>
          <w:color w:val="auto"/>
        </w:rPr>
      </w:pPr>
      <w:r>
        <w:rPr>
          <w:rFonts w:ascii="Arial" w:cs="Arial" w:eastAsia="Arial" w:hAnsi="Arial"/>
          <w:sz w:val="17"/>
          <w:szCs w:val="17"/>
          <w:color w:val="auto"/>
        </w:rPr>
        <w:t>•</w:t>
        <w:tab/>
        <w:t>payment to EarlyBirdCapital of the 2% underwriting discount and</w:t>
      </w:r>
    </w:p>
    <w:p>
      <w:pPr>
        <w:spacing w:after="0" w:line="3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3.5% business combination marketing agreement fee (a portion of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business combination marketing fee may be paid to other parties) as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described under the section “Underwriting”; and</w:t>
      </w:r>
    </w:p>
    <w:p>
      <w:pPr>
        <w:spacing w:after="0" w:line="184" w:lineRule="exact"/>
        <w:rPr>
          <w:sz w:val="20"/>
          <w:szCs w:val="20"/>
          <w:color w:val="auto"/>
        </w:rPr>
      </w:pPr>
    </w:p>
    <w:p>
      <w:pPr>
        <w:ind w:left="3200"/>
        <w:spacing w:after="0"/>
        <w:tabs>
          <w:tab w:leader="none" w:pos="3440" w:val="left"/>
        </w:tabs>
        <w:rPr>
          <w:sz w:val="20"/>
          <w:szCs w:val="20"/>
          <w:color w:val="auto"/>
        </w:rPr>
      </w:pPr>
      <w:r>
        <w:rPr>
          <w:rFonts w:ascii="Arial" w:cs="Arial" w:eastAsia="Arial" w:hAnsi="Arial"/>
          <w:sz w:val="16"/>
          <w:szCs w:val="16"/>
          <w:color w:val="auto"/>
        </w:rPr>
        <w:t>•</w:t>
        <w:tab/>
        <w:t>reimbursement of out-of-pocket expenses incurred by our sponsor,</w:t>
      </w:r>
    </w:p>
    <w:p>
      <w:pPr>
        <w:spacing w:after="0" w:line="4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officers, directors, initial stockholders or their affiliates in connection</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with  certain  activities  on  our  behalf,  such  as  our  formation,</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identifying and investigating possible target businesses and business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combinations.</w:t>
      </w:r>
    </w:p>
    <w:p>
      <w:pPr>
        <w:sectPr>
          <w:pgSz w:w="11900" w:h="16838" w:orient="portrait"/>
          <w:cols w:equalWidth="0" w:num="1">
            <w:col w:w="9019"/>
          </w:cols>
          <w:pgMar w:left="1440" w:top="274" w:right="1440" w:bottom="7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type w:val="continuous"/>
        </w:sectPr>
      </w:pPr>
    </w:p>
    <w:bookmarkStart w:id="18" w:name="page19"/>
    <w:bookmarkEnd w:id="1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25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20" w:hanging="179"/>
        <w:spacing w:after="0" w:line="259" w:lineRule="auto"/>
        <w:rPr>
          <w:sz w:val="20"/>
          <w:szCs w:val="20"/>
          <w:color w:val="auto"/>
        </w:rPr>
      </w:pPr>
      <w:r>
        <w:rPr>
          <w:rFonts w:ascii="Arial" w:cs="Arial" w:eastAsia="Arial" w:hAnsi="Arial"/>
          <w:sz w:val="18"/>
          <w:szCs w:val="18"/>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There is no limit on the amount of consulting, success or finder fees payable by us upon consummation of an initial business combination. Additionally,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initial stockholders or our or their respective affiliates, with any interested director abstaining from such review and approval.</w:t>
      </w:r>
    </w:p>
    <w:p>
      <w:pPr>
        <w:spacing w:after="0" w:line="200" w:lineRule="exact"/>
        <w:rPr>
          <w:sz w:val="20"/>
          <w:szCs w:val="20"/>
          <w:color w:val="auto"/>
        </w:rPr>
      </w:pPr>
    </w:p>
    <w:p>
      <w:pPr>
        <w:spacing w:after="0" w:line="377"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In connection with any proposed initial business combination, we will either (1) seek stockholder approval of such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determine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71" w:lineRule="exact"/>
        <w:rPr>
          <w:sz w:val="20"/>
          <w:szCs w:val="20"/>
          <w:color w:val="auto"/>
        </w:rPr>
      </w:pPr>
    </w:p>
    <w:p>
      <w:pPr>
        <w:jc w:val="both"/>
        <w:ind w:right="559"/>
        <w:spacing w:after="0" w:line="287" w:lineRule="auto"/>
        <w:rPr>
          <w:sz w:val="20"/>
          <w:szCs w:val="20"/>
          <w:color w:val="auto"/>
        </w:rPr>
      </w:pPr>
      <w:r>
        <w:rPr>
          <w:rFonts w:ascii="Arial" w:cs="Arial" w:eastAsia="Arial" w:hAnsi="Arial"/>
          <w:sz w:val="16"/>
          <w:szCs w:val="16"/>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41"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Our initial stockholders and officers and directors and their affiliates have agreed (i) to vote any shares included in any subunits owned by them in favor of any proposed business combination, (ii) not to convert any subunits in connection with a stockholder vote to approve a proposed initial business combination and (iii) not to sell any subunits to us in a tender offer in connection with any proposed business combination.</w:t>
      </w:r>
    </w:p>
    <w:p>
      <w:pPr>
        <w:spacing w:after="0" w:line="200" w:lineRule="exact"/>
        <w:rPr>
          <w:sz w:val="20"/>
          <w:szCs w:val="20"/>
          <w:color w:val="auto"/>
        </w:rPr>
      </w:pPr>
    </w:p>
    <w:p>
      <w:pPr>
        <w:sectPr>
          <w:pgSz w:w="11900" w:h="16838" w:orient="portrait"/>
          <w:cols w:equalWidth="0" w:num="2">
            <w:col w:w="2580" w:space="400"/>
            <w:col w:w="6039"/>
          </w:cols>
          <w:pgMar w:left="1440" w:top="274" w:right="1440" w:bottom="1440" w:gutter="0" w:footer="0" w:header="0"/>
          <w:type w:val="continuous"/>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99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9099550"/>
                    </a:xfrm>
                    <a:prstGeom prst="rect">
                      <a:avLst/>
                    </a:prstGeom>
                    <a:noFill/>
                  </pic:spPr>
                </pic:pic>
              </a:graphicData>
            </a:graphic>
          </wp:anchor>
        </w:drawing>
      </w:r>
    </w:p>
    <w:p>
      <w:pPr>
        <w:sectPr>
          <w:pgSz w:w="11900" w:h="16838" w:orient="portrait"/>
          <w:cols w:equalWidth="0" w:num="1">
            <w:col w:w="9019"/>
          </w:cols>
          <w:pgMar w:left="1440" w:top="274" w:right="1440" w:bottom="1101" w:gutter="0" w:footer="0" w:header="0"/>
        </w:sectPr>
      </w:pPr>
    </w:p>
    <w:p>
      <w:pPr>
        <w:spacing w:after="0" w:line="200" w:lineRule="exact"/>
        <w:rPr>
          <w:sz w:val="20"/>
          <w:szCs w:val="20"/>
          <w:color w:val="auto"/>
        </w:rPr>
      </w:pPr>
    </w:p>
    <w:p>
      <w:pPr>
        <w:spacing w:after="0" w:line="21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None of our sponsor, initial stockholders, officers, directors or their</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affiliates has indicated any intention to purchase units in this offering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any units, subunits or warrants from persons in the open market or in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private transactions. However, if we hold a meeting to approve a proposed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business combination and a significant number of stockholders vote,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indicate an intention to vote, against a proposed business combination,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initial stockholders, officers, directors or their affiliates could</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make such purchases in the open market or in private transactions in order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to  influence  any  vote  held  to  approve  a  proposed  initial  business</w:t>
      </w:r>
    </w:p>
    <w:p>
      <w:pPr>
        <w:spacing w:after="0" w:line="21" w:lineRule="exact"/>
        <w:rPr>
          <w:sz w:val="20"/>
          <w:szCs w:val="20"/>
          <w:color w:val="auto"/>
        </w:rPr>
      </w:pPr>
    </w:p>
    <w:p>
      <w:pPr>
        <w:ind w:left="2980"/>
        <w:spacing w:after="0"/>
        <w:tabs>
          <w:tab w:leader="none" w:pos="4060" w:val="left"/>
          <w:tab w:leader="none" w:pos="5400" w:val="left"/>
          <w:tab w:leader="none" w:pos="5760" w:val="left"/>
          <w:tab w:leader="none" w:pos="6640" w:val="left"/>
          <w:tab w:leader="none" w:pos="7020" w:val="left"/>
          <w:tab w:leader="none" w:pos="7760" w:val="left"/>
        </w:tabs>
        <w:rPr>
          <w:sz w:val="20"/>
          <w:szCs w:val="20"/>
          <w:color w:val="auto"/>
        </w:rPr>
      </w:pPr>
      <w:r>
        <w:rPr>
          <w:rFonts w:ascii="Arial" w:cs="Arial" w:eastAsia="Arial" w:hAnsi="Arial"/>
          <w:sz w:val="18"/>
          <w:szCs w:val="18"/>
          <w:color w:val="auto"/>
        </w:rPr>
        <w:t>combination.</w:t>
        <w:tab/>
        <w:t>Notwithstanding</w:t>
        <w:tab/>
        <w:t>the</w:t>
        <w:tab/>
        <w:t>foregoing,</w:t>
        <w:tab/>
        <w:t>our</w:t>
        <w:tab/>
        <w:t>officers,</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and their affiliates will not make purchases of units, subunits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warrants if the purchases would violate Section 9(a)(2) or Rule 10b-5 of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Exchange Act, which are rules designed to stop potential manipulation of a</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company’s stock.</w:t>
      </w:r>
    </w:p>
    <w:p>
      <w:pPr>
        <w:spacing w:after="0" w:line="170"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Conversion rights</w:t>
      </w:r>
      <w:r>
        <w:rPr>
          <w:sz w:val="20"/>
          <w:szCs w:val="20"/>
          <w:color w:val="auto"/>
        </w:rPr>
        <w:tab/>
      </w:r>
      <w:r>
        <w:rPr>
          <w:rFonts w:ascii="Arial" w:cs="Arial" w:eastAsia="Arial" w:hAnsi="Arial"/>
          <w:sz w:val="16"/>
          <w:szCs w:val="16"/>
          <w:color w:val="auto"/>
        </w:rPr>
        <w:t>In connection with any stockholder meeting called to approve a proposed</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initial business combination, each public stockholder will have the right,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regardless of whether he or she is voting for or against such proposed</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business combination or does not vote at all, to demand that we convert his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or her subunits into a pro rata share of the trust account. However, any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stockholder redeeming its subunits will forfeit the one-quarter of a warrant</w:t>
      </w:r>
    </w:p>
    <w:p>
      <w:pPr>
        <w:spacing w:after="0" w:line="32" w:lineRule="exact"/>
        <w:rPr>
          <w:sz w:val="20"/>
          <w:szCs w:val="20"/>
          <w:color w:val="auto"/>
        </w:rPr>
      </w:pPr>
    </w:p>
    <w:p>
      <w:pPr>
        <w:ind w:left="2980"/>
        <w:spacing w:after="0"/>
        <w:tabs>
          <w:tab w:leader="none" w:pos="3720" w:val="left"/>
          <w:tab w:leader="none" w:pos="4020" w:val="left"/>
          <w:tab w:leader="none" w:pos="4480" w:val="left"/>
          <w:tab w:leader="none" w:pos="5200" w:val="left"/>
          <w:tab w:leader="none" w:pos="5900" w:val="left"/>
          <w:tab w:leader="none" w:pos="6260" w:val="left"/>
          <w:tab w:leader="none" w:pos="7020" w:val="left"/>
          <w:tab w:leader="none" w:pos="7320" w:val="left"/>
          <w:tab w:leader="none" w:pos="7720" w:val="left"/>
        </w:tabs>
        <w:rPr>
          <w:sz w:val="20"/>
          <w:szCs w:val="20"/>
          <w:color w:val="auto"/>
        </w:rPr>
      </w:pPr>
      <w:r>
        <w:rPr>
          <w:rFonts w:ascii="Arial" w:cs="Arial" w:eastAsia="Arial" w:hAnsi="Arial"/>
          <w:sz w:val="18"/>
          <w:szCs w:val="18"/>
          <w:color w:val="auto"/>
        </w:rPr>
        <w:t>included</w:t>
        <w:tab/>
        <w:t>in</w:t>
        <w:tab/>
        <w:t>such</w:t>
        <w:tab/>
        <w:t>subunit,</w:t>
        <w:tab/>
        <w:t>without</w:t>
        <w:tab/>
        <w:t>the</w:t>
        <w:tab/>
        <w:t>payment</w:t>
        <w:tab/>
        <w:t>of</w:t>
        <w:tab/>
        <w:t>any</w:t>
      </w:r>
      <w:r>
        <w:rPr>
          <w:sz w:val="20"/>
          <w:szCs w:val="20"/>
          <w:color w:val="auto"/>
        </w:rPr>
        <w:tab/>
      </w:r>
      <w:r>
        <w:rPr>
          <w:rFonts w:ascii="Arial" w:cs="Arial" w:eastAsia="Arial" w:hAnsi="Arial"/>
          <w:sz w:val="16"/>
          <w:szCs w:val="16"/>
          <w:color w:val="auto"/>
        </w:rPr>
        <w:t>additional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consideration.</w:t>
      </w:r>
    </w:p>
    <w:p>
      <w:pPr>
        <w:spacing w:after="0" w:line="184"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We may require public stockholders, whether they are a record holder or</w:t>
      </w:r>
    </w:p>
    <w:p>
      <w:pPr>
        <w:spacing w:after="0" w:line="35"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hold their subunits in “street name,” to either (i) physically tender their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certificates to our transfer agent or (ii) deliver their subunits to the transfer</w:t>
      </w:r>
    </w:p>
    <w:p>
      <w:pPr>
        <w:spacing w:after="0" w:line="32" w:lineRule="exact"/>
        <w:rPr>
          <w:sz w:val="20"/>
          <w:szCs w:val="20"/>
          <w:color w:val="auto"/>
        </w:rPr>
      </w:pPr>
    </w:p>
    <w:p>
      <w:pPr>
        <w:ind w:left="2980"/>
        <w:spacing w:after="0"/>
        <w:tabs>
          <w:tab w:leader="none" w:pos="3560" w:val="left"/>
          <w:tab w:leader="none" w:pos="4720" w:val="left"/>
          <w:tab w:leader="none" w:pos="5320" w:val="left"/>
          <w:tab w:leader="none" w:pos="6300" w:val="left"/>
          <w:tab w:leader="none" w:pos="6880" w:val="left"/>
          <w:tab w:leader="none" w:pos="7900" w:val="left"/>
        </w:tabs>
        <w:rPr>
          <w:sz w:val="20"/>
          <w:szCs w:val="20"/>
          <w:color w:val="auto"/>
        </w:rPr>
      </w:pPr>
      <w:r>
        <w:rPr>
          <w:rFonts w:ascii="Arial" w:cs="Arial" w:eastAsia="Arial" w:hAnsi="Arial"/>
          <w:sz w:val="18"/>
          <w:szCs w:val="18"/>
          <w:color w:val="auto"/>
        </w:rPr>
        <w:t>agent</w:t>
        <w:tab/>
        <w:t>electronically</w:t>
        <w:tab/>
        <w:t>using</w:t>
        <w:tab/>
        <w:t>Depository</w:t>
        <w:tab/>
        <w:t>Trust</w:t>
        <w:tab/>
        <w:t>Company’s</w:t>
      </w:r>
      <w:r>
        <w:rPr>
          <w:sz w:val="20"/>
          <w:szCs w:val="20"/>
          <w:color w:val="auto"/>
        </w:rPr>
        <w:tab/>
      </w:r>
      <w:r>
        <w:rPr>
          <w:rFonts w:ascii="Arial" w:cs="Arial" w:eastAsia="Arial" w:hAnsi="Arial"/>
          <w:sz w:val="17"/>
          <w:szCs w:val="17"/>
          <w:color w:val="auto"/>
        </w:rPr>
        <w:t>DWAC</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(Deposit/Withdrawal At Custodian) System, at the holder’s option, in each</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case prior to a date set forth in the tender offer documents or proxy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materials sent in connection with the proposal to approve the business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combination. There is a nominal cost associated with this tendering process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and the act of certificating the subunits or delivering them through the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DWAC system. The transfer agent will typically charge the tendering</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broker $45 and it would be up to the broker whether or not to pass this cost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on to the converting holder.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Liquidation if no business</w:t>
      </w:r>
    </w:p>
    <w:p>
      <w:pPr>
        <w:spacing w:after="0" w:line="23" w:lineRule="exact"/>
        <w:rPr>
          <w:sz w:val="20"/>
          <w:szCs w:val="20"/>
          <w:color w:val="auto"/>
        </w:rPr>
      </w:pPr>
    </w:p>
    <w:p>
      <w:pPr>
        <w:ind w:left="720"/>
        <w:spacing w:after="0"/>
        <w:tabs>
          <w:tab w:leader="none" w:pos="2960" w:val="left"/>
        </w:tabs>
        <w:rPr>
          <w:sz w:val="20"/>
          <w:szCs w:val="20"/>
          <w:color w:val="auto"/>
        </w:rPr>
      </w:pPr>
      <w:r>
        <w:rPr>
          <w:rFonts w:ascii="Arial" w:cs="Arial" w:eastAsia="Arial" w:hAnsi="Arial"/>
          <w:sz w:val="16"/>
          <w:szCs w:val="16"/>
          <w:color w:val="auto"/>
        </w:rPr>
        <w:t>combination</w:t>
      </w:r>
      <w:r>
        <w:rPr>
          <w:sz w:val="20"/>
          <w:szCs w:val="20"/>
          <w:color w:val="auto"/>
        </w:rPr>
        <w:tab/>
      </w:r>
      <w:r>
        <w:rPr>
          <w:rFonts w:ascii="Arial" w:cs="Arial" w:eastAsia="Arial" w:hAnsi="Arial"/>
          <w:sz w:val="16"/>
          <w:szCs w:val="16"/>
          <w:color w:val="auto"/>
        </w:rPr>
        <w:t>If we are unable to complete an initial business combination by 18 months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from the closing of this offering (or up to 21 months if a definitive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agreement with respect to a proposed business combination has been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executed within 18 months), we will (i) cease all operations except for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purpose of winding up and (ii) as promptly as reasonably possible but not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more than ten business days thereafter, redeem 100% of the outstanding</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public subunits, at a per-subunit price, payable in cash, equal to the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aggregate amount then on deposit in the trust account, including any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interest not previously released to us (net of taxes payable), divided by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number  of  then  outstanding  public  subunits,  which  redemption  will</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completely extinguish public stockholders’ rights as holders of subunits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(including the right to receive further liquidation distributions, if any),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subject to applicable law. Public stockholders will also forfeit the one-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quarter warrant included in the subunits being redeemed. As promptly as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reasonably possible following such redemption, subject to the approval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our remaining stockholders and our board of directors, we will dissolve and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liquidate, subject to our obligations under Delaware law to provide for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claims of creditors and the requirements of other applicable law. We cannot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assure you that we will have funds sufficient to pay or provide for all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creditors’ claims. Although we are required to have all third parties</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(including any vendors or other entities we engage after this offering) and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any prospective target businesses enter into agreements with us waiving</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any right, title, interest or claim of any kind in or to any monies held in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trust account, there is no guarantee that they will execute such agreements.</w:t>
      </w:r>
    </w:p>
    <w:p>
      <w:pPr>
        <w:spacing w:after="0" w:line="32" w:lineRule="exact"/>
        <w:rPr>
          <w:sz w:val="20"/>
          <w:szCs w:val="20"/>
          <w:color w:val="auto"/>
        </w:rPr>
      </w:pPr>
    </w:p>
    <w:p>
      <w:pPr>
        <w:ind w:left="2980"/>
        <w:spacing w:after="0"/>
        <w:tabs>
          <w:tab w:leader="none" w:pos="3560" w:val="left"/>
          <w:tab w:leader="none" w:pos="3860" w:val="left"/>
          <w:tab w:leader="none" w:pos="4320" w:val="left"/>
          <w:tab w:leader="none" w:pos="4680" w:val="left"/>
          <w:tab w:leader="none" w:pos="5560" w:val="left"/>
          <w:tab w:leader="none" w:pos="6000" w:val="left"/>
          <w:tab w:leader="none" w:pos="6400" w:val="left"/>
          <w:tab w:leader="none" w:pos="6920" w:val="left"/>
          <w:tab w:leader="none" w:pos="7560" w:val="left"/>
          <w:tab w:leader="none" w:pos="8200" w:val="left"/>
        </w:tabs>
        <w:rPr>
          <w:sz w:val="20"/>
          <w:szCs w:val="20"/>
          <w:color w:val="auto"/>
        </w:rPr>
      </w:pPr>
      <w:r>
        <w:rPr>
          <w:rFonts w:ascii="Arial" w:cs="Arial" w:eastAsia="Arial" w:hAnsi="Arial"/>
          <w:sz w:val="18"/>
          <w:szCs w:val="18"/>
          <w:color w:val="auto"/>
        </w:rPr>
        <w:t>There</w:t>
        <w:tab/>
        <w:t>is</w:t>
        <w:tab/>
        <w:t>also</w:t>
        <w:tab/>
        <w:t>no</w:t>
        <w:tab/>
        <w:t>guarantee</w:t>
        <w:tab/>
        <w:t>that</w:t>
        <w:tab/>
        <w:t>the</w:t>
        <w:tab/>
        <w:t>third</w:t>
        <w:tab/>
        <w:t>parties</w:t>
        <w:tab/>
        <w:t>would</w:t>
      </w:r>
      <w:r>
        <w:rPr>
          <w:sz w:val="20"/>
          <w:szCs w:val="20"/>
          <w:color w:val="auto"/>
        </w:rPr>
        <w:tab/>
      </w:r>
      <w:r>
        <w:rPr>
          <w:rFonts w:ascii="Arial" w:cs="Arial" w:eastAsia="Arial" w:hAnsi="Arial"/>
          <w:sz w:val="15"/>
          <w:szCs w:val="15"/>
          <w:color w:val="auto"/>
        </w:rPr>
        <w:t>not</w:t>
      </w:r>
    </w:p>
    <w:p>
      <w:pPr>
        <w:sectPr>
          <w:pgSz w:w="11900" w:h="16838" w:orient="portrait"/>
          <w:cols w:equalWidth="0" w:num="1">
            <w:col w:w="9019"/>
          </w:cols>
          <w:pgMar w:left="1440" w:top="274" w:right="1440" w:bottom="11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01" w:gutter="0" w:footer="0" w:header="0"/>
          <w:type w:val="continuous"/>
        </w:sectPr>
      </w:pPr>
    </w:p>
    <w:bookmarkStart w:id="20" w:name="page21"/>
    <w:bookmarkEnd w:id="2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56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9356725"/>
                    </a:xfrm>
                    <a:prstGeom prst="rect">
                      <a:avLst/>
                    </a:prstGeom>
                    <a:noFill/>
                  </pic:spPr>
                </pic:pic>
              </a:graphicData>
            </a:graphic>
          </wp:anchor>
        </w:drawing>
      </w:r>
    </w:p>
    <w:p>
      <w:pPr>
        <w:sectPr>
          <w:pgSz w:w="11900" w:h="16838" w:orient="portrait"/>
          <w:cols w:equalWidth="0" w:num="1">
            <w:col w:w="9019"/>
          </w:cols>
          <w:pgMar w:left="1440" w:top="274" w:right="1440" w:bottom="696" w:gutter="0" w:footer="0" w:header="0"/>
        </w:sectPr>
      </w:pPr>
    </w:p>
    <w:p>
      <w:pPr>
        <w:spacing w:after="0" w:line="200" w:lineRule="exact"/>
        <w:rPr>
          <w:sz w:val="20"/>
          <w:szCs w:val="20"/>
          <w:color w:val="auto"/>
        </w:rPr>
      </w:pPr>
    </w:p>
    <w:p>
      <w:pPr>
        <w:spacing w:after="0" w:line="210" w:lineRule="exact"/>
        <w:rPr>
          <w:sz w:val="20"/>
          <w:szCs w:val="20"/>
          <w:color w:val="auto"/>
        </w:rPr>
      </w:pPr>
    </w:p>
    <w:p>
      <w:pPr>
        <w:jc w:val="both"/>
        <w:ind w:left="2980" w:right="559"/>
        <w:spacing w:after="0" w:line="284" w:lineRule="auto"/>
        <w:rPr>
          <w:sz w:val="20"/>
          <w:szCs w:val="20"/>
          <w:color w:val="auto"/>
        </w:rPr>
      </w:pPr>
      <w:r>
        <w:rPr>
          <w:rFonts w:ascii="Arial" w:cs="Arial" w:eastAsia="Arial" w:hAnsi="Arial"/>
          <w:sz w:val="16"/>
          <w:szCs w:val="16"/>
          <w:color w:val="auto"/>
        </w:rPr>
        <w:t>challenge the enforceability of these waivers and bring claims against the trust account for monies owed them.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Marcum LLP, our independent registered public accounting firm, and the underwriters of the offering will not execute agreements with us waiving such claims to the monies held in the trust account.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that it is unlikely that our sponsor will be able to satisfy its indemnification obligations if it is required to do so.</w:t>
      </w:r>
    </w:p>
    <w:p>
      <w:pPr>
        <w:spacing w:after="0" w:line="139"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7"/>
          <w:szCs w:val="17"/>
          <w:color w:val="auto"/>
        </w:rPr>
        <w:t>The holders of the founder shares, representative shares and private subunits (or underlying securities) will not participate in any redemption distribution from our trust account with respect to such securities.</w:t>
      </w:r>
    </w:p>
    <w:p>
      <w:pPr>
        <w:spacing w:after="0" w:line="138"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6"/>
          <w:szCs w:val="16"/>
          <w:color w:val="auto"/>
        </w:rPr>
        <w:t>If we are unable to consummate an initial business combination and we expend all of the net proceeds of this offering not deposited in the trust account, we expect that the initial per-subunit redemption price will be approximately $10.00 (which is equal to the anticipated aggregate amount then on deposit in the trust account excluding interest earned on the funds held in the trust account). The proceeds deposited in the trust account could, however, become subject to claims of our creditors that are in preference to the claims of our stockholders.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we cannot assure you that the actual per-subunit redemption price will not be less than approximately $10.00.</w:t>
      </w:r>
    </w:p>
    <w:p>
      <w:pPr>
        <w:spacing w:after="0" w:line="144" w:lineRule="exact"/>
        <w:rPr>
          <w:sz w:val="20"/>
          <w:szCs w:val="20"/>
          <w:color w:val="auto"/>
        </w:rPr>
      </w:pPr>
    </w:p>
    <w:p>
      <w:pPr>
        <w:jc w:val="both"/>
        <w:ind w:left="2980" w:right="559"/>
        <w:spacing w:after="0" w:line="255" w:lineRule="auto"/>
        <w:rPr>
          <w:sz w:val="20"/>
          <w:szCs w:val="20"/>
          <w:color w:val="auto"/>
        </w:rPr>
      </w:pPr>
      <w:r>
        <w:rPr>
          <w:rFonts w:ascii="Arial" w:cs="Arial" w:eastAsia="Arial" w:hAnsi="Arial"/>
          <w:sz w:val="18"/>
          <w:szCs w:val="18"/>
          <w:color w:val="auto"/>
        </w:rPr>
        <w:t>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65" w:lineRule="exact"/>
        <w:rPr>
          <w:sz w:val="20"/>
          <w:szCs w:val="20"/>
          <w:color w:val="auto"/>
        </w:rPr>
      </w:pPr>
    </w:p>
    <w:p>
      <w:pPr>
        <w:jc w:val="both"/>
        <w:ind w:left="2980" w:right="559"/>
        <w:spacing w:after="0" w:line="285" w:lineRule="auto"/>
        <w:rPr>
          <w:sz w:val="20"/>
          <w:szCs w:val="20"/>
          <w:color w:val="auto"/>
        </w:rPr>
      </w:pPr>
      <w:r>
        <w:rPr>
          <w:rFonts w:ascii="Arial" w:cs="Arial" w:eastAsia="Arial" w:hAnsi="Arial"/>
          <w:sz w:val="16"/>
          <w:szCs w:val="16"/>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(or up to 21 months if a definitive agreement with respect to a proposed business combination has been executed within 18 months) unless we provide our public stockholders with the opportunity to convert their subunits upon the approval of any such amendment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ectPr>
          <w:pgSz w:w="11900" w:h="16838" w:orient="portrait"/>
          <w:cols w:equalWidth="0" w:num="1">
            <w:col w:w="9019"/>
          </w:cols>
          <w:pgMar w:left="1440" w:top="274" w:right="1440" w:bottom="696"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696" w:gutter="0" w:footer="0" w:header="0"/>
          <w:type w:val="continuous"/>
        </w:sectPr>
      </w:pPr>
    </w:p>
    <w:bookmarkStart w:id="21" w:name="page22"/>
    <w:bookmarkEnd w:id="2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405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40500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Conflict of Interest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 xml:space="preserve">EarlyBirdCapital has a “conflict of interest” within the meaning of FINRA Rule 5121(f)(5)(B) in this offering because it and its affiliates collectively own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 See </w:t>
      </w:r>
      <w:r>
        <w:rPr>
          <w:rFonts w:ascii="Arial" w:cs="Arial" w:eastAsia="Arial" w:hAnsi="Arial"/>
          <w:sz w:val="16"/>
          <w:szCs w:val="16"/>
          <w:i w:val="1"/>
          <w:iCs w:val="1"/>
          <w:color w:val="auto"/>
        </w:rPr>
        <w:t xml:space="preserve">“Underwriting — Conflicts of Interest” </w:t>
      </w:r>
      <w:r>
        <w:rPr>
          <w:rFonts w:ascii="Arial" w:cs="Arial" w:eastAsia="Arial" w:hAnsi="Arial"/>
          <w:sz w:val="16"/>
          <w:szCs w:val="16"/>
          <w:color w:val="auto"/>
        </w:rPr>
        <w:t>for further information.</w:t>
      </w:r>
    </w:p>
    <w:p>
      <w:pPr>
        <w:spacing w:after="0" w:line="200" w:lineRule="exact"/>
        <w:rPr>
          <w:sz w:val="20"/>
          <w:szCs w:val="20"/>
          <w:color w:val="auto"/>
        </w:rPr>
      </w:pPr>
    </w:p>
    <w:p>
      <w:pPr>
        <w:sectPr>
          <w:pgSz w:w="11900" w:h="16838" w:orient="portrait"/>
          <w:cols w:equalWidth="0" w:num="2">
            <w:col w:w="2260" w:space="720"/>
            <w:col w:w="6039"/>
          </w:cols>
          <w:pgMar w:left="1440" w:top="274" w:right="1440"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w:t>
      </w:r>
    </w:p>
    <w:p>
      <w:pPr>
        <w:spacing w:after="0" w:line="148"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In making your decision on whether to invest in our securities, you should take into account the special risks we face as a blank check company focused on the hemp industry,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8"/>
          <w:szCs w:val="18"/>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 Comparison to offerings of blank check companies subject to Rule 419</w:t>
      </w:r>
      <w:r>
        <w:rPr>
          <w:rFonts w:ascii="Arial" w:cs="Arial" w:eastAsia="Arial" w:hAnsi="Arial"/>
          <w:sz w:val="18"/>
          <w:szCs w:val="18"/>
          <w:color w:val="auto"/>
        </w:rPr>
        <w:t>.” You should carefully</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these and the other risks set forth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20 of this prospectus.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02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20242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83" w:lineRule="exact"/>
        <w:rPr>
          <w:sz w:val="20"/>
          <w:szCs w:val="20"/>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lack of operating history;</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public stockholders will forfeit a portion of their warrants if they redeem their subunits</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potential delay in receiving distributions from the trust account;</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stockholders’ potential lack of opportunity to vote on our proposed business combination;</w:t>
      </w:r>
    </w:p>
    <w:p>
      <w:pPr>
        <w:spacing w:after="0" w:line="155" w:lineRule="exact"/>
        <w:rPr>
          <w:rFonts w:ascii="Arial" w:cs="Arial" w:eastAsia="Arial" w:hAnsi="Arial"/>
          <w:sz w:val="17"/>
          <w:szCs w:val="17"/>
          <w:color w:val="auto"/>
        </w:rPr>
      </w:pPr>
    </w:p>
    <w:p>
      <w:pPr>
        <w:ind w:left="1400" w:right="559" w:hanging="424"/>
        <w:spacing w:after="0" w:line="277" w:lineRule="auto"/>
        <w:tabs>
          <w:tab w:leader="none" w:pos="16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protections afforded to investors of blank check companies that comply with Rule 419;</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deviation from our acquisition criteria;</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7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issuance of additional equity and/or debt securities to complete a business combination;</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potential lack of working capital;</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5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third-party claims to reduce the per-share redemption price for our common stock;</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negative interest rates for securities in which we invest the funds held in the trust account;</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stockholders’ potential to be held liable for claims by third parties against us;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failure to enforce our sponsor’s indemnification obligations;</w:t>
      </w:r>
    </w:p>
    <w:p>
      <w:pPr>
        <w:spacing w:after="0" w:line="130" w:lineRule="exact"/>
        <w:rPr>
          <w:rFonts w:ascii="Arial" w:cs="Arial" w:eastAsia="Arial" w:hAnsi="Arial"/>
          <w:sz w:val="18"/>
          <w:szCs w:val="18"/>
          <w:color w:val="auto"/>
        </w:rPr>
      </w:pPr>
    </w:p>
    <w:p>
      <w:pPr>
        <w:ind w:left="1400" w:right="559" w:hanging="424"/>
        <w:spacing w:after="0" w:line="277" w:lineRule="auto"/>
        <w:tabs>
          <w:tab w:leader="none" w:pos="15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our warrant holders to be limited to exercising warrants only on a “cashless basis;”</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inability of our warrant holders to obtain a favorable judicial forum for disputes with our company;</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conflicts of interest of our sponsor, officers and directors and EarlyBirdCapital;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delisting of our securities by Nasdaq;</w:t>
      </w:r>
    </w:p>
    <w:p>
      <w:pPr>
        <w:spacing w:after="0" w:line="130" w:lineRule="exact"/>
        <w:rPr>
          <w:rFonts w:ascii="Arial" w:cs="Arial" w:eastAsia="Arial" w:hAnsi="Arial"/>
          <w:sz w:val="18"/>
          <w:szCs w:val="18"/>
          <w:color w:val="auto"/>
        </w:rPr>
      </w:pPr>
    </w:p>
    <w:p>
      <w:pPr>
        <w:ind w:left="1400" w:right="559" w:hanging="424"/>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potential dependence on a single target business with a limited number of products or services;</w:t>
      </w:r>
    </w:p>
    <w:p>
      <w:pPr>
        <w:spacing w:after="0" w:line="89"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stockholders’ inability to vote or redeem their shares in connection with our extensions;</w:t>
      </w:r>
    </w:p>
    <w:p>
      <w:pPr>
        <w:spacing w:after="0" w:line="142" w:lineRule="exact"/>
        <w:rPr>
          <w:rFonts w:ascii="Arial" w:cs="Arial" w:eastAsia="Arial" w:hAnsi="Arial"/>
          <w:sz w:val="17"/>
          <w:szCs w:val="17"/>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of our shares being redeemed and warrants becoming worthless;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competitors potentially with advantages over us in seeking business combinations;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obtain additional financing;</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initial stockholders controlling a substantial interest in us;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adverse effect of the warrants on the market price of our common stock;</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disadvantageous timing for redeeming warrants;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potential adverse effect of registration rights on the market price of our common stock;</w:t>
      </w:r>
    </w:p>
    <w:p>
      <w:pPr>
        <w:spacing w:after="0" w:line="155" w:lineRule="exact"/>
        <w:rPr>
          <w:rFonts w:ascii="Arial" w:cs="Arial" w:eastAsia="Arial" w:hAnsi="Arial"/>
          <w:sz w:val="17"/>
          <w:szCs w:val="17"/>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impact of COVID-19 and related risks;</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potential business combination with a company located in a foreign jurisdiction;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changes in laws or regulations; tax consequences to business combinations; and</w:t>
      </w:r>
    </w:p>
    <w:p>
      <w:pPr>
        <w:spacing w:after="0" w:line="142" w:lineRule="exact"/>
        <w:rPr>
          <w:rFonts w:ascii="Arial" w:cs="Arial" w:eastAsia="Arial" w:hAnsi="Arial"/>
          <w:sz w:val="17"/>
          <w:szCs w:val="17"/>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exclusive forum provisions in our amended and restated certificate of incorporation.</w:t>
      </w:r>
    </w:p>
    <w:p>
      <w:pPr>
        <w:sectPr>
          <w:pgSz w:w="11900" w:h="16838" w:orient="portrait"/>
          <w:cols w:equalWidth="0" w:num="1">
            <w:col w:w="9019"/>
          </w:cols>
          <w:pgMar w:left="1440" w:top="274" w:right="1440" w:bottom="939"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type w:val="continuous"/>
        </w:sectPr>
      </w:pPr>
    </w:p>
    <w:bookmarkStart w:id="23" w:name="page24"/>
    <w:bookmarkEnd w:id="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827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682752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84"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575"/>
              <w:spacing w:after="0"/>
              <w:rPr>
                <w:sz w:val="20"/>
                <w:szCs w:val="20"/>
                <w:color w:val="auto"/>
              </w:rPr>
            </w:pPr>
            <w:r>
              <w:rPr>
                <w:rFonts w:ascii="Arial" w:cs="Arial" w:eastAsia="Arial" w:hAnsi="Arial"/>
                <w:sz w:val="16"/>
                <w:szCs w:val="16"/>
                <w:b w:val="1"/>
                <w:bCs w:val="1"/>
                <w:color w:val="auto"/>
              </w:rPr>
              <w:t>January 4, 2021</w:t>
            </w:r>
          </w:p>
        </w:tc>
      </w:tr>
      <w:tr>
        <w:trPr>
          <w:trHeight w:val="47"/>
        </w:trPr>
        <w:tc>
          <w:tcPr>
            <w:tcW w:w="4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1"/>
        </w:trPr>
        <w:tc>
          <w:tcPr>
            <w:tcW w:w="4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3"/>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20"/>
                <w:szCs w:val="20"/>
                <w:color w:val="auto"/>
              </w:rPr>
            </w:pPr>
          </w:p>
        </w:tc>
        <w:tc>
          <w:tcPr>
            <w:tcW w:w="1220" w:type="dxa"/>
            <w:vAlign w:val="bottom"/>
          </w:tcPr>
          <w:p>
            <w:pPr>
              <w:jc w:val="right"/>
              <w:ind w:right="115"/>
              <w:spacing w:after="0"/>
              <w:rPr>
                <w:sz w:val="20"/>
                <w:szCs w:val="20"/>
                <w:color w:val="auto"/>
              </w:rPr>
            </w:pPr>
            <w:r>
              <w:rPr>
                <w:rFonts w:ascii="Arial" w:cs="Arial" w:eastAsia="Arial" w:hAnsi="Arial"/>
                <w:sz w:val="16"/>
                <w:szCs w:val="16"/>
                <w:b w:val="1"/>
                <w:bCs w:val="1"/>
                <w:color w:val="auto"/>
              </w:rPr>
              <w:t>As Adjusted</w:t>
            </w:r>
          </w:p>
        </w:tc>
      </w:tr>
      <w:tr>
        <w:trPr>
          <w:trHeight w:val="46"/>
        </w:trPr>
        <w:tc>
          <w:tcPr>
            <w:tcW w:w="48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57"/>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83"/>
        </w:trPr>
        <w:tc>
          <w:tcPr>
            <w:tcW w:w="4860" w:type="dxa"/>
            <w:vAlign w:val="bottom"/>
          </w:tcPr>
          <w:p>
            <w:pPr>
              <w:ind w:left="180"/>
              <w:spacing w:after="0"/>
              <w:rPr>
                <w:sz w:val="20"/>
                <w:szCs w:val="20"/>
                <w:color w:val="auto"/>
              </w:rPr>
            </w:pPr>
            <w:r>
              <w:rPr>
                <w:rFonts w:ascii="Arial" w:cs="Arial" w:eastAsia="Arial" w:hAnsi="Arial"/>
                <w:sz w:val="18"/>
                <w:szCs w:val="18"/>
                <w:color w:val="auto"/>
              </w:rPr>
              <w:t>Working (deficiency) capital</w:t>
            </w:r>
            <w:r>
              <w:rPr>
                <w:rFonts w:ascii="Arial" w:cs="Arial" w:eastAsia="Arial" w:hAnsi="Arial"/>
                <w:sz w:val="20"/>
                <w:szCs w:val="20"/>
                <w:color w:val="auto"/>
                <w:vertAlign w:val="superscript"/>
              </w:rPr>
              <w:t>(1)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100,774,319</w:t>
            </w:r>
          </w:p>
        </w:tc>
      </w:tr>
      <w:tr>
        <w:trPr>
          <w:trHeight w:val="28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r>
              <w:rPr>
                <w:rFonts w:ascii="Arial" w:cs="Arial" w:eastAsia="Arial" w:hAnsi="Arial"/>
                <w:sz w:val="20"/>
                <w:szCs w:val="20"/>
                <w:color w:val="auto"/>
                <w:vertAlign w:val="superscript"/>
              </w:rPr>
              <w:t>(2)</w:t>
            </w: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100,774,319</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common stock subject to possible redemption</w:t>
            </w:r>
            <w:r>
              <w:rPr>
                <w:rFonts w:ascii="Arial" w:cs="Arial" w:eastAsia="Arial" w:hAnsi="Arial"/>
                <w:sz w:val="20"/>
                <w:szCs w:val="20"/>
                <w:color w:val="auto"/>
                <w:vertAlign w:val="superscript"/>
              </w:rPr>
              <w:t>(3)</w:t>
            </w: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95,774,310</w:t>
            </w:r>
          </w:p>
        </w:tc>
      </w:tr>
      <w:tr>
        <w:trPr>
          <w:trHeight w:val="291"/>
        </w:trPr>
        <w:tc>
          <w:tcPr>
            <w:tcW w:w="4860" w:type="dxa"/>
            <w:vAlign w:val="bottom"/>
          </w:tcPr>
          <w:p>
            <w:pPr>
              <w:ind w:left="180"/>
              <w:spacing w:after="0"/>
              <w:rPr>
                <w:sz w:val="20"/>
                <w:szCs w:val="20"/>
                <w:color w:val="auto"/>
              </w:rPr>
            </w:pPr>
            <w:r>
              <w:rPr>
                <w:rFonts w:ascii="Arial" w:cs="Arial" w:eastAsia="Arial" w:hAnsi="Arial"/>
                <w:sz w:val="18"/>
                <w:szCs w:val="18"/>
                <w:color w:val="auto"/>
              </w:rPr>
              <w:t>Stockholders’ equity</w:t>
            </w:r>
            <w:r>
              <w:rPr>
                <w:rFonts w:ascii="Arial" w:cs="Arial" w:eastAsia="Arial" w:hAnsi="Arial"/>
                <w:sz w:val="20"/>
                <w:szCs w:val="20"/>
                <w:color w:val="auto"/>
                <w:vertAlign w:val="superscript"/>
              </w:rPr>
              <w:t>(4)</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24,284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5,000,009</w:t>
            </w:r>
          </w:p>
        </w:tc>
      </w:tr>
    </w:tbl>
    <w:p>
      <w:pPr>
        <w:spacing w:after="0" w:line="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980" w:right="559" w:hanging="436"/>
        <w:spacing w:after="0" w:line="283" w:lineRule="auto"/>
        <w:tabs>
          <w:tab w:leader="none" w:pos="9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“as adjusted” calculation includes $100,000,000 of cash held in trust from the proceeds of this offering and the sale of the private units, plus $750,000 of cash held outside the trust account, plus $35 from the issuance of the representative shares, plus $24,284 of actual stockholders’ equity at January 4, 2021.</w:t>
      </w:r>
    </w:p>
    <w:p>
      <w:pPr>
        <w:spacing w:after="0" w:line="1" w:lineRule="exact"/>
        <w:rPr>
          <w:rFonts w:ascii="Arial" w:cs="Arial" w:eastAsia="Arial" w:hAnsi="Arial"/>
          <w:sz w:val="15"/>
          <w:szCs w:val="15"/>
          <w:color w:val="auto"/>
        </w:rPr>
      </w:pPr>
    </w:p>
    <w:p>
      <w:pPr>
        <w:jc w:val="both"/>
        <w:ind w:left="980" w:right="559" w:hanging="436"/>
        <w:spacing w:after="0" w:line="264" w:lineRule="auto"/>
        <w:tabs>
          <w:tab w:leader="none" w:pos="10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 adjusted” calculation equals $100,000,000 of cash held in trust from the proceeds of this offering and the sale of the private units, plus $750,000 in cash held outside the trust account, $35 from the issuance of the representative shares, plus $24,284 of actual stockholders’ equity at January 4, 2021.</w:t>
      </w:r>
    </w:p>
    <w:p>
      <w:pPr>
        <w:jc w:val="both"/>
        <w:ind w:left="980" w:right="559" w:hanging="436"/>
        <w:spacing w:after="0" w:line="281" w:lineRule="auto"/>
        <w:tabs>
          <w:tab w:leader="none" w:pos="977"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“as adjusted” calculation equals the “as adjusted” total assets, less the “as adjusted” total liabilities, less the “as adjusted” stockholders’ equity, which is set to approximate the minimum net tangible assets threshold of at least $5,000,001 either immediately prior to or upon consummation of our initial business combination.</w:t>
      </w:r>
    </w:p>
    <w:p>
      <w:pPr>
        <w:spacing w:after="0" w:line="1" w:lineRule="exact"/>
        <w:rPr>
          <w:rFonts w:ascii="Arial" w:cs="Arial" w:eastAsia="Arial" w:hAnsi="Arial"/>
          <w:sz w:val="15"/>
          <w:szCs w:val="15"/>
          <w:color w:val="auto"/>
        </w:rPr>
      </w:pPr>
    </w:p>
    <w:p>
      <w:pPr>
        <w:jc w:val="both"/>
        <w:ind w:left="980" w:right="559" w:hanging="436"/>
        <w:spacing w:after="0" w:line="295" w:lineRule="auto"/>
        <w:tabs>
          <w:tab w:leader="none" w:pos="9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Excludes 9,577,431 shares of common stock included in the subunits which are subject to conversion in connection with our initial business combination. The “as adjusted” calculation equals the “as adjusted” total assets, less the “as adjusted” total liabilities, less the value of shares of common stock included in the subunits that may be converted in connection with our initial business combination ($10.00 per subunit).</w:t>
      </w:r>
    </w:p>
    <w:p>
      <w:pPr>
        <w:spacing w:after="0" w:line="10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The “as adjusted” information gives effect to the issuance of representative shares, the sale of the units we are offering and the sale of the private units, including the application of the related gross proceeds and the payment of the estimated remaining costs from such sale and the repayment of the accrued and other liabilities required to be repaid.</w:t>
      </w:r>
    </w:p>
    <w:p>
      <w:pPr>
        <w:spacing w:after="0" w:line="106"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The “as adjusted” total assets amount includes the $100,000,000 to be held in the trust account (or $115,000,000 if the over-allotment option is exercised in full) which, except for limited situations described in this prospectus, will be available to us only upon the consummation of a business combination within the time period described in this prospectus. If a business combination is not so consummated, the trust account, less amounts we are permitted to withdraw from interest earned on the funds in the trust account as described in this prospectus, will be distributed solely to our public stockholders (subject to our obligations under Delaware law to provide for claims of creditors).</w:t>
      </w:r>
    </w:p>
    <w:p>
      <w:pPr>
        <w:spacing w:after="0" w:line="110"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we seek stockholder approval, a majority of the outstanding shares of common stock voted are voted in favor of the business combination.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the risks described below, which we believe represent the material risks related to the offering, together with the other information contained in this prospectus, before making a decision to invest in our units.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Associated with Our Business and Securities</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are a company with no operating history and, accordingly, you will not have any basis on which to evaluate our ability to achieve our business objective.</w:t>
      </w:r>
    </w:p>
    <w:p>
      <w:pPr>
        <w:spacing w:after="0" w:line="103"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We are a company with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acquire an operating business.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17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7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 xml:space="preserve">As of January 4, 2021, we had no cash and a working capital deficit of $716. Further, we have incurred and expect to continue to incur significant costs in pursuit of our finance and acquisition plans. Management’s plans to address this need for capital through this offering are discussed in the section of this prospectus titled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We cannot assure</w:t>
      </w:r>
      <w:r>
        <w:rPr>
          <w:rFonts w:ascii="Arial" w:cs="Arial" w:eastAsia="Arial" w:hAnsi="Arial"/>
          <w:sz w:val="16"/>
          <w:szCs w:val="16"/>
          <w:i w:val="1"/>
          <w:iCs w:val="1"/>
          <w:color w:val="auto"/>
        </w:rPr>
        <w:t xml:space="preserve"> </w:t>
      </w:r>
      <w:r>
        <w:rPr>
          <w:rFonts w:ascii="Arial" w:cs="Arial" w:eastAsia="Arial" w:hAnsi="Arial"/>
          <w:sz w:val="16"/>
          <w:szCs w:val="16"/>
          <w:color w:val="auto"/>
        </w:rPr>
        <w:t>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6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Public stockholders exercising their redemption rights with respect to the subunits included in the units sold in this offering will forfeit the portion of warrants included in the subunits without the payment of any additional consideration.</w:t>
      </w:r>
    </w:p>
    <w:p>
      <w:pPr>
        <w:spacing w:after="0" w:line="103"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Pursuant to our amended and restated certificate of incorporation, public stockholders will be entitled to redeem their subunits for a portion of the trust account if the business combination is consummated. Accordingly, the warrants included in the subunits are subject to forfeiture, without the payment of any additional consideration, if the holder elects to cause us to redeem the subunit of which the warrant forms a part. This is different than in other similarly structured blank check companies where a redeeming stockholder is able to keep any warrants he may still hold, whether included within a unit or held separately. Accordingly, investors may have a disincentive to exercise their redemption rights because they will automatically forfeit the one-quarter warrant included in the subunit.</w:t>
      </w:r>
    </w:p>
    <w:p>
      <w:pPr>
        <w:spacing w:after="0" w:line="17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b w:val="1"/>
          <w:bCs w:val="1"/>
          <w:i w:val="1"/>
          <w:iCs w:val="1"/>
          <w:color w:val="auto"/>
        </w:rPr>
        <w:t>If we are unable to consummate a business combination, our public stockholders may be forced to wait more than 18 months from the closing of this offering (or up to 21 months if a definitive agreement with respect to a proposed business combination has been executed within 18 months) before receiving distributions from the trust account.</w:t>
      </w:r>
    </w:p>
    <w:p>
      <w:pPr>
        <w:spacing w:after="0" w:line="11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have 18 months from the closing of this offering (or up to 21 months if a definitive agreement with respect to a proposed business combination has been executed within 18 months) in which to complete a business combination. We have no obligation to return funds to investors prior to such date unless we consummate a business combination prior thereto and only then in cases where investors have sought to convert or sell their subunits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subunits or warrants, potentially at a loss.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17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subunits, regardless of whether they vote for or against the proposed business combination or do not vote at all, into their pro rata share of the aggregate amount then on deposit in the trust account (net of taxes payable), or (2) provide our public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elsewhere in this prospectus. Accordingly, it is possible that we will consummate our initial business combination even if holders of a majority of our public subunits do not approve of the business combination we consummate.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16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Since the net proceeds of this offering are intended to be used to complete a business combination with a target business that has not been identified, we may be deemed to be a “blank check” company under the United States securities laws. However, since we will have net tangible assets in excess of $5,000,000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a business combination within 18 months of the effective date of the initial registration statement and restrict the use of interest earned on the funds held in the trust account. Because we are not subject to Rule 419, our units will be immediately tradable, we may have a longer period of time to complete our initial business combination than do companies subject to Rule 419 and we will be entitled to withdraw amounts from the funds held in the trust account prior to the completion of a business combination.</w:t>
      </w:r>
    </w:p>
    <w:p>
      <w:pPr>
        <w:spacing w:after="0" w:line="16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If we determine to change our acquisition criteria or guidelines, many of the disclosures contained in this prospectus would not be applicable and you would be investing in our company without any basis on which to evaluate the potential target business we may acquire.</w:t>
      </w:r>
    </w:p>
    <w:p>
      <w:pPr>
        <w:spacing w:after="0" w:line="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deviate from the acquisition criteria or guidelines disclosed in this prospectus although we have no current intention to do so. For instance, we currently anticipate acquiring a target business operating in the technology industry. However, we are not obligated to do so and may determine to merge with or acquire a company in another industry if the terms of the transaction are determined by us to be favorable to our public stockholders. In such event, many of the acquisition criteria and guidelines set forth in this prospectus would not be applicable. Accordingly, investors may be making an investment in our company without any basis on which to evaluate the potential target business we may acquire. Regardless of whether or not we deviate from the acquisition criteria or guidelines in connection with any proposed business combination, investors will always be given the opportunity to convert their subunits or sell them to us in a tender offer in connection with any proposed business combination as described in this prospectus.</w:t>
      </w:r>
    </w:p>
    <w:p>
      <w:pPr>
        <w:spacing w:after="0" w:line="18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issue shares of our capital stock to complete a business combination, which would reduce the equity interest of our stockholders and likely cause a change in control of our ownership.</w:t>
      </w:r>
    </w:p>
    <w:p>
      <w:pPr>
        <w:spacing w:after="0" w:line="6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certificate of incorporation authorizes the issuance of up to 30,000,000 shares of common stock, par value $.0001 per share, and 1,000,000 shares of preferred stock, par value $.0001 per share. Immediately after this offering and the purchase of the private units (assuming no exercise of the underwriters’ over-allotment option), there will be 9,037,500 authorized but unissued shares of common stock available for issuance (after appropriate reservation for the issuance of the shares underlying the public and private subunits and warrants). Although we have no commitment as of the</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date of this offering, we may issue a substantial number of additional shares of common stock or shares of preferred stock, or a combination of common stock and preferred stock, to complete a business combination. The issuance of additional shares of common stock will not reduce the per-subunit conversion amount in the trust account. The issuance of additional shares of common stock or preferred stock in a business combination:</w:t>
      </w:r>
    </w:p>
    <w:p>
      <w:pPr>
        <w:spacing w:after="0" w:line="90" w:lineRule="exact"/>
        <w:rPr>
          <w:sz w:val="20"/>
          <w:szCs w:val="20"/>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86" w:lineRule="auto"/>
        <w:tabs>
          <w:tab w:leader="none" w:pos="1338"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We may issue debt securities to complete a business combination, which could restrict our operations thereafter.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issue debt securities to complete a business combination,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repay our debt obligations;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59" w:hanging="434"/>
        <w:spacing w:after="0" w:line="308" w:lineRule="auto"/>
        <w:tabs>
          <w:tab w:leader="none" w:pos="15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per-subunit conversion amount in the trust account.</w:t>
      </w:r>
    </w:p>
    <w:p>
      <w:pPr>
        <w:spacing w:after="0" w:line="17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the net proceeds of this offering not being held in trust, together with the interest earned on the funds in the trust account available to us, are insufficient to allow us to operate for at least the next 18 months, we may be unable to complete a business combination.</w:t>
      </w:r>
    </w:p>
    <w:p>
      <w:pPr>
        <w:spacing w:after="0" w:line="11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Of the net proceeds of this offering, only approximately $750,000 will be available to us initially outside the trust account to fund our working capital requirements. We will also have access to interest earned on the funds held in the trust account for taxes. We believe that, upon closing of this offering, such funds will be sufficient to allow us to operate for at least the next 18 months from the closing of this offering (or up to 21 months if a definitive agreement with respect to a proposed business combination has been executed within 18 months); however, we cannot assure you that our estimate is accurate. Accordingly, if we use all of the funds held outside of the trust account and all interest available to us, we may not have sufficient funds available with which to structure, negotiate or close an initial business combination. In such event, we would need to borrow funds from our sponsor, initial stockholders, officers or directors or their affiliates to operate or may be forced to liquidate. Our sponsor, initial stockholders, officers, directors and their affiliates may, but are not obligated to, loan us funds, from time to time or at any time, in whatever amount that they deem reasonable in their sole discretion for our working capital needs. Each loan would be evidenced by a promissory note. The notes would either be paid upon consummation of our initial business combination, without interest, or, at the holder’s discretion, up to $1,500,000 of the notes may be converted into units at a price of $10.00 per unit.</w:t>
      </w:r>
    </w:p>
    <w:p>
      <w:pPr>
        <w:spacing w:after="0" w:line="17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trust could be reduced and the per-subunit redemption price received by stockholders may be less than $10.00.</w:t>
      </w:r>
    </w:p>
    <w:p>
      <w:pPr>
        <w:spacing w:after="0" w:line="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our sponsor has agreed (subject to certain exceptions described elsewhere in this prospectus) that it will be liable to ensure that the proceeds in the trust account are not reduced below $10.00 per subunit by the claims of target businesses or claims of vendors or other entities that are owed money by us for services rendered or contracted for or products sold to us.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As a result, the per-subunit distribution from the trust account may be less than $10.00, plus interest, due to such claims.</w:t>
      </w:r>
    </w:p>
    <w:p>
      <w:pPr>
        <w:spacing w:after="0" w:line="10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w:t>
      </w:r>
    </w:p>
    <w:p>
      <w:pPr>
        <w:spacing w:after="0" w:line="18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1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18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Our amended and restated certificate of incorporation provides that we will continue in existence only until 18 months from the closing of this offering (or up to 21 months if a definitive agreement with respect to a proposed business combination has been executed within 18 months). If we are unable to complete an initial business combination by 18 months from the closing of this offering (or up to 21 months if a definitive agreement with respect to a proposed business combination has been executed within 18 months), we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us (net of taxes payable), divided by the number of then outstanding public subunits, which redemption will completely extinguish public stockholders’ rights as holders of subunits (including the right to receive further liquidation distributions, if any), subject to applicable law. Public stockholders will also forfeit the one-quarter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ectPr>
          <w:pgSz w:w="11900" w:h="16838" w:orient="portrait"/>
          <w:cols w:equalWidth="0" w:num="1">
            <w:col w:w="9019"/>
          </w:cols>
          <w:pgMar w:left="1440" w:top="274"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72"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Our directors may decide not to enforce our sponsor’s indemnification obligations, resulting in a reduction in the amount of funds in the trust account available for distribution to our public stockholders.</w:t>
      </w:r>
    </w:p>
    <w:p>
      <w:pPr>
        <w:spacing w:after="0" w:line="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the event that the proceeds in the trust account are reduced below $10.00 per public subunit and our sponsor asserts that it is unable to satisfy its obligations or that it has no indemnification obligations related to a particular claim, our independent directors would determine whether to take legal action against our sponsor to enforce such indemnification obligations.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subunit.</w:t>
      </w:r>
    </w:p>
    <w:p>
      <w:pPr>
        <w:spacing w:after="0" w:line="177"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56"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6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9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1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with any “enforcement action” brought in any such court to enforce the forum provisions, and (y) having service of process made upon such warrant holder in any such enforcement action by service upon such warrant holder’s counsel in the foreign action as agent for such warrant holder.</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9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1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private warrants may be exercised at a time when the public warrants may not be exercised.</w:t>
      </w:r>
    </w:p>
    <w:p>
      <w:pPr>
        <w:spacing w:after="0" w:line="15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Once the private warrants become exercisable, such warrants may immediately be exercised on a cashless basis, at the holder’s option, so long as they are held by the initial purchasers or their permitted transferees. The public warrants, however, will only be exercisable on a cashless basis at the option of the holders if we fail to register the shares issuable upon exercise of the warrants under the Securities Act within 90 days following the closing of our initial business combination. Accordingly, it is possible that the holders of the private warrants could exercise such warrants at a time when the holders of public warrants could not.</w:t>
      </w:r>
    </w:p>
    <w:p>
      <w:pPr>
        <w:spacing w:after="0" w:line="17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50% of the then outstanding public warrants, including warrants included in the public subunits.</w:t>
      </w:r>
    </w:p>
    <w:p>
      <w:pPr>
        <w:spacing w:after="0" w:line="11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public warrants, including warrants included in the public subunits, in order to make any change that adversely affects the interests of the registered holders.</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144" w:lineRule="exact"/>
        <w:rPr>
          <w:sz w:val="20"/>
          <w:szCs w:val="20"/>
          <w:color w:val="auto"/>
        </w:rPr>
      </w:pPr>
    </w:p>
    <w:p>
      <w:pPr>
        <w:jc w:val="both"/>
        <w:ind w:left="1320" w:right="459" w:hanging="434"/>
        <w:spacing w:after="0" w:line="263" w:lineRule="auto"/>
        <w:tabs>
          <w:tab w:leader="none" w:pos="13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issue additional shares of common stock or equity-linked securities for capital raising purposes in connection with the closing of our initial business combination at an issue price or effective issue price of less than $9.20 per share,</w:t>
      </w:r>
    </w:p>
    <w:p>
      <w:pPr>
        <w:spacing w:after="0" w:line="116" w:lineRule="exact"/>
        <w:rPr>
          <w:rFonts w:ascii="Arial" w:cs="Arial" w:eastAsia="Arial" w:hAnsi="Arial"/>
          <w:sz w:val="18"/>
          <w:szCs w:val="18"/>
          <w:color w:val="auto"/>
        </w:rPr>
      </w:pPr>
    </w:p>
    <w:p>
      <w:pPr>
        <w:jc w:val="both"/>
        <w:ind w:left="1320" w:right="459" w:hanging="434"/>
        <w:spacing w:after="0" w:line="311" w:lineRule="auto"/>
        <w:tabs>
          <w:tab w:leader="none" w:pos="14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price at which we issue the additional shares of common stock or equity-linked securities, and the $18.00 redemption trigger price will be adjusted to 180% of this amount. This may make it more difficult for us to consummate an initial business combination with a target business.</w:t>
      </w:r>
    </w:p>
    <w:p>
      <w:pPr>
        <w:spacing w:after="0" w:line="18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a business combination, we are unable to currently ascertain the merits or risks of the industry or business in which we may ultimately operate.</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pursue an acquisition opportunity in any business industry or sector, although we intend to focus on companies in the industry as described in this prospectus.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w:t>
      </w:r>
    </w:p>
    <w:p>
      <w:pPr>
        <w:spacing w:after="0" w:line="172"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9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is required to commit any specified amount of time to our affairs and, accordingly, our officers will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1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role of our key personnel after a business combination, however, cannot presently be ascertained. Although some of our key personnel may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10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may consummate a business combination with a target business in any geographic location or industry we choose, although we intend to focus our search for businesses in the technology industry that are compliant with applicable federal, state and local laws and regulation of those jurisdictions in which it is located or operates. We cannot assure you that our officers and directors will have enough experience or have sufficient knowledge relating to the jurisdiction of the target or its industry to make an informed decision regarding a business combination.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7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17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officers and directors will allocate their time to other businesses thereby causing conflicts of interest in their determination as to how much time to devote to our affairs. This could have a negative impact on our ability to consummate a business combination.</w:t>
      </w:r>
    </w:p>
    <w:p>
      <w:pPr>
        <w:spacing w:after="0" w:line="116"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Our officers and directors will not commit their full time to our affairs. We presently expect each of our officers and directors to devote such amount of time as they reasonably believe is necessary to our business. We do not intend to have any full time employees prior to the consummation of our initial business combination. The foregoing could have a negative impact on our ability to consummate our initial business combination.</w:t>
      </w:r>
    </w:p>
    <w:p>
      <w:pPr>
        <w:spacing w:after="0" w:line="15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have a conflict of interest in determining whether a particular target business is appropriate for a business combination.</w:t>
      </w:r>
    </w:p>
    <w:p>
      <w:pPr>
        <w:spacing w:after="0" w:line="10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sponsor has waived its right to convert its founder shares or any other shares purchased in this offering or thereafter, or to receive distributions from the trust account with respect to its founder shares upon our liquidation if we are unable to consummate a business combination. Accordingly, the shares acquired prior to this offering, as well as the private units (and underlying securities) and any warrants purchased by our officers or directors in the aftermarket, will be worthless if we do not consummate a business combination. The personal and financial interests of our directors and officers may influence their motivation in timely identifying and selecting a target business and completing a business combination and in determining whether the terms, conditions and timing of a particular business combination are appropriate and in our stockholders’ best interest.</w:t>
      </w:r>
    </w:p>
    <w:p>
      <w:pPr>
        <w:spacing w:after="0" w:line="165"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b w:val="1"/>
          <w:bCs w:val="1"/>
          <w:i w:val="1"/>
          <w:iCs w:val="1"/>
          <w:color w:val="auto"/>
        </w:rPr>
        <w:t>Our officers and directors or their affiliates have pre-existing fiduciary and contractual obligations and may in the future become affiliated with other entities engaged in business activities similar to those intended to be conducted by us (and they may also become affiliated another blank check company that may have acquisition objectives that are similar to ours). Accordingly, they may have conflicts of interest in determining to which entity a particular business opportunity should be presented.</w:t>
      </w:r>
    </w:p>
    <w:p>
      <w:pPr>
        <w:spacing w:after="0" w:line="8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Certain of our officers and directors or their affiliates have pre-existing fiduciary and contractual obligations to other companies. For example, Messrs. Cannon, Long and Sheehan are officers or director of Ackrell SPAC Partners I Co., which is a black check company which completed an IPO in December 2020 raising $139 million, with the stated focus on potential business combinations in the branded fast-moving consumer goods industry.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Additionally, our officers and directors may in the future become affiliated with entities that are engaged in a similar business, including another blank check company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our officers’ and directors’ fiduciary duties under Delaware law. For a more detailed description of our officers’ and directors’ business affiliations and the potential conflicts of interest that you should be aware of, see the sections titled “</w:t>
      </w:r>
      <w:r>
        <w:rPr>
          <w:rFonts w:ascii="Arial" w:cs="Arial" w:eastAsia="Arial" w:hAnsi="Arial"/>
          <w:sz w:val="17"/>
          <w:szCs w:val="17"/>
          <w:i w:val="1"/>
          <w:iCs w:val="1"/>
          <w:color w:val="auto"/>
        </w:rPr>
        <w:t>Management — Directors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w:t>
      </w:r>
      <w:r>
        <w:rPr>
          <w:rFonts w:ascii="Arial" w:cs="Arial" w:eastAsia="Arial" w:hAnsi="Arial"/>
          <w:sz w:val="17"/>
          <w:szCs w:val="17"/>
          <w:color w:val="auto"/>
        </w:rPr>
        <w:t>” and “</w:t>
      </w:r>
      <w:r>
        <w:rPr>
          <w:rFonts w:ascii="Arial" w:cs="Arial" w:eastAsia="Arial" w:hAnsi="Arial"/>
          <w:sz w:val="17"/>
          <w:szCs w:val="17"/>
          <w:i w:val="1"/>
          <w:iCs w:val="1"/>
          <w:color w:val="auto"/>
        </w:rPr>
        <w:t>Management — Conflicts of Interest</w:t>
      </w:r>
      <w:r>
        <w:rPr>
          <w:rFonts w:ascii="Arial" w:cs="Arial" w:eastAsia="Arial" w:hAnsi="Arial"/>
          <w:sz w:val="17"/>
          <w:szCs w:val="17"/>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EarlyBirdCapital may have a conflict of interest in connection with our initial business combination.</w:t>
      </w:r>
    </w:p>
    <w:p>
      <w:pPr>
        <w:spacing w:after="0" w:line="1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engaged EarlyBirdCapital to assist us in connection with our initial business combination. We will pay EarlyBirdCapital a cash fee for such services in an aggregate amount equal to up to 3.5% of the total gross proceeds raised in the offering only if we consummate our initial business combination. The private units purchased by EarlyBirdCapital and/or its designees and the representative shares issued to EarlyBirdCapital and/or its designees will also be worthless if we do not consummate an initial business combination. These financial interests may result in EarlyBirdCapital having a conflict of interest when providing the services to us in connection with an initial business combination.</w:t>
      </w:r>
    </w:p>
    <w:p>
      <w:pPr>
        <w:spacing w:after="0" w:line="17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03"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intend to apply to have our units listed on Nasdaq. We expect that our units will be listed on Nasdaq on or promptly after the date of this prospectus. Following the date the subunits and warrants are eligible to trade separately, we anticipate that the subunits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 million)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2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4" w:lineRule="exact"/>
        <w:rPr>
          <w:sz w:val="20"/>
          <w:szCs w:val="20"/>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subunits and warrants will be listed on Nasdaq, our units, subunits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emerging growth companies will make our subunits less attractive to investors.</w:t>
      </w:r>
    </w:p>
    <w:p>
      <w:pPr>
        <w:spacing w:after="0" w:line="4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subunits less attractive because we may rely on these provisions. If some investors find our subunits less attractive as a result, there may be a less active trading market for our subunits and our subunit price may be more volatile.</w:t>
      </w:r>
    </w:p>
    <w:p>
      <w:pPr>
        <w:spacing w:after="0" w:line="16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27"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16"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96"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The ability of our stockholders to exercise their conversion rights or sell their subunits to us in a tender offer may not allow us to effectuate the most desirable business combination or optimize our capital structure.</w:t>
      </w:r>
    </w:p>
    <w:p>
      <w:pPr>
        <w:spacing w:after="0" w:line="1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If our business combination requires us to use substantially all of our cash to pay the purchase price, because we will not know how many stockholders may exercise conversion rights or seek to sell their subunits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In connection with any vote to approve a business combination, we will offer each public stockholder the option to vote in favor of a proposed business combination and still seek conversion of his, her or its subunits.</w:t>
      </w:r>
    </w:p>
    <w:p>
      <w:pPr>
        <w:spacing w:after="0" w:line="10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connection with any vote to approve a business combination, we will offer each public stockholder (but not our sponsor, officers or directors) the right to have his, her or its subunits converted to cash (subject to the limitations described elsewhere in this prospectus) regardless of whether such stockholder votes for or against such proposed business combination or does not vote at all. The ability to seek conversion while voting in favor of our proposed business combination may make it more likely that we will consummate a business combination.</w:t>
      </w:r>
    </w:p>
    <w:p>
      <w:pPr>
        <w:spacing w:after="0" w:line="192"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We do not have a specified maximum conversion threshold. The absence of such a conversion threshold may make it easier for us to consummate a business combination even where a substantial number of public stockholders seek to convert their shares to cash in connection with the vote on the business combination.</w:t>
      </w:r>
    </w:p>
    <w:p>
      <w:pPr>
        <w:spacing w:after="0" w:line="6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have no specified percentage threshold for conversion in our amended and restated certificate of incorporation. As a result, we may be able to consummate a business combination even though a substantial number of our public stockholders do not agree with the transaction and have converted their shares. However, in no event will we consummate an initial business combination unless we have net tangible assets of at least $5,000,001 immediately prior to or upon consummation of our initial business combination.</w:t>
      </w:r>
    </w:p>
    <w:p>
      <w:pPr>
        <w:spacing w:after="0" w:line="161"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In connection with any stockholder meeting called to approve a proposed initial business combination, we may 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p>
    <w:p>
      <w:pPr>
        <w:spacing w:after="0" w:line="90"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or does not vote at all, to demand that we convert his or her subunits into a pro rata share of the trust account as of two business days prior to the consummation of the initial business combination. However, any stockholder redeeming its subunits will forfeit the one-quarter of a warrant included in such subunit, without the payment of any additional consideration. We may require public stockholders who wish to convert their subunits in connection with a proposed business combination to either (i) tender their certificates to our transfer agent or (ii) deliver their subunits to the transfer agent electronically using the Depository Trust Company’s DWAC (Deposit/Withdrawal At Custodian) System, at the holders’ option, in each case prior to a date set forth in the tender offer documents or proxy materials sent in connection with the proposal to approve the business combination. In order to obtain a physical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subunits through the DWAC System, we cannot assure you of this fact. Accordingly, if it takes longer than we anticipate for stockholders to deliver their subunits, stockholders who wish to convert may be unable to meet the deadline for exercising their conversion rights and thus may be unable to convert their subunits.</w:t>
      </w:r>
    </w:p>
    <w:p>
      <w:pPr>
        <w:spacing w:after="0" w:line="18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in connection with any stockholder meeting called to approve a proposed business combination, we require public stockholders who wish to convert their subunits to comply with specific requirements for conversion, such converting stockholders may be unable to sell their securities when they wish to in the event that the proposed business combination is not approved.</w:t>
      </w:r>
    </w:p>
    <w:p>
      <w:pPr>
        <w:spacing w:after="0" w:line="9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require public stockholders who wish to convert their subunits to comply with specific requirements for conversion and such proposed business combination is not consummated, we will promptly return such certificates to the tendering public stockholders. Accordingly, investors who attempted to convert their subunits in such a circumstance will be unable to sell their securities after the failed acquisition until we have returned their securities to them. The market price for our subunits may decline during this time and you may not be able to sell your securities when you wish to, even while other stockholders that did not seek conversion may be able to sell their securities.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this offering,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and the future dilution they potentially represent, may not be viewed favorably by certain target businesses. Any of the foregoing may place us at a competitive disadvantage in successfully negotiating a business combination.</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1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together with interest earned on the funds held in the trust account available to us to pay our income or other tax obligations, will be sufficient to allow us to consummate a business combination, because we have not yet identified any prospective target business, we cannot ascertain the capital requirements for any particular transaction. If the net proceeds of this offering prove to be insufficient, either because of the size of the business combination, the depletion of the available net proceeds in search of a target business, or the obligation to convert into cash a significant number of subunits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7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initial stockholders will control a substantial interest in us and thus may influence certain actions requiring a stockholder vote.</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our initial stockholders will own approximately 21.2% of our issued and outstanding shares of common stock (assuming they do not purchase any units in this offering and assuming the over-allotment option is not exercised). None of our sponsor, officers, directors, initial stockholders or their affiliates have indicated any intention to purchase units in this offering or any units, subunits or warrants from persons in the open market or in private transactions. However, our sponsor, officers, directors, initial stockholders or their affiliates could determine in the future to make such purchases in the open market or in private transactions, to the extent permitted by law, in order to influence the vote or magnitude of the number of stockholders seeking to tender their subunits to us. In connection with any vote for a proposed business combination, our initial stockholders, as well as all of our officers and directors, have agreed to vote their founder shares and shares of common stock included in subunits owned by them immediately before this offering as well as any shares of common stock included in subunits acquired in this offering or in the aftermarket in favor of such proposed business combination.</w:t>
      </w:r>
    </w:p>
    <w:p>
      <w:pPr>
        <w:spacing w:after="0" w:line="9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a business combination, in which case all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current directors will continue in office until at least the consummation of the business combination. Accordingly, you may not be able to exercise your voting rights under corporate law for up to 18 months (or up to 21 months if a definitive agreement with respect to a proposed business combination has been executed within 18 months). If there is an annual meeting, as a consequence of our “staggered” board of directors, only a minority of the board of directors will be considered for election and our sponsor, because of their ownership position, will have considerable influence regarding the outcome. Accordingly, our initial stockholders will continue to exert control at least until the consummation of a business combination.</w:t>
      </w:r>
    </w:p>
    <w:p>
      <w:pPr>
        <w:spacing w:after="0" w:line="17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initial stockholders and the holders of the representative shares paid a nominal price for the founder shares and representative shares and, accordingly, you will experience immediate and substantial dilution from the purchase of our shares of common stock.</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initial stockholders and the holders of the representative shares acquired the founder shares and representative shares at a nominal price, significantly contributing to this dilution. Upon consummation of this offering, you and the other new investors will incur an immediate and substantial dilution of approximately 86.2% or $8.62 per share (the difference between the pro forma net tangible book value per share $1.38, and the initial offering price of $10.00 per unit). This is because investors in this offering will be contributing approximately 96.6% of the total amount paid to us for our outstanding securities after this offering but will only own approximately 75.8% of our outstanding securities (assuming the over-allotment option is not exercised) and this becomes exacerbated to the extent that public stockholders seek to convert their subunits into a pro rata share of the trust proceeds. Accordingly, the per-share purchase price you will be paying substantially exceeds our per share net tangible book value.</w:t>
      </w:r>
    </w:p>
    <w:p>
      <w:pPr>
        <w:spacing w:after="0" w:line="17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outstanding warrants may have an adverse effect on the market price of our subunits and make it more difficult to effect a business combination.</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be issuing warrants to purchase an aggregate of 7,500,000 shares of common stock as part of the units and subunits offered by this prospectus and private warrants to purchase an aggregate of 262,500 shares of common stock. We may also issue other units to our sponsor, initial stockholders, officers, directors or their affiliates in payment of working capital loans made to us as described in this prospectus. To the extent we issue shares of common stock to effect a business combination, the potential for the issuance of a substantial number of additional shares upon exercise of these warrants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warrants may make it more difficult to effectuate a business combination or increase the cost of acquiring the target business. Additionally, the sale, or even the possibility of sale, of the shares underlying the warrants could have an adverse effect on the market price for our securities or on our ability to obtain future financing. If and to the extent these warrants are exercised, you may experience dilution to your holdings.</w:t>
      </w:r>
    </w:p>
    <w:p>
      <w:pPr>
        <w:spacing w:after="0" w:line="16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8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have the ability to redeem outstanding warrants (excluding the private warrants and any warrants underlying additional units issued to our sponsor, officers or directors in payment of working capital loans made to us)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commencing once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(or any warrants underlying additional units issued to our sponsor, officers or directors in payment of working capital loans made to us) will be redeemable by us so long as they are held by the initial purchasers or their permitted transferees.</w:t>
      </w:r>
    </w:p>
    <w:p>
      <w:pPr>
        <w:spacing w:after="0" w:line="17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9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6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initial stockholders are entitled to make a demand that we register the resale of the founder shares at any time commencing three months prior to the date on which their shares may be released from escrow. Additionally, the holders of representative shares, the private units and any units our sponsor, initial stockholders, officers, directors, or their affiliates may be issued in payment of working capital loans made to us, are entitled to demand that we register the resale of the representative shares, private units and any other units we issue to them (and the underlying securities) commencing at any time after we consummate an initial business combination. The presence of these additional securities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securities.</w:t>
      </w:r>
    </w:p>
    <w:p>
      <w:pPr>
        <w:spacing w:after="0" w:line="17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16"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58"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5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record keeping, voting, proxy, compliance policies and procedures and disclosure requirements and other rules and regulations.</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Compliance with these additional regulatory burdens would require additional expense for which we have not allotted.</w:t>
      </w:r>
    </w:p>
    <w:p>
      <w:pPr>
        <w:spacing w:after="0" w:line="17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Our search for an initial business combination, and any target business with which we ultimately consummate an initial business combination, may be materially adversely affected by the coronavirus (COVID-19) pandemic and other events, and the status of debt and equity markets.</w:t>
      </w:r>
    </w:p>
    <w:p>
      <w:pPr>
        <w:spacing w:after="0" w:line="9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coronavirus disease (COVID-19) pandemic has adversely affected, and other events (such as terrorist attacks, natural disasters or a significant outbreak of other infectious diseases) could adversely affect, the economies and financial markets worldwide, and the business of any potential target business with which we consummate an initial business combination could be materially and adversely affected. Furthermore, we may be unable to complete an initial business combination if concerns relating to COVID-19 continue to restrict travel, limit the ability to have meetings with potential investors or the target company’s personnel, vendors and services providers are unavailable</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to negotiate and consummate a transaction in a timely manner. The extent to which COVID-19 impacts our search for an initial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events (such as terrorist attacks, natural disasters or a significant outbreak of other infectious diseases) continue for an extensive period of time, our ability to consummate an initial business combination, or the operations of a target business with which we ultimately consummate an initial business combination, may be materially adversely affected.</w:t>
      </w:r>
    </w:p>
    <w:p>
      <w:pPr>
        <w:spacing w:after="0" w:line="12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In addition, our ability to consummate a transaction may be dependent on our ability to raise additional equity and debt financing which may be impacted by COVID-19 and other events (such as terrorist attacks, natural disasters or a significant outbreak of other infectious diseases), including as a result of increased market volatility, decreased market liquidity in third-party financing being unavailable on terms acceptable to us or at all.</w:t>
      </w:r>
    </w:p>
    <w:p>
      <w:pPr>
        <w:spacing w:after="0" w:line="18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there are numerous companies with business plans similar to ours seeking to effectuate business combinations, it may be more difficult for us to do so.</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In 2020, based upon publicly available information, in excess of 240 blank check companies similarly structured to us completed initial public offerings, and many others have filed registration statements for initial public offerings that were completed in the beginning of 2021. Very few of these companies have consummated a business combination. Accordingly, there are many other blank check companies that are seeking to carry out a business plan similar to our business plan. While, like us, some of those companies may focus on specific industries, all of them, like us, may consummate a business combination in any industry they choose. We may, therefore, be subject to competition from these and other companies with a business plan similar to ours, which, as a result, may increase demand for privately-held companies to combine with companies structured similarly to ours. However, it is also possible that there are only a limited number of attractive target businesses available to such entities, or that many privately-held target businesses may not be inclined to enter into business combinations with publicly held blank check companies like us. We cannot assure you that we will be able to successfully compete for an attractive business combination. Additionally, because of this competition, we cannot assure you that we will be able to effectuate a business combination within the required time periods. If we are unable to find a suitable target business within such time periods, we will be forced to liquidate.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determination for the offering price of our units is more arbitrary than the pricing of securities for an operating company in a particular industry.</w:t>
      </w:r>
    </w:p>
    <w:p>
      <w:pPr>
        <w:spacing w:after="0" w:line="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subunits and warrants were negotiated between us and EarlyBirdCapital. Factors considered in determining the prices and terms of the units, including the securities underlying the units, include:</w:t>
      </w:r>
    </w:p>
    <w:p>
      <w:pPr>
        <w:spacing w:after="0" w:line="119" w:lineRule="exact"/>
        <w:rPr>
          <w:sz w:val="20"/>
          <w:szCs w:val="20"/>
          <w:color w:val="auto"/>
        </w:rPr>
      </w:pPr>
    </w:p>
    <w:p>
      <w:pPr>
        <w:ind w:left="1320" w:right="479" w:hanging="434"/>
        <w:spacing w:after="0" w:line="277" w:lineRule="auto"/>
        <w:tabs>
          <w:tab w:leader="none" w:pos="15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we do not conduct an adequate due diligence investigation of a target business, we may be required to subsequently take write-downs or write-offs or incur restructuring, impairment or other charges that could have a significant negative effect on our financial condition, results of operations and our stock price, which could cause you to lose some or all of your investment.</w:t>
      </w:r>
    </w:p>
    <w:p>
      <w:pPr>
        <w:spacing w:after="0" w:line="10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be forced to later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6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requirement that we complete an initial business combination within 18 months from the closing of this offering (or up to 21 months if a definitive agreement with respect to a proposed business combination has been executed within 18 months) from the closing of this offering may give potential target businesses leverage over us in negotiating a business combination.</w:t>
      </w:r>
    </w:p>
    <w:p>
      <w:pPr>
        <w:spacing w:after="0" w:line="9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18 months from the closing of this offering (or up to 21 months if a definitive agreement with respect to a proposed business combination has been executed within 18 months)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03"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We will only be required to obtain a fairness opinion with respect to the target business that we seek to acquire if it is an entity that is affiliated with any of our sponsor, initial stockholders, officers, directors or their affiliates. In all other instances, we will have no obligation to obtain an opinion. Accordingly, investors will be relying solely on the judgment of our board of directors in approving a proposed business combination.</w:t>
      </w:r>
    </w:p>
    <w:p>
      <w:pPr>
        <w:spacing w:after="0" w:line="157"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5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Compliance with the Sarbanes-Oxley Act of 2002 will require substantial financial and management resources and may increase the time and costs of completing an acquisition.</w:t>
      </w:r>
    </w:p>
    <w:p>
      <w:pPr>
        <w:spacing w:after="0" w:line="103"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Section 404 of the Sarbanes-Oxley Act of 2002 requires that we evaluate and report on our system of internal controls and may require that we have such system of internal controls audited beginning with our Annual Report on Form 10-K for the year ending December 31, 2022.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in a foreign jurisdiction, we would be subject to a variety of additional risks that may negatively impact our operations.</w:t>
      </w:r>
    </w:p>
    <w:p>
      <w:pPr>
        <w:spacing w:after="0" w:line="10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If we are successful in consummating a business combination with a target business in a foreign country, we would be subject to any special considerations or risks associated with companies operating in the target business’ home jurisdiction, including any of the following:</w:t>
      </w:r>
    </w:p>
    <w:p>
      <w:pPr>
        <w:spacing w:after="0" w:line="116"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cannot assure you that we would be able to adequately address these additional risks. If we were unable to do so, our operations might suffer.</w:t>
      </w:r>
    </w:p>
    <w:p>
      <w:pPr>
        <w:spacing w:after="0" w:line="17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6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1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w:t>
      </w:r>
    </w:p>
    <w:p>
      <w:pPr>
        <w:spacing w:after="0" w:line="9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9"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U.S. generally accepted accounting principles or international financial reporting standards.</w:t>
      </w:r>
    </w:p>
    <w:p>
      <w:pPr>
        <w:spacing w:after="0" w:line="10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prepared in accordance with IFRS, such financial statements will need to be audited in accordance with U.S. GAAP at the time of the consummation of the business combination. These financial statement requirements may limit the pool of potential target businesses we may acquire.</w:t>
      </w:r>
    </w:p>
    <w:p>
      <w:pPr>
        <w:spacing w:after="0" w:line="18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0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6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may be tax consequences to our business combinations that may adversely affect us.</w:t>
      </w:r>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171"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An investment in this offering may involve adverse U.S. federal income tax consequences because the redemption price per subunit is greater than an investor’s initial tax basis in a subunit.</w:t>
      </w:r>
    </w:p>
    <w:p>
      <w:pPr>
        <w:spacing w:after="0" w:line="7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an investor’s entitlement to receive payments upon a redemption of its subunits in excess of the investor’s initial tax basis in its subunits (see “Taxation — Material U.S. Federal Income Tax Considerations — Allocation of Purchase Price of a Unit and Characterization of a Unit and its Components”) will result in constructive income to the investor. This could affect the timing and character of income recognition and result in U.S. federal income tax liability to the investor without the investor’s receipt of cash from us. Prospective investors are urged to consult their own tax advisors with respect to these tax risks, as well as the specific tax consequences to them of purchasing, holding or disposing of our securities.</w:t>
      </w:r>
    </w:p>
    <w:p>
      <w:pPr>
        <w:spacing w:after="0" w:line="16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3" w:name="page44"/>
    <w:bookmarkEnd w:id="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 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39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Cyber incidents or attacks directed at us could result in information theft, data corruption, operational disruption and/or financial loss.</w:t>
      </w:r>
    </w:p>
    <w:p>
      <w:pPr>
        <w:spacing w:after="0" w:line="103"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6"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7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intend to focus our search for a target business or businesses in the technology industry and related sectors. Because we have not yet identified or approached any specific target business or industry, we cannot provide specific risks of any business combination. However, risks inherent in investments in the technology industry include, but are not limited to, the following:</w:t>
      </w:r>
    </w:p>
    <w:p>
      <w:pPr>
        <w:spacing w:after="0" w:line="106" w:lineRule="exact"/>
        <w:rPr>
          <w:sz w:val="20"/>
          <w:szCs w:val="20"/>
          <w:color w:val="auto"/>
        </w:rPr>
      </w:pPr>
    </w:p>
    <w:p>
      <w:pPr>
        <w:ind w:left="1320" w:right="479" w:hanging="434"/>
        <w:spacing w:after="0" w:line="277" w:lineRule="auto"/>
        <w:tabs>
          <w:tab w:leader="none" w:pos="1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competition in the industry, which could cause a loss of market share, lower prices or an increase in advertising and promotional expenditures;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predict, identify and interpret changes in technology trends or preferences and develop and offer new competitive products rapidly enough to meet those changes;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 global economic conditions decreasing demand for products or causing customers and other business partners to suffer financial hardship;</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optimize the supply chain or disruption of the supply chain;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fluctuations, including due to changes in the costs of labor, transportation, energy, pension and healthcare;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or product liability claims should products prove defective;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changes in customer relationships or in end user demand for products;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maintain and expand reputation and brand image;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Reliance on third parties, such as suppliers, distributors and contractors, for certain functions; and</w:t>
      </w:r>
    </w:p>
    <w:p>
      <w:pPr>
        <w:spacing w:after="0" w:line="180" w:lineRule="exact"/>
        <w:rPr>
          <w:rFonts w:ascii="Arial" w:cs="Arial" w:eastAsia="Arial" w:hAnsi="Arial"/>
          <w:sz w:val="16"/>
          <w:szCs w:val="16"/>
          <w:color w:val="auto"/>
        </w:rPr>
      </w:pPr>
    </w:p>
    <w:p>
      <w:pPr>
        <w:ind w:left="1320" w:right="479" w:hanging="434"/>
        <w:spacing w:after="0" w:line="277" w:lineRule="auto"/>
        <w:tabs>
          <w:tab w:leader="none" w:pos="147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obtain, maintain and enforce necessary intellectual property protections and to avoid infringing upon the intellectual property rights of others.</w:t>
      </w:r>
    </w:p>
    <w:p>
      <w:pPr>
        <w:spacing w:after="0" w:line="17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6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intend to focus on identifying business combination candidates in the technology industry and related sectors, we will consider a business combination outside of the technology industry and related sectors if a business combination candidate is presented to us and we determine that such candidate offers an attractive acquisition opportunity for our company or we are unable to identify a suitable candidate in the technology industry and related sectors after having expended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initial business combination outside of the technology industry and related sectors, our management’s expertise may not be directly applicable to its evaluation or operation, and the information contained herein regarding the technology industry and related sectors would not be relevant to an understanding of the initial business combination we elect to consummate.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13" w:lineRule="exact"/>
        <w:rPr>
          <w:sz w:val="20"/>
          <w:szCs w:val="20"/>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 the technology industry;</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a business combination in the technology industry;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 in the technology industry;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changes in control of us if we acquire one or more target businesses for stock;</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use of proceeds not held in the trust account or available to us from interest income on the trust account balance; 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financial performance following this offering or following our initial business combination.</w:t>
      </w:r>
    </w:p>
    <w:p>
      <w:pPr>
        <w:spacing w:after="0" w:line="16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479"/>
        <w:spacing w:after="0" w:line="342" w:lineRule="auto"/>
        <w:rPr>
          <w:sz w:val="20"/>
          <w:szCs w:val="20"/>
          <w:color w:val="auto"/>
        </w:rPr>
      </w:pPr>
      <w:r>
        <w:rPr>
          <w:rFonts w:ascii="Arial" w:cs="Arial" w:eastAsia="Arial" w:hAnsi="Arial"/>
          <w:sz w:val="16"/>
          <w:szCs w:val="16"/>
          <w:color w:val="auto"/>
        </w:rPr>
        <w:t>We estimate that the net proceeds of this offering, in addition to the funds we will receive from the sale of the private units (all of which will be deposited into the trust account), will be as set forth in the following table:</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2520" w:type="dxa"/>
            <w:vAlign w:val="bottom"/>
            <w:gridSpan w:val="10"/>
          </w:tcPr>
          <w:p>
            <w:pPr>
              <w:jc w:val="right"/>
              <w:ind w:right="80"/>
              <w:spacing w:after="0"/>
              <w:rPr>
                <w:sz w:val="20"/>
                <w:szCs w:val="20"/>
                <w:color w:val="auto"/>
              </w:rPr>
            </w:pPr>
            <w:r>
              <w:rPr>
                <w:rFonts w:ascii="Arial" w:cs="Arial" w:eastAsia="Arial" w:hAnsi="Arial"/>
                <w:sz w:val="16"/>
                <w:szCs w:val="16"/>
                <w:b w:val="1"/>
                <w:bCs w:val="1"/>
                <w:color w:val="auto"/>
                <w:w w:val="98"/>
              </w:rPr>
              <w:t>Over-Allotment   Over-Allotment</w:t>
            </w:r>
          </w:p>
        </w:tc>
      </w:t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24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Option Exercised</w:t>
            </w: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From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100,000,000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115,000,000</w:t>
            </w: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From private placement</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3,800,000</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 gross proceeds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103,500,000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118,800,000</w:t>
            </w:r>
          </w:p>
        </w:tc>
        <w:tc>
          <w:tcPr>
            <w:tcW w:w="160" w:type="dxa"/>
            <w:vAlign w:val="bottom"/>
          </w:tcPr>
          <w:p>
            <w:pPr>
              <w:spacing w:after="0"/>
              <w:rPr>
                <w:sz w:val="19"/>
                <w:szCs w:val="19"/>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8"/>
              </w:rPr>
              <w:t>Underwriting discount payable at closing (2.0% of gross proceeds from</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1"/>
        </w:trPr>
        <w:tc>
          <w:tcPr>
            <w:tcW w:w="5580" w:type="dxa"/>
            <w:vAlign w:val="bottom"/>
          </w:tcPr>
          <w:p>
            <w:pPr>
              <w:ind w:left="180"/>
              <w:spacing w:after="0"/>
              <w:rPr>
                <w:sz w:val="20"/>
                <w:szCs w:val="20"/>
                <w:color w:val="auto"/>
              </w:rPr>
            </w:pPr>
            <w:r>
              <w:rPr>
                <w:rFonts w:ascii="Arial" w:cs="Arial" w:eastAsia="Arial" w:hAnsi="Arial"/>
                <w:sz w:val="18"/>
                <w:szCs w:val="18"/>
                <w:color w:val="auto"/>
              </w:rPr>
              <w:t>units offered to public)</w:t>
            </w:r>
          </w:p>
        </w:tc>
        <w:tc>
          <w:tcPr>
            <w:tcW w:w="120" w:type="dxa"/>
            <w:vAlign w:val="bottom"/>
          </w:tcPr>
          <w:p>
            <w:pPr>
              <w:spacing w:after="0"/>
              <w:rPr>
                <w:sz w:val="23"/>
                <w:szCs w:val="2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2,000,000</w:t>
            </w:r>
            <w:r>
              <w:rPr>
                <w:rFonts w:ascii="Arial" w:cs="Arial" w:eastAsia="Arial" w:hAnsi="Arial"/>
                <w:sz w:val="20"/>
                <w:szCs w:val="20"/>
                <w:color w:val="auto"/>
                <w:vertAlign w:val="superscript"/>
              </w:rPr>
              <w:t>(2)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2,300,000</w:t>
            </w:r>
            <w:r>
              <w:rPr>
                <w:rFonts w:ascii="Arial" w:cs="Arial" w:eastAsia="Arial" w:hAnsi="Arial"/>
                <w:sz w:val="20"/>
                <w:szCs w:val="20"/>
                <w:color w:val="auto"/>
                <w:vertAlign w:val="superscript"/>
              </w:rPr>
              <w:t>(2)</w:t>
            </w: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225,000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Nasdaq listing fees (including deferred portion)</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75,000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17,750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23,370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23,370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D&amp;O Insurance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33,880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33,880</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3,050,000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Held in trust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100,000,000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115,000,000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Not held in trust</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750,000</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net proceeds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100,750,000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115,750,000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99"/>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Percentage</w:t>
            </w: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77"/>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Use of net proceeds not held in trust</w:t>
            </w:r>
            <w:r>
              <w:rPr>
                <w:rFonts w:ascii="Arial" w:cs="Arial" w:eastAsia="Arial" w:hAnsi="Arial"/>
                <w:sz w:val="20"/>
                <w:szCs w:val="20"/>
                <w:i w:val="1"/>
                <w:iCs w:val="1"/>
                <w:color w:val="auto"/>
                <w:vertAlign w:val="superscript"/>
              </w:rPr>
              <w:t>(3)(4)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7"/>
              </w:rPr>
              <w:t>Legal, accounting and other expenses attendant to the search for target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businesses and to the due diligence, investigation, structuring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negotiation of a business combination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40.0%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Legal, accounting, audit and other fees relating to SEC reporting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Payment of administrative fee to an affiliate of our Chairman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($10,000 per month for up to 12 months)</w:t>
            </w:r>
          </w:p>
        </w:tc>
        <w:tc>
          <w:tcPr>
            <w:tcW w:w="12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9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portion of the offering expenses, including the SEC registration fee, the FINRA filing fee, the non-refundable portion of the Nasdaq listing fee and a portion of the legal and audit fees, will have been paid from the loan we received from our sponsor described below. These funds will be repaid out of the proceeds of this offering available to 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discounts or commissions will be paid with respect to the purchase of the private units.</w:t>
      </w:r>
    </w:p>
    <w:p>
      <w:pPr>
        <w:spacing w:after="0" w:line="18" w:lineRule="exact"/>
        <w:rPr>
          <w:rFonts w:ascii="Arial" w:cs="Arial" w:eastAsia="Arial" w:hAnsi="Arial"/>
          <w:sz w:val="16"/>
          <w:szCs w:val="16"/>
          <w:color w:val="auto"/>
        </w:rPr>
      </w:pPr>
    </w:p>
    <w:p>
      <w:pPr>
        <w:jc w:val="both"/>
        <w:ind w:left="880" w:right="459" w:hanging="426"/>
        <w:spacing w:after="0" w:line="281" w:lineRule="auto"/>
        <w:tabs>
          <w:tab w:leader="none" w:pos="9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amount of proceeds not held in trust will remain constant at approximately $750,000 even if the over-allotment option is exercised. The amount in the table above does not include interest available to us from the trust account. The proceeds held in the trust account may be invested only in U.S. government treasury obligations with a maturity of 185 days or less or in money market funds meeting certain conditions under Rule 2a-7 under the Investment Company Act which invest only in direct U.S. government treasury obligations. We estimate that the after-tax interest earned on the trust account will be approximately $100,000 per year, assuming an interest rate of 0.1% per year; however, we can provide no assurances regarding this amount.</w:t>
      </w:r>
    </w:p>
    <w:p>
      <w:pPr>
        <w:spacing w:after="0" w:line="3" w:lineRule="exact"/>
        <w:rPr>
          <w:rFonts w:ascii="Arial" w:cs="Arial" w:eastAsia="Arial" w:hAnsi="Arial"/>
          <w:sz w:val="15"/>
          <w:szCs w:val="15"/>
          <w:color w:val="auto"/>
        </w:rPr>
      </w:pPr>
    </w:p>
    <w:p>
      <w:pPr>
        <w:jc w:val="both"/>
        <w:ind w:left="880" w:right="459" w:hanging="426"/>
        <w:spacing w:after="0" w:line="290" w:lineRule="auto"/>
        <w:tabs>
          <w:tab w:leader="none" w:pos="961"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ectPr>
          <w:pgSz w:w="11900" w:h="16838" w:orient="portrait"/>
          <w:cols w:equalWidth="0" w:num="1">
            <w:col w:w="9019"/>
          </w:cols>
          <w:pgMar w:left="1440" w:top="274" w:right="1440" w:bottom="993"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93" w:gutter="0" w:footer="0" w:header="0"/>
          <w:type w:val="continuous"/>
        </w:sectPr>
      </w:pPr>
    </w:p>
    <w:bookmarkStart w:id="47" w:name="page48"/>
    <w:bookmarkEnd w:id="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Our sponsor and EarlyBirdCapital have committed that they and/or their designees will purchase the private units (for an aggregate purchase price of $3,500,000) from us on a private placement basis simultaneously with the consummation of this offering. They have also agreed that if the over-allotment option is exercised by the underwriters in full or in part, they will purchase from us an additional number of private units (up to a maximum of 30,000 private units at a price of $10.00 per private unit)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elsewhere in this prospectus. All of the proceeds we receive from these purchases will be placed in the trust account described below.</w:t>
      </w:r>
    </w:p>
    <w:p>
      <w:pPr>
        <w:spacing w:after="0" w:line="10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$100,000,000, or 115,000,000 if the over-allotment option is exercised in full, of net proceeds of this offering and the sale of the private units will be placed in a U.S.-based trust account maintained by Continental Stock Transfer &amp; Trust Company, New York, New York, as trustee.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we are not deemed to be an investment company under the Investment Company Act. Except with respect to interest earned on the funds held in the trust account that may be released to us to pay our income or other tax obligations, the proceeds will not be released from the trust account until the earlier of the completion of a business combination or our redemption of 100% of the outstanding public subunits if we have not completed a business combination in the required time period. The proceeds held in the trust account may be used as consideration to pay the sellers of a target business with which we complete a business combination. Any amounts not paid as consideration to the sellers of the target business may be used to finance operations of the target business.</w:t>
      </w:r>
    </w:p>
    <w:p>
      <w:pPr>
        <w:spacing w:after="0" w:line="117"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payment to an affiliate of our Chief Executive Officer of a monthly fee of $10,000 is for general and administrative services including office space, utilities and secretarial support. This arrangement is being agreed to by such party for our benefit and is not intended to provide our Chairman with compensation in lieu of a salary. We believe, based on rents and fees for similar services in other comparable areas, that the fee charged by such party is at least as favorable as we could have obtained from an unaffiliated person. This arrangement will terminate upon completion of our initial business combination or the distribution of the trust account to our public stockholders.</w:t>
      </w:r>
    </w:p>
    <w:p>
      <w:pPr>
        <w:spacing w:after="0" w:line="11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Other than the $10,000 per month administrative fee and repayment of the loans made by our sponsor to us, no compensation or fees of any kind, including finder’s, consulting fees and other similar fees, will be paid to our sponsor, initial stockholders, members of our management team or their respective affiliates, for services rendered prior to or in connection with the consummation of our initial business combination (regardless of the type of transaction that it is). However, our officers and directors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0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Regardless of whether the over-allotment option is exercised in full, the net proceeds from this offering available to us out of trust for our working capital requirements in searching for a business combination will be approximately $750,000. We intend to use the proceeds for miscellaneous expenses such as paying for director and officer liability insurance premiums and for due diligence, legal, accounting and other expenses of structuring and negotiating business combinations, as well as for reimbursement of any out-of-pocket expenses incurred by our sponsor, officers and directors in connection with activities on our behalf as described above. The allocation of the net proceeds available to us outside of the trust account represents our best estimate of the intended uses of these funds. In the event that our assumptions prove to be inaccurate, we may reallocate some of such proceeds within the above described categories.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6"/>
          <w:szCs w:val="16"/>
          <w:i w:val="1"/>
          <w:iCs w:val="1"/>
          <w:color w:val="auto"/>
        </w:rPr>
        <w:t>Underwriting — Business Combination 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To the extent that our capital stock is used in whole or in part as consideration to effect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the proceeds held in the trust account which are not used to consummate a business combination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and research and development of existing or new products.</w:t>
      </w:r>
    </w:p>
    <w:p>
      <w:pPr>
        <w:spacing w:after="0" w:line="10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sponsor has agreed to advance us the funds necessary to complete such liquidation (currently anticipated to be no more than $15,000) and has agreed not to seek repayment of such expenses.</w:t>
      </w:r>
    </w:p>
    <w:p>
      <w:pPr>
        <w:spacing w:after="0" w:line="11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sponsor has agreed to loan us an aggregate of up to $300,000, which will be used to pay a portion of the expenses of this offering referenced in the line items above for SEC registration fee, FINRA filing fee, the non-refundable portion of the Nasdaq listing fee and a portion of the legal and audit fees and expenses. The note governing the loan is non-interest bearing and is payable on the earlier to occur of March 31, 2021, the consummation of this offering, or the abandonment of this offering. The loan will be payable without interest. The loan will be repaid out of the proceeds of this offering available to us for payment of offering expenses. As of the date of this prospectus, no loans had been made to us by our sponsor.</w:t>
      </w:r>
    </w:p>
    <w:p>
      <w:pPr>
        <w:spacing w:after="0" w:line="9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that, upon consummation of this offering, we will have sufficient available funds to operate for the next 18 months from the closing of this offering (or up to 21 months if a definitive agreement with respect to a proposed business combination has been executed within 18 months), assuming that a business combination is not consummated during that time. However, if necessary,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0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 public stockholder will be entitled to receive funds from the trust account (including interest earned on his, her or its portion of the trust account to the extent not previously released to us) only in the event of (i) our redemption of 100% of the outstanding public subunits if we have not completed a business combination in the required time period, (ii) if that public stockholder converts such subunits, or sells such subunits to us in a tender offer, in connection with a business combination which we consummate or (iii)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(or up to 21 months if a definitive agreement with respect to a proposed business combination has been executed within 18 months). This redemption right shall apply in the event of the approval of any such amendment to our amended and restated certificate of incorporation, whether proposed by our sponsor, initial stockholders, executive officers, directors or any other person. In no other circumstances will a public stockholder have any right or interest of any kind to or in the trust account.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Further, if we incur any indebtedness, our ability to declare dividends may be limited by restrictive covenants we may agree to in connection therewith.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ownership of our sponsor at 20.0% of our issued and outstanding shares of our common stock upon the consummation of this offering (not including the private units and underlying securities and the representative shares and assuming the initial stockholders do not purchase units in this offering).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and subunits we are offering by this prospectus, and the pro forma net tangible book value per share after this offering constitutes the dilution to investors in this offering. Such calculation does not reflect any dilution associated with the sale and exercise of warrants. Net tangible book value per share is determined by dividing our net tangible book value, which is our total tangible assets less total liabilities (including the value of shares of common stock which may be converted into cash or sold in a tender offer), by the number of outstanding shares of common stock.</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At January 4, 2021, our net tangible book deficit was $716, or approximately a net tangible book deficit of $0.00 per share of common stock. After giving effect to the sale of 10,000,000 shares of common stock included in the subunits we are offering by this prospectus, the sale of the private units, the issuance of the representative shares and the deduction of underwriting commissions and estimated expenses of this offering, our pro forma net tangible book value at January 4, 2021 would have been $5,000,009 or $1.38 per share, representing an immediate increase in net tangible book value (as decreased by the value of the approximately 9,577,431 shares of common stock included in subunits that may be converted to cash and assuming no exercise of the underwriters’ over-allotment option) of $1.38 per share to our initial stockholders and an immediate dilution of $8.62 per share or 86.2% to our public stockholders not exercising their conversion rights. The decrease attributable to public shares subject to conversion is included in the calculation below at $10.00 per subunit, as all public stockholders have the right to convert.</w:t>
      </w:r>
    </w:p>
    <w:p>
      <w:pPr>
        <w:spacing w:after="0" w:line="11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warrants included in the units: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Without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Over-allotment</w:t>
            </w:r>
          </w:p>
        </w:tc>
        <w:tc>
          <w:tcPr>
            <w:tcW w:w="1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Net tangible book deficit before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vMerge w:val="continue"/>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Increase attributable to public stockholders and sale of the private units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36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1.38</w:t>
            </w:r>
          </w:p>
        </w:tc>
        <w:tc>
          <w:tcPr>
            <w:tcW w:w="3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8.62</w:t>
            </w:r>
          </w:p>
        </w:tc>
        <w:tc>
          <w:tcPr>
            <w:tcW w:w="3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stockholders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$95,774,310 because holders of up to approximately 95.8%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stockholders meeting, including interest earned on the funds held in the trust account and not previously released to us to pay our franchise and income taxes), divided by the number of shares of common stock sold in this offering.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with respect to our existing stockholders and the public stockholders: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222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w w:val="88"/>
              </w:rPr>
              <w:t>Average Price</w:t>
            </w:r>
          </w:p>
        </w:tc>
        <w:tc>
          <w:tcPr>
            <w:tcW w:w="0" w:type="dxa"/>
            <w:vAlign w:val="bottom"/>
          </w:tcPr>
          <w:p>
            <w:pPr>
              <w:spacing w:after="0"/>
              <w:rPr>
                <w:sz w:val="1"/>
                <w:szCs w:val="1"/>
                <w:color w:val="auto"/>
              </w:rPr>
            </w:pPr>
          </w:p>
        </w:tc>
      </w:tr>
      <w:tr>
        <w:trPr>
          <w:trHeight w:val="47"/>
        </w:trPr>
        <w:tc>
          <w:tcPr>
            <w:tcW w:w="22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Number</w:t>
            </w:r>
          </w:p>
        </w:tc>
        <w:tc>
          <w:tcPr>
            <w:tcW w:w="106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73"/>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47"/>
        </w:trPr>
        <w:tc>
          <w:tcPr>
            <w:tcW w:w="22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Representative shares</w:t>
            </w:r>
            <w:r>
              <w:rPr>
                <w:rFonts w:ascii="Arial" w:cs="Arial" w:eastAsia="Arial" w:hAnsi="Arial"/>
                <w:sz w:val="20"/>
                <w:szCs w:val="20"/>
                <w:color w:val="auto"/>
                <w:vertAlign w:val="superscript"/>
              </w:rPr>
              <w:t>(2)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stockholderss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0"/>
                <w:szCs w:val="20"/>
                <w:color w:val="auto"/>
              </w:rPr>
            </w:pPr>
            <w:r>
              <w:rPr>
                <w:rFonts w:ascii="Arial" w:cs="Arial" w:eastAsia="Arial" w:hAnsi="Arial"/>
                <w:sz w:val="18"/>
                <w:szCs w:val="18"/>
                <w:color w:val="auto"/>
              </w:rPr>
              <w:t>Public stockholders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103,525,035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59" w:hanging="426"/>
        <w:spacing w:after="0" w:line="266" w:lineRule="auto"/>
        <w:tabs>
          <w:tab w:leader="none" w:pos="9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375,000 founder shares have been forfeited as a result thereof.</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Assumes the issuance of an additional 350,000 shares underlying the representative shares.</w:t>
      </w:r>
    </w:p>
    <w:p>
      <w:pPr>
        <w:sectPr>
          <w:pgSz w:w="11900" w:h="16838" w:orient="portrait"/>
          <w:cols w:equalWidth="0" w:num="1">
            <w:col w:w="9019"/>
          </w:cols>
          <w:pgMar w:left="1440" w:top="274" w:right="1440"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net tangible book value after the offering is calculated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b w:val="1"/>
                <w:bCs w:val="1"/>
                <w:color w:val="auto"/>
              </w:rPr>
              <w:t>Without</w:t>
            </w:r>
          </w:p>
        </w:tc>
        <w:tc>
          <w:tcPr>
            <w:tcW w:w="10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52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rPr>
              <w:t>Over-allotment   Over-allotment</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proceeds from this offering and sale of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100,750,000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115,750,000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Plus: Proceeds from the issuance of representative shares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Plus: Offering costs paid in advance, excluded from tangible book value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this offering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p>
        </w:tc>
        <w:tc>
          <w:tcPr>
            <w:tcW w:w="1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(95,774,310)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(110,774,310)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this offering</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Common stock forfeited if over-allotment is not exercised</w:t>
            </w: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underlying the representative shares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Common stock included in the units offered</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included in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Less: common stock subject to redemption</w:t>
            </w:r>
          </w:p>
        </w:tc>
        <w:tc>
          <w:tcPr>
            <w:tcW w:w="1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(9,577,431)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(11,077,431)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3,622,569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4,027,569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3960"/>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following table sets forth our capitalization at January 4, 2021 and as adjusted to give effect to the issuance of the representative shares, the sale of our units and the private units and the application of the estimated net proceeds derived from the sale of such securities: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January 4, 2021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120"/>
              <w:spacing w:after="0"/>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As Adjusted</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related party</w:t>
            </w:r>
            <w:r>
              <w:rPr>
                <w:rFonts w:ascii="Arial" w:cs="Arial" w:eastAsia="Arial" w:hAnsi="Arial"/>
                <w:sz w:val="20"/>
                <w:szCs w:val="20"/>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600" w:type="dxa"/>
            <w:vAlign w:val="bottom"/>
          </w:tcPr>
          <w:p>
            <w:pPr>
              <w:spacing w:after="0" w:line="182" w:lineRule="exact"/>
              <w:rPr>
                <w:sz w:val="20"/>
                <w:szCs w:val="20"/>
                <w:color w:val="auto"/>
              </w:rPr>
            </w:pPr>
            <w:r>
              <w:rPr>
                <w:rFonts w:ascii="Arial" w:cs="Arial" w:eastAsia="Arial" w:hAnsi="Arial"/>
                <w:sz w:val="18"/>
                <w:szCs w:val="18"/>
                <w:color w:val="auto"/>
                <w:w w:val="95"/>
              </w:rPr>
              <w:t>Common stock, subject to redemption, 0 and 9,577,431 shares which are</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600" w:type="dxa"/>
            <w:vAlign w:val="bottom"/>
          </w:tcPr>
          <w:p>
            <w:pPr>
              <w:ind w:left="180"/>
              <w:spacing w:after="0"/>
              <w:rPr>
                <w:sz w:val="20"/>
                <w:szCs w:val="20"/>
                <w:color w:val="auto"/>
              </w:rPr>
            </w:pPr>
            <w:r>
              <w:rPr>
                <w:rFonts w:ascii="Arial" w:cs="Arial" w:eastAsia="Arial" w:hAnsi="Arial"/>
                <w:sz w:val="18"/>
                <w:szCs w:val="18"/>
                <w:color w:val="auto"/>
                <w:w w:val="97"/>
              </w:rPr>
              <w:t>subject to possible redemption, actual and as adjusted, respectively</w:t>
            </w:r>
            <w:r>
              <w:rPr>
                <w:rFonts w:ascii="Arial" w:cs="Arial" w:eastAsia="Arial" w:hAnsi="Arial"/>
                <w:sz w:val="20"/>
                <w:szCs w:val="20"/>
                <w:color w:val="auto"/>
                <w:w w:val="97"/>
                <w:vertAlign w:val="superscript"/>
              </w:rPr>
              <w:t>(2)</w:t>
            </w:r>
          </w:p>
        </w:tc>
        <w:tc>
          <w:tcPr>
            <w:tcW w:w="220" w:type="dxa"/>
            <w:vAlign w:val="bottom"/>
          </w:tcPr>
          <w:p>
            <w:pPr>
              <w:spacing w:after="0"/>
              <w:rPr>
                <w:sz w:val="23"/>
                <w:szCs w:val="23"/>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95,774,310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Preferred stock, $0.0001 par value; 1,000,000 shares authorized;</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none issued and outstanding, actual and as adjusted,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Common stock, $0.0001 par value,30,000,000 shares authorized, 2,875,000</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6"/>
              </w:rPr>
              <w:t>and 3,622,569 shares issued and outstanding, actual and as adjusted,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00" w:type="dxa"/>
            <w:vAlign w:val="bottom"/>
          </w:tcPr>
          <w:p>
            <w:pPr>
              <w:ind w:left="180"/>
              <w:spacing w:after="0"/>
              <w:rPr>
                <w:sz w:val="20"/>
                <w:szCs w:val="20"/>
                <w:color w:val="auto"/>
              </w:rPr>
            </w:pPr>
            <w:r>
              <w:rPr>
                <w:rFonts w:ascii="Arial" w:cs="Arial" w:eastAsia="Arial" w:hAnsi="Arial"/>
                <w:sz w:val="18"/>
                <w:szCs w:val="18"/>
                <w:color w:val="auto"/>
              </w:rPr>
              <w:t>respectively</w:t>
            </w:r>
            <w:r>
              <w:rPr>
                <w:rFonts w:ascii="Arial" w:cs="Arial" w:eastAsia="Arial" w:hAnsi="Arial"/>
                <w:sz w:val="20"/>
                <w:szCs w:val="20"/>
                <w:color w:val="auto"/>
                <w:vertAlign w:val="superscript"/>
              </w:rPr>
              <w:t>(3)</w:t>
            </w:r>
          </w:p>
        </w:tc>
        <w:tc>
          <w:tcPr>
            <w:tcW w:w="2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5,000,363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100,774,319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79" w:hanging="426"/>
        <w:spacing w:after="0" w:line="265" w:lineRule="auto"/>
        <w:tabs>
          <w:tab w:leader="none" w:pos="91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There was $0 outstanding at January 4, 2021 under the $300,000 promissory note issued to our sponsor. The note is non-interest bearing and is payable on the earlier to occur of March 31, 2021, the consummation of this offering or the abandonment of this offering.</w:t>
      </w:r>
    </w:p>
    <w:p>
      <w:pPr>
        <w:spacing w:after="0" w:line="1" w:lineRule="exact"/>
        <w:rPr>
          <w:rFonts w:ascii="Arial" w:cs="Arial" w:eastAsia="Arial" w:hAnsi="Arial"/>
          <w:sz w:val="16"/>
          <w:szCs w:val="16"/>
          <w:color w:val="auto"/>
        </w:rPr>
      </w:pPr>
    </w:p>
    <w:p>
      <w:pPr>
        <w:jc w:val="both"/>
        <w:ind w:left="880" w:right="479" w:hanging="426"/>
        <w:spacing w:after="0" w:line="281" w:lineRule="auto"/>
        <w:tabs>
          <w:tab w:leader="none" w:pos="928" w:val="left"/>
        </w:tabs>
        <w:numPr>
          <w:ilvl w:val="0"/>
          <w:numId w:val="26"/>
        </w:numPr>
        <w:rPr>
          <w:rFonts w:ascii="Arial" w:cs="Arial" w:eastAsia="Arial" w:hAnsi="Arial"/>
          <w:sz w:val="15"/>
          <w:szCs w:val="15"/>
          <w:color w:val="auto"/>
        </w:rPr>
      </w:pPr>
      <w:r>
        <w:rPr>
          <w:rFonts w:ascii="Arial" w:cs="Arial" w:eastAsia="Arial" w:hAnsi="Arial"/>
          <w:sz w:val="15"/>
          <w:szCs w:val="15"/>
          <w:color w:val="auto"/>
        </w:rPr>
        <w:t>Upon the consummation of our initial business combination, we will provide our stockholders (but not our sponsor, initial stockholders, officers or directors) with the opportunity to convert or sell their public subunits for cash equal to their pro rata share of the aggregate amount then on deposit in the trust account as of two business days prior to the consummation of the initial business combination, including interest not previously released to us (less taxes payable), subject to the limitations described herein whereby our net tangible assets will be maintained at a minimum of $5,000,001 either immediately prior to or upon consummation.</w:t>
      </w:r>
    </w:p>
    <w:p>
      <w:pPr>
        <w:spacing w:after="0" w:line="3" w:lineRule="exact"/>
        <w:rPr>
          <w:rFonts w:ascii="Arial" w:cs="Arial" w:eastAsia="Arial" w:hAnsi="Arial"/>
          <w:sz w:val="15"/>
          <w:szCs w:val="15"/>
          <w:color w:val="auto"/>
        </w:rPr>
      </w:pPr>
    </w:p>
    <w:p>
      <w:pPr>
        <w:ind w:left="880" w:right="459" w:hanging="426"/>
        <w:spacing w:after="0" w:line="288" w:lineRule="auto"/>
        <w:tabs>
          <w:tab w:leader="none" w:pos="9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375,000 founder shares have been forfeited as a result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3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 The issuance of additional shares of common stock or preferred stock:</w:t>
      </w:r>
    </w:p>
    <w:p>
      <w:pPr>
        <w:spacing w:after="0" w:line="110" w:lineRule="exact"/>
        <w:rPr>
          <w:sz w:val="20"/>
          <w:szCs w:val="20"/>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79" w:hanging="434"/>
        <w:spacing w:after="0" w:line="308" w:lineRule="auto"/>
        <w:tabs>
          <w:tab w:leader="none" w:pos="14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w:t>
      </w:r>
    </w:p>
    <w:p>
      <w:pPr>
        <w:spacing w:after="0" w:line="7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are an emerging growth company as defined in the JOBS Act.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indicated in the accompanying financial statements, at January 4, 2021, we had cash balance of $0 and a working capital deficit of $716.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spacing w:after="0" w:line="12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liquidity needs have been satisfied to date through the payment of certain of our deferred offering costs with the $25,000 purchase price of the founder shares and loans from our sponsor in an aggregate amount of $300,000 that are more fully described below. We estimate that the net proceeds from (i) the sale of the units in this offering, after deducting offering expenses of approximately $750,000 and underwriting discounts and commissions of $2,000,000 (or $2,300,000 if the over-allotment option is exercised in full) and (ii) the sale of the private units for a purchase price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of $3,500,000 (or $3,800,000 if the over-allotment option is exercised in full) will be $100,750,000 (or $115,750,000 if the over-allotment option is exercised in full). Of this amount, $100,000,000 (or $115,000,000 if the over-allotment option is exercised in full) will be held in the trust account. The remaining $750,000 will not be held in trust.</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7"/>
          <w:szCs w:val="17"/>
          <w:i w:val="1"/>
          <w:iCs w:val="1"/>
          <w:color w:val="auto"/>
        </w:rPr>
        <w:t>Underwriting — Business Combination Marketing</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the extent that our capital stock is used in whole or in part as consideration to effect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11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believe that, upon consummation of this offering, the approximate $750,000 of net proceeds not held in the trust account, together with the interest earned on the trust account that is available to us, will be sufficient to allow us to operate for at least the next 18 months from the closing of this offering (or up to 21 months if a definitive agreement with respect to a proposed business combination has been executed within 18 months),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approximately:</w:t>
      </w:r>
    </w:p>
    <w:p>
      <w:pPr>
        <w:spacing w:after="0" w:line="104" w:lineRule="exact"/>
        <w:rPr>
          <w:sz w:val="20"/>
          <w:szCs w:val="20"/>
          <w:color w:val="auto"/>
        </w:rPr>
      </w:pPr>
    </w:p>
    <w:p>
      <w:pPr>
        <w:jc w:val="both"/>
        <w:ind w:left="1320" w:right="479" w:hanging="434"/>
        <w:spacing w:after="0" w:line="263" w:lineRule="auto"/>
        <w:tabs>
          <w:tab w:leader="none" w:pos="14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$300,000 of expenses for the search for target businesses and for the legal, accounting and other expenses attendant to the due diligence investigations, structuring and negotiating of a business combination;</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$180,000 of expenses in legal, audit, accounting and other fees relating to our SEC reporting obligations;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$120,000 for the payment of the administrative fee to an affiliate of our Chief Executive Officer (of $10,000 per month for up to 12 months); and</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$150,000 for general working capital that will be used for miscellaneous expenses, including D&amp;O insurance and Nasdaq fees.</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our estimates of the above costs are less than the actual costs,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subunits upon consummation of our initial business combination, in which case we may issue additional securities or incur debt in connection with such business combination. We do not have a maximum debt leverage ratio or a policy with respect to how much debt we may incur. The amount of debt we will be willing to incur will depend on the facts and circumstances of the proposed business combination and market conditions at the time of the potential business combination. At this time, we are not party to any arrangement or understanding with any third party with respect to raising additional funds through the sale of our securities or the incurrence of debt.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w:t>
      </w:r>
    </w:p>
    <w:p>
      <w:pPr>
        <w:spacing w:after="0" w:line="106"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As of January 4, 2021, we did not borrow any amount under such promissory note. We intend to repay the loan from the proceeds of this offering not being placed in trust upon consummation of this offering.</w:t>
      </w:r>
    </w:p>
    <w:p>
      <w:pPr>
        <w:sectPr>
          <w:pgSz w:w="11900" w:h="16838" w:orient="portrait"/>
          <w:cols w:equalWidth="0" w:num="1">
            <w:col w:w="9019"/>
          </w:cols>
          <w:pgMar w:left="1440" w:top="274" w:right="1440"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are obligated, commencing on the date of this prospectus, to pay SPAC Partners LLC, an affiliate of our Chief Executive Officer, a monthly fee of $10,000 for general and administrative services.</w:t>
      </w:r>
    </w:p>
    <w:p>
      <w:pPr>
        <w:spacing w:after="0" w:line="10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On January 13, 2021, we issued to EarlyBirdCapital and its designees an aggregate of 350,000 representative shares of common stock at $0.0001 per share. The holders of the representative shares have agreed (A) to vote the representative shares in favor of any proposed business combination, (B) not to convert representative shares in connection with a stockholder vote to approve a proposed initial business combination or sell the representative shares to us in a tender offer in connection with a proposed initial business combination and</w:t>
      </w:r>
    </w:p>
    <w:p>
      <w:pPr>
        <w:spacing w:after="0" w:line="2" w:lineRule="exact"/>
        <w:rPr>
          <w:sz w:val="20"/>
          <w:szCs w:val="20"/>
          <w:color w:val="auto"/>
        </w:rPr>
      </w:pPr>
    </w:p>
    <w:p>
      <w:pPr>
        <w:ind w:left="460" w:right="459" w:hanging="6"/>
        <w:spacing w:after="0" w:line="260" w:lineRule="auto"/>
        <w:tabs>
          <w:tab w:leader="none" w:pos="7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the representative shares will not participate in any liquidating distributions from our trust account upon winding up if a business combination is not consummated.</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EarlyBirdCapital is acting as representative of the underwriters in this offering and will be paid underwriting commissions equal to 2% of the gross proceeds of this offering. We will engage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 our press releases and public filings in connection with the business combination. We will pay EarlyBirdCapital a cash fee for such services upon the consummation of our initial business combination in an amount equal to 3.5% of the gross proceeds of this offering (exclusive of any applicable finders’ fees which might become payable); provided that up to 30% of the fee may be allocated at our sole discretion to other FINRA members that assist us in identifying or consummating an initial business combination.</w:t>
      </w:r>
    </w:p>
    <w:p>
      <w:pPr>
        <w:spacing w:after="0" w:line="10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consists of one private subunit (consisting of one private share and one-quarter of a private warrant) and one-half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As of the date of this prospectus, we have not completed an assessment, nor have our auditors tested our systems, of internal controls. We expect to assess the internal controls of our target</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a business combination may have internal controls that need improvement in areas such as:</w:t>
      </w:r>
    </w:p>
    <w:p>
      <w:pPr>
        <w:spacing w:after="0" w:line="94" w:lineRule="exact"/>
        <w:rPr>
          <w:sz w:val="20"/>
          <w:szCs w:val="20"/>
          <w:color w:val="auto"/>
        </w:rPr>
      </w:pPr>
    </w:p>
    <w:p>
      <w:pPr>
        <w:ind w:left="1300" w:hanging="41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the date of this prospectus,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00"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11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w:t>
      </w:r>
    </w:p>
    <w:p>
      <w:pPr>
        <w:spacing w:after="0" w:line="9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Mr. Brent Callinicos is our special advisor. Mr. Callinicos is currently an angel investor, active in investing in early-stage technology companies. Mr. Callinicos was formerly the Chief Operating Officer and Chief Financial Officer of Virgin Hyperloop One. Prior to that, Mr. Callinicos was the Chief Financial Officer of Uber Technologies Inc. Prior to that, Mr. Callinicos was the Vice President, Treasurer and Chief Accountant of Google Inc., now known as Alphabet Inc. Prior to that, Mr. Callinicos held several 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2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2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Daniel L Sheehan, our Chief Operating Officer, and Long Long, our Chief Financial Officer, are also currently serving as members of the board and management, respectively, for Ackrell SPAC Partners I Co.</w:t>
      </w:r>
    </w:p>
    <w:p>
      <w:pPr>
        <w:spacing w:after="0" w:line="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Bryant B. Edwards, a director of ours, served as Chief Operating Officer and director for Twelve Seas Investment Co., a SPAC which successful closed its business combination in December 2019.</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management team consists of seasoned professionals who have experience spanning the technology industry, including the sectors within the technology industry that we intend to focus on initially, mergers and acquisitions,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corporate finance, corporate governance and compliance, legal and regulatory matters and investment management. See “</w:t>
      </w:r>
      <w:r>
        <w:rPr>
          <w:rFonts w:ascii="Arial" w:cs="Arial" w:eastAsia="Arial" w:hAnsi="Arial"/>
          <w:sz w:val="17"/>
          <w:szCs w:val="17"/>
          <w:i w:val="1"/>
          <w:iCs w:val="1"/>
          <w:color w:val="auto"/>
        </w:rPr>
        <w:t>Management</w:t>
      </w:r>
      <w:r>
        <w:rPr>
          <w:rFonts w:ascii="Arial" w:cs="Arial" w:eastAsia="Arial" w:hAnsi="Arial"/>
          <w:sz w:val="17"/>
          <w:szCs w:val="17"/>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10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8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we are well positioned to find and attract an exciting technology business, and to help them as a newly public company grow and thrive, offering a partnership that extends far beyond our capital. Our management team’s deep operational experience, product experience, extensive networks, and track records as investors, advisors, and board members make us an attractive partner.</w:t>
      </w:r>
    </w:p>
    <w:p>
      <w:pPr>
        <w:spacing w:after="0" w:line="10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are dedicated to finding bold founders, operators, and inventors who are committed to building a leading business and would benefit from access to the public markets as well as working with our team. We have a proven track record of success in the technology industry as senior executives, investors and board members and are confident that we can partner with other founders, shareholder and management to help support building a category-defining business. We believe we possess the following tools to drive value creation at a company:</w:t>
      </w:r>
    </w:p>
    <w:p>
      <w:pPr>
        <w:spacing w:after="0" w:line="7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b w:val="1"/>
          <w:bCs w:val="1"/>
          <w:color w:val="auto"/>
        </w:rPr>
        <w:t xml:space="preserve">Experience recognizing key technology trends: </w:t>
      </w:r>
      <w:r>
        <w:rPr>
          <w:rFonts w:ascii="Arial" w:cs="Arial" w:eastAsia="Arial" w:hAnsi="Arial"/>
          <w:sz w:val="17"/>
          <w:szCs w:val="17"/>
          <w:color w:val="auto"/>
        </w:rPr>
        <w:t>Our team has demonstrated a long history of managing and</w:t>
      </w:r>
      <w:r>
        <w:rPr>
          <w:rFonts w:ascii="Arial" w:cs="Arial" w:eastAsia="Arial" w:hAnsi="Arial"/>
          <w:sz w:val="17"/>
          <w:szCs w:val="17"/>
          <w:b w:val="1"/>
          <w:bCs w:val="1"/>
          <w:color w:val="auto"/>
        </w:rPr>
        <w:t xml:space="preserve"> </w:t>
      </w:r>
      <w:r>
        <w:rPr>
          <w:rFonts w:ascii="Arial" w:cs="Arial" w:eastAsia="Arial" w:hAnsi="Arial"/>
          <w:sz w:val="17"/>
          <w:szCs w:val="17"/>
          <w:color w:val="auto"/>
        </w:rPr>
        <w:t>growing businesses at the epicenter of major technology trends. More recently, certain team members have been active in identifying and investing, at earlier stages, in companies focus on the next big trend, such as artificial intelligence, cloud services and automotive technology. For the technology industry especially, history has shown that small early stage companies, of even just five years ago, are often among the most exciting group of companies seeking a public listing in the near future. We believe our recent activity in identifying investment opportunities in early stage companies in key technology trends, is an advantage when combined with our track record of managing and growing successful public technology companies, and unique in our ability to identify and successful secure an initial business combination.</w:t>
      </w:r>
    </w:p>
    <w:p>
      <w:pPr>
        <w:spacing w:after="0" w:line="106" w:lineRule="exact"/>
        <w:rPr>
          <w:sz w:val="20"/>
          <w:szCs w:val="20"/>
          <w:color w:val="auto"/>
        </w:rPr>
      </w:pPr>
    </w:p>
    <w:p>
      <w:pPr>
        <w:jc w:val="both"/>
        <w:ind w:left="460" w:right="459"/>
        <w:spacing w:after="0" w:line="281" w:lineRule="auto"/>
        <w:rPr>
          <w:sz w:val="20"/>
          <w:szCs w:val="20"/>
          <w:color w:val="auto"/>
        </w:rPr>
      </w:pPr>
      <w:r>
        <w:rPr>
          <w:rFonts w:ascii="Arial" w:cs="Arial" w:eastAsia="Arial" w:hAnsi="Arial"/>
          <w:sz w:val="17"/>
          <w:szCs w:val="17"/>
          <w:b w:val="1"/>
          <w:bCs w:val="1"/>
          <w:color w:val="auto"/>
        </w:rPr>
        <w:t xml:space="preserve">Experience identifying strong management teams: </w:t>
      </w:r>
      <w:r>
        <w:rPr>
          <w:rFonts w:ascii="Arial" w:cs="Arial" w:eastAsia="Arial" w:hAnsi="Arial"/>
          <w:sz w:val="17"/>
          <w:szCs w:val="17"/>
          <w:color w:val="auto"/>
        </w:rPr>
        <w:t>With key members of our team having had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pacing w:after="0" w:line="97"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 xml:space="preserve">History of operating experience: </w:t>
      </w:r>
      <w:r>
        <w:rPr>
          <w:rFonts w:ascii="Arial" w:cs="Arial" w:eastAsia="Arial" w:hAnsi="Arial"/>
          <w:sz w:val="18"/>
          <w:szCs w:val="18"/>
          <w:color w:val="auto"/>
        </w:rPr>
        <w:t>The members of our team are seasoned operators having held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level roles in various companies. We have experience in developing and executing strategy, building and retaining teams, and executing business combinations among other activities.</w:t>
      </w:r>
    </w:p>
    <w:p>
      <w:pPr>
        <w:spacing w:after="0" w:line="95"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 xml:space="preserve">Deep network and connections to company founders: </w:t>
      </w:r>
      <w:r>
        <w:rPr>
          <w:rFonts w:ascii="Arial" w:cs="Arial" w:eastAsia="Arial" w:hAnsi="Arial"/>
          <w:sz w:val="18"/>
          <w:szCs w:val="18"/>
          <w:color w:val="auto"/>
        </w:rPr>
        <w:t>Our team has numerous existing connections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founders and business leaders across sectors within the technology industry. We have invested in many companies,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served on many boards and have worked with many influential founders and senior management teams within the technology industry, and specifically the sectors we intend to initially focus on. We believe our network and our connections will assist in the successful selection of our initial business combination and subsequent guidance of the company.</w:t>
      </w:r>
    </w:p>
    <w:p>
      <w:pPr>
        <w:spacing w:after="0" w:line="11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b w:val="1"/>
          <w:bCs w:val="1"/>
          <w:color w:val="auto"/>
        </w:rPr>
        <w:t xml:space="preserve">Significant Prior SPAC Experience: </w:t>
      </w:r>
      <w:r>
        <w:rPr>
          <w:rFonts w:ascii="Arial" w:cs="Arial" w:eastAsia="Arial" w:hAnsi="Arial"/>
          <w:sz w:val="17"/>
          <w:szCs w:val="17"/>
          <w:color w:val="auto"/>
        </w:rPr>
        <w:t>Our management team possesses a strong understanding of the SPAC</w:t>
      </w:r>
      <w:r>
        <w:rPr>
          <w:rFonts w:ascii="Arial" w:cs="Arial" w:eastAsia="Arial" w:hAnsi="Arial"/>
          <w:sz w:val="17"/>
          <w:szCs w:val="17"/>
          <w:b w:val="1"/>
          <w:bCs w:val="1"/>
          <w:color w:val="auto"/>
        </w:rPr>
        <w:t xml:space="preserve"> </w:t>
      </w:r>
      <w:r>
        <w:rPr>
          <w:rFonts w:ascii="Arial" w:cs="Arial" w:eastAsia="Arial" w:hAnsi="Arial"/>
          <w:sz w:val="17"/>
          <w:szCs w:val="17"/>
          <w:color w:val="auto"/>
        </w:rPr>
        <w:t>structure and market. Our CEO, Stephen N. Cannon, has served as a member of management for five SPACs that have completed initial public offerings, four of which have consummated business combinations. His most recently completed initial business combination was with Twelve Seas Investment Co. in December 2019, and his most recent SPAC initial public offering was Ackrell SPAC Partners I Co. in December 2020. Our COO and CFO, are both also currently serving as officers and/or directors of the latter SPAC. One of our independent director, Mr. Edwards, previously served as COO and director for the SPAC which closed its initial business combination in December 2019.</w:t>
      </w:r>
    </w:p>
    <w:p>
      <w:pPr>
        <w:spacing w:after="0" w:line="10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the completion of this offering, we will communicate with our founding team’s network, which includes private equity firms, venture capitalists, entrepreneurs and business leaders, to articulate the parameters for our search for a partner company and a potential business combination and to begin the process of pursuing and reviewing potential opportunities.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9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b w:val="1"/>
          <w:bCs w:val="1"/>
          <w:i w:val="1"/>
          <w:iCs w:val="1"/>
          <w:color w:val="auto"/>
        </w:rPr>
        <w:t xml:space="preserve">Clear and Sustainable Competitive Advantages: </w:t>
      </w:r>
      <w:r>
        <w:rPr>
          <w:rFonts w:ascii="Arial" w:cs="Arial" w:eastAsia="Arial" w:hAnsi="Arial"/>
          <w:sz w:val="16"/>
          <w:szCs w:val="16"/>
          <w:color w:val="auto"/>
        </w:rPr>
        <w:t>We intend to target businesses that differentiate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themselves from their peers in ways that are difficult to replicate and have clear competitive advantages. Members of our team have accomplished track records of founding, operating, and investing in the technology industry and intend to focus on prospective businesses that engage with technology to serve customers in novel and transformational manner. We believe our team’s expertise and understanding of innovative businesses will be paramount in identifying and assessing initial business combination candidates.</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High Growth Potential: </w:t>
      </w:r>
      <w:r>
        <w:rPr>
          <w:rFonts w:ascii="Arial" w:cs="Arial" w:eastAsia="Arial" w:hAnsi="Arial"/>
          <w:sz w:val="18"/>
          <w:szCs w:val="18"/>
          <w:color w:val="auto"/>
        </w:rPr>
        <w:t>We intend to seek businesses that are well positioned to grow in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markets and which have clear plans on how to leverage additional capital to accelerate growth. We expect to target businesses that have had, or expect to have, strong cash flow generation. We believe that our team’s collective experiences engaging with innovative businesses positions us well to identify, nurture, and expand high potential businesses.</w:t>
      </w:r>
    </w:p>
    <w:p>
      <w:pPr>
        <w:spacing w:after="0" w:line="107"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b w:val="1"/>
          <w:bCs w:val="1"/>
          <w:i w:val="1"/>
          <w:iCs w:val="1"/>
          <w:color w:val="auto"/>
        </w:rPr>
        <w:t xml:space="preserve">Experienced Management Teams: </w:t>
      </w:r>
      <w:r>
        <w:rPr>
          <w:rFonts w:ascii="Arial" w:cs="Arial" w:eastAsia="Arial" w:hAnsi="Arial"/>
          <w:sz w:val="16"/>
          <w:szCs w:val="16"/>
          <w:color w:val="auto"/>
        </w:rPr>
        <w:t>We intend to seek to target businesses that have strong, experienced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dynamic management teams, many of whom will be founders of the businesses, but whom we believe may benefit from our financial, managerial and investment expertise as well as our extensive industry networks and insights. We believe that identifying such management teams is particularly important given our target industry.</w:t>
      </w:r>
    </w:p>
    <w:p>
      <w:pPr>
        <w:spacing w:after="0" w:line="90"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Attractive Valuations: </w:t>
      </w:r>
      <w:r>
        <w:rPr>
          <w:rFonts w:ascii="Arial" w:cs="Arial" w:eastAsia="Arial" w:hAnsi="Arial"/>
          <w:sz w:val="18"/>
          <w:szCs w:val="18"/>
          <w:color w:val="auto"/>
        </w:rPr>
        <w:t>We intend to only evaluate a business that, based on our due diligence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represents an attractive valuation relative to publicly listed companies with similar characteristics or in similar industry segments. We intend to seek businesses in which we believe we can add operational value through mentorship of management, knowledge of operating challenges, experience with industry dynamics, expertise in navigating public markets, and strategic relationships with investors, among others.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Will Benefit from Being a Public Company: </w:t>
      </w:r>
      <w:r>
        <w:rPr>
          <w:rFonts w:ascii="Arial" w:cs="Arial" w:eastAsia="Arial" w:hAnsi="Arial"/>
          <w:sz w:val="18"/>
          <w:szCs w:val="18"/>
          <w:color w:val="auto"/>
        </w:rPr>
        <w:t>We intend to pursue a business that will benefit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a public company, including potentially having broader access to capital and a public currency for acquisitions.</w:t>
      </w:r>
    </w:p>
    <w:p>
      <w:pPr>
        <w:spacing w:after="0" w:line="103"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a business combination which has not yet been identified. Accordingly, investors in this offering are investing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Not Identified a Target Business</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To date, we have not selected any target business on which to concentrate our search for a business combination. None of our sponsor, officers, directors, promoters and other affiliates has engaged in any substantive discussions on our behalf with representatives of other companies regarding the possibility of a potential merger, capital stock exchange, asset acquisition or other similar business combination with us. Additionally, we have not engaged or retained any agent or other representative to identify or locate such companies. Finally, we have not contacted any of the prospective target businesses that Ackrell SPAC Partners I Co. or Twelve Seas Investment Company had considered and rejected. We do not currently intend to contact any of such targets; however, we may do so if we become aware that the valuations, operations, profits or prospects of such target business, or the benefits of any potential transaction with such target business, would be attractive. As a result, we cannot assure you that we will be able to locate a target business or that we will be able to engage in a business combination with a target business on favorable terms or at all.</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Subject to our management team’s pre-existing fiduciary obligations and the fair market value requirement described below, we will have virtually unrestricted flexibility in identifying and selecting a prospective acquisition candidate. We have not established any specific attributes or criteria (financial or otherwise) for prospective target businesses other than as described above. Accordingly, there is no basis for investors in this offering to evaluate the possible merits or risks of the target business with which we may ultimately complete a business combination. Although our management will endeavor to evaluate the risks inherent in a particular target business, we cannot assure you that we will properly ascertain or assess all significant risk factors.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While we have not yet selected a target business with which to consummate our initial business combination, we believe based on our management’s business knowledge and past experience that there are numerous potential candidates. We expect that our principal means of identifying potential target businesses will be through the extensive contacts and relationships of our sponsor, initial stockholders, officers and directors and their affiliates. While our officers and directors are not required to commit any specific amount of time in identifying or performing due diligence on potential target businesses, our officers and directors believe that the relationships they have developed over their careers and their access to our sponsor’s contacts and resources will generate a number of potential business combination opportunities that will warrant further investigation. We also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officers and directors must present to us all target business opportunities that have a fair market value of at least 80% of the assets held in the trust account (excluding taxes payable on the income accrued in the trust account)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In addition, we may pay consulting, success or finder fees to our sponsor, officers, directors, initial stockholders or their affiliates in connection with the consummation of our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04"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We have no present intention to enter into a business combination with a target business that is affiliated with any of our officers, directors or sponsor. However, we are not restricted from entering into any such transactions and may do so if (i) such transaction is approved by a majority of our disinterested independent directors and</w:t>
      </w:r>
    </w:p>
    <w:p>
      <w:pPr>
        <w:spacing w:after="0" w:line="2" w:lineRule="exact"/>
        <w:rPr>
          <w:sz w:val="20"/>
          <w:szCs w:val="20"/>
          <w:color w:val="auto"/>
        </w:rPr>
      </w:pPr>
    </w:p>
    <w:p>
      <w:pPr>
        <w:jc w:val="both"/>
        <w:ind w:left="460" w:right="459" w:hanging="6"/>
        <w:spacing w:after="0" w:line="255" w:lineRule="auto"/>
        <w:tabs>
          <w:tab w:leader="none" w:pos="7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obtain an opinion from an independent investment banking firm, or another independent entity that commonly renders valuation opinions, that the business combination is fair to our unaffiliated stockholders from a financial point of view.</w:t>
      </w:r>
    </w:p>
    <w:p>
      <w:pPr>
        <w:spacing w:after="0" w:line="12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Unlike other blank check company offerings, we have structured our offering to be an offering of units that consist of one subunit (consisting of one share of common stock and one-quarter of a warrant) and one-half of a warrant. We have structured our offering in this fashion for two primary reasons:</w:t>
      </w:r>
    </w:p>
    <w:p>
      <w:pPr>
        <w:spacing w:after="0" w:line="103" w:lineRule="exact"/>
        <w:rPr>
          <w:sz w:val="20"/>
          <w:szCs w:val="20"/>
          <w:color w:val="auto"/>
        </w:rPr>
      </w:pPr>
    </w:p>
    <w:p>
      <w:pPr>
        <w:jc w:val="both"/>
        <w:ind w:left="1320" w:right="459" w:hanging="434"/>
        <w:spacing w:after="0" w:line="255" w:lineRule="auto"/>
        <w:tabs>
          <w:tab w:leader="none" w:pos="15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24" w:lineRule="exact"/>
        <w:rPr>
          <w:rFonts w:ascii="Arial" w:cs="Arial" w:eastAsia="Arial" w:hAnsi="Arial"/>
          <w:sz w:val="18"/>
          <w:szCs w:val="18"/>
          <w:color w:val="auto"/>
        </w:rPr>
      </w:pPr>
    </w:p>
    <w:p>
      <w:pPr>
        <w:jc w:val="both"/>
        <w:ind w:left="1320" w:right="459" w:hanging="434"/>
        <w:spacing w:after="0" w:line="275" w:lineRule="auto"/>
        <w:tabs>
          <w:tab w:leader="none" w:pos="143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4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Subject to our management team’s pre-existing fiduciary obligations and the limitations that a target business have a fair market value of at least 80% of the balance in the trust account (excluding the taxes payable on the interest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Nasdaq listing rules require that the target business or businesses that we acquire must collectively have a fair market value equal to at least 80% of the balance of the funds in the trust account (excluding the taxes payable on the interest earned on the trust account)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0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currently anticipate structuring a business combination to acquire 100% of the equity interests or assets of the target business or businesses. We may, however,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w:t>
      </w:r>
    </w:p>
    <w:p>
      <w:pPr>
        <w:spacing w:after="0" w:line="10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10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We will not be required to obtain an opinion from an investment banking firm as to the fair market value if our board of directors independently determines that the target business complies with the 80% threshold.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Although this process may entail the simultaneous acquisitions of several operating businesses and we may seek to effect a business combination with more than one target business, we expect to complete our business combination with a single business.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11" w:lineRule="exact"/>
        <w:rPr>
          <w:sz w:val="20"/>
          <w:szCs w:val="20"/>
          <w:color w:val="auto"/>
        </w:rPr>
      </w:pPr>
    </w:p>
    <w:p>
      <w:pPr>
        <w:jc w:val="both"/>
        <w:ind w:left="1320" w:right="459" w:hanging="434"/>
        <w:spacing w:after="0" w:line="263" w:lineRule="auto"/>
        <w:tabs>
          <w:tab w:leader="none" w:pos="14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102" w:lineRule="exact"/>
        <w:rPr>
          <w:rFonts w:ascii="Arial" w:cs="Arial" w:eastAsia="Arial" w:hAnsi="Arial"/>
          <w:sz w:val="18"/>
          <w:szCs w:val="18"/>
          <w:color w:val="auto"/>
        </w:rPr>
      </w:pPr>
    </w:p>
    <w:p>
      <w:pPr>
        <w:ind w:left="1320" w:right="479" w:hanging="434"/>
        <w:spacing w:after="0" w:line="342" w:lineRule="auto"/>
        <w:tabs>
          <w:tab w:leader="none" w:pos="1324"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result in our dependency upon the performance of a single operating business or the development or market acceptance of a single or limited number of products, processes or services.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 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 Business’ Management</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Although we intend to scrutinize the management of a prospective target business when evaluating the desirability of effecting a business combination, we cannot assure you that our assessment of the target business’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associated in senior management or advisory positions with us following a business combination, it is unlikely that they will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10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our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2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18 months from the closing of this offering (or up to 21 months if a definitive agreement with respect to a proposed business combination has been executed within 18 months) in order to be able to receive a pro rata share of the trust account.</w:t>
      </w:r>
    </w:p>
    <w:p>
      <w:pPr>
        <w:spacing w:after="0" w:line="111"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Our sponsor, initial stockholders, officers and directors have agreed (1) to vote any shares of common stock owned by them in favor of any proposed business combination, (2) not to convert any founder shares or subunits in connection with a stockholder vote to approve a proposed initial business combination and (3) not sell any founder shares of subunits in any tender in connection with a proposed initial business combination.</w:t>
      </w:r>
    </w:p>
    <w:p>
      <w:pPr>
        <w:spacing w:after="0" w:line="9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None of our officers, directors, sponsor, initial stockholders or their affiliates has indicated any intention to purchase units, subunits or warrants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initial stockholders or their affiliates could make such purchases in the open market or in private transactions in order to influence the vote. Notwithstanding the foregoing, our officers, directors, sponsor, initial stockholders and their affiliates will not make purchases of units, subunits or warrants if the purchases would violate Section 9(a)(2) or Rule 10b-5 of the Exchange Act, which are rules designed to stop potential manipulation of a company’s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public stockholders may seek to convert their subunits, regardless of whether they vote for or against the proposed business combination or do not vote at all, into their pro rata share of the aggregate amount then on deposit in the trust account as of two business days prior to the consummation of the initial business combination, less any taxes then due but not yet paid. Alternatively, we may provide our public stockholders with the opportunity to sell their subunits to us through a tender offer (and thereby avoid the need for a stockholder vote) for an amount equal to their pro rata share of the aggregate amount then on deposit in the trust account, less any taxes then due but not yet paid.</w:t>
      </w:r>
    </w:p>
    <w:p>
      <w:pPr>
        <w:spacing w:after="0" w:line="9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Our sponsor, initial stockholders and our officers and directors will not have conversion rights with respect to any founder shares or subunits owned by them, directly or indirectly, whether acquired prior to this offering or purchased by them in this offering or in the aftermarket. Additionally, the holders of the representative shares will not have conversion rights with respect to the representative shares.</w:t>
      </w:r>
    </w:p>
    <w:p>
      <w:pPr>
        <w:spacing w:after="0" w:line="104"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Furthermore, public stockholders who redeem or tender their subunits for their pro rata share of the trust account will continue to have the right to exercise any warrants held by them which are not included in a subunit, but will automatically forfeit the warrants included in the redeemed subunits. This is different than other similarly structured blank check companies where a redeeming or tendering stockholder is able to keep any warrants he may still hold, whether included in a unit or held separately. Common stock alone will not be entitled to receive the redemption amount. Accordingly, investors may have a disincentive to exercise the redemption rights because they will automatically forfeit, without the receipt of any additional consideration, the portion of the warrant included in the subunit.</w:t>
      </w:r>
    </w:p>
    <w:p>
      <w:pPr>
        <w:spacing w:after="0" w:line="97"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We may require public holders of subunits, whether they are a record holder or hold their subunits in “street name,” to either (i) tender their certificates to our transfer agent or (ii) deliver their subunits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20"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There is a nominal cost associated with the above-referenced delivery process and the act of certificating the subunits or delivering them through the DWAC System. The transfer agent will typically charge the tendering broker $45.00 and it would be up to the broker whether or not to pass this cost on to the holder. However, this fee would be incurred regardless of whether or not we require holders seeking to exercise conversion rights. The need to deliver subunits is a requirement of exercising conversion rights regardless of the timing of when such delivery must be effectuated.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However, in the event we require stockholders seeking to exercise conversion rights prior to the consummation of the proposed business combination and the proposed business combination is not consummated this may result in an increased cost to stockholders.</w:t>
      </w:r>
    </w:p>
    <w:p>
      <w:pPr>
        <w:spacing w:after="0" w:line="11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7"/>
          <w:szCs w:val="17"/>
          <w:i w:val="1"/>
          <w:iCs w:val="1"/>
          <w:color w:val="auto"/>
        </w:rPr>
        <w:t>In connection with any stockholder meeting called to approve a proposed initial business combination, we may</w:t>
      </w:r>
      <w:r>
        <w:rPr>
          <w:rFonts w:ascii="Arial" w:cs="Arial" w:eastAsia="Arial" w:hAnsi="Arial"/>
          <w:sz w:val="17"/>
          <w:szCs w:val="17"/>
          <w:color w:val="auto"/>
        </w:rPr>
        <w:t xml:space="preserve"> </w:t>
      </w:r>
      <w:r>
        <w:rPr>
          <w:rFonts w:ascii="Arial" w:cs="Arial" w:eastAsia="Arial" w:hAnsi="Arial"/>
          <w:sz w:val="17"/>
          <w:szCs w:val="17"/>
          <w:i w:val="1"/>
          <w:iCs w:val="1"/>
          <w:color w:val="auto"/>
        </w:rPr>
        <w:t>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7"/>
          <w:szCs w:val="17"/>
          <w:color w:val="auto"/>
        </w:rPr>
        <w:t>” for further information on the risks of failing</w:t>
      </w:r>
      <w:r>
        <w:rPr>
          <w:rFonts w:ascii="Arial" w:cs="Arial" w:eastAsia="Arial" w:hAnsi="Arial"/>
          <w:sz w:val="17"/>
          <w:szCs w:val="17"/>
          <w:i w:val="1"/>
          <w:iCs w:val="1"/>
          <w:color w:val="auto"/>
        </w:rPr>
        <w:t xml:space="preserve"> </w:t>
      </w:r>
      <w:r>
        <w:rPr>
          <w:rFonts w:ascii="Arial" w:cs="Arial" w:eastAsia="Arial" w:hAnsi="Arial"/>
          <w:sz w:val="17"/>
          <w:szCs w:val="17"/>
          <w:color w:val="auto"/>
        </w:rPr>
        <w:t>to comply with these requirements.</w:t>
      </w:r>
    </w:p>
    <w:p>
      <w:pPr>
        <w:spacing w:after="0" w:line="117"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Any request to convert such subunits once made, may be withdrawn at any time up to the vote on the proposed business combination or the expiration of the tender offer. Furthermore, if a holder of a public subunit delivered his certificate in connection with an election of their conversion and subsequently decides prior to the applicable date not to elect to exercise such rights, he may simply request that the transfer agent return the certificate (physically or electronically).</w:t>
      </w:r>
    </w:p>
    <w:p>
      <w:pPr>
        <w:spacing w:after="0" w:line="107"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If the initial business combination is not approved or completed for any reason, then our public stockholders who elected to exercise their conversion rights would not be entitled to convert their subunits for the applicable pro rata share of the trust account as of two business days prior to the consummation of the initial business combination. In such case, we will promptly return any subunits delivered by public 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if No Business Combination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Our amended and restated certificate of incorporation provides that we will have only 18 months from the closing of this offering (or up to 21 months if a definitive agreement with respect to a proposed business combination has been executed within 18 months) to complete an initial business combination. If we have not completed an initial business combination by such date, we will (i) cease all operations except for the purpose of winding up and (ii) as promptly as reasonably possible but not more than ten business days thereafter, redeem 100% of the outstanding public subunits, at a per-share price, payable in cash, equal to the aggregate amount then on deposit in the trust account, including any interest not previously released to us but net of taxes payable, divided by the number of then outstanding public subunits, which redemption will completely extinguish public stockholders’ rights as stockholders (including the right to receive further liquidation distributions, if any), subject to applicable law. Public stockholders will also forfeit the one-quarter of a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(or up to 21 months if a definitive agreement with respect to a proposed business combination has been executed within 18 months) unless we provide our public stockholders with the opportunity to convert their subunits upon such approval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5"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subunits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subunit as soon as reasonably possible following our 21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2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subunits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11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are required to seek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will not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our sponsor entered into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As a result, if we liquidate, the per-subunit distribution from the trust account could be less than $10.00 due to claims or potential claims of creditors.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anticipate notifying the trustee of the trust account to begin liquidating such assets promptly after the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month and anticipate it will take no more than 10 business days to effectuate such distribution. The holders of the founder shares and private subunits have waived their rights to participate in any liquidation distribution from the trust account with respect to such shares and subunits.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0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per-subunit redemption price would be $10.00. The proceeds deposited in the trust account could, however, become subject to claims of our creditors that are in preference to the claims of public stockholders.</w:t>
      </w:r>
    </w:p>
    <w:p>
      <w:pPr>
        <w:spacing w:after="0" w:line="12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a business combination within the required time period, if the stockholders seek to have us convert or purchase their respective subunits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1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subunit.</w:t>
      </w:r>
    </w:p>
    <w:p>
      <w:pPr>
        <w:spacing w:after="0" w:line="12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18 months from the closing of this offering (or up to 21 months if a definitive agreement with respect to a proposed business combination has been executed within 18 months),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relating to this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(or up to 21 months if a definitive agreement with respect to a proposed business combination has been executed within 18 months), we will provide dissenting public stockholders with the opportunity to convert their public subunits in connection with any such vote. This conversion right shall apply in the event of the approval of any such amendment, whether proposed by our sponsor, any executive officer, director or director nominee, or any other person. Our sponsor, officers and directors have agreed to waive any conversion rights with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respect to any founder shares, private subunits, private shares and any public subunits they may hold in connection with any vote to amend our amended and restated certificate of incorporation. Specifically, our amended and restated certificate of incorporation provides, among other things, that:</w:t>
      </w:r>
    </w:p>
    <w:p>
      <w:pPr>
        <w:spacing w:after="0" w:line="116" w:lineRule="exact"/>
        <w:rPr>
          <w:sz w:val="20"/>
          <w:szCs w:val="20"/>
          <w:color w:val="auto"/>
        </w:rPr>
      </w:pPr>
    </w:p>
    <w:p>
      <w:pPr>
        <w:jc w:val="both"/>
        <w:ind w:left="1320" w:right="459" w:hanging="434"/>
        <w:spacing w:after="0" w:line="286" w:lineRule="auto"/>
        <w:tabs>
          <w:tab w:leader="none" w:pos="13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shall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w:t>
      </w:r>
    </w:p>
    <w:p>
      <w:pPr>
        <w:spacing w:after="0" w:line="1" w:lineRule="exact"/>
        <w:rPr>
          <w:rFonts w:ascii="Arial" w:cs="Arial" w:eastAsia="Arial" w:hAnsi="Arial"/>
          <w:sz w:val="16"/>
          <w:szCs w:val="16"/>
          <w:color w:val="auto"/>
        </w:rPr>
      </w:pPr>
    </w:p>
    <w:p>
      <w:pPr>
        <w:jc w:val="both"/>
        <w:ind w:left="1320" w:right="459" w:hanging="2"/>
        <w:spacing w:after="0" w:line="253" w:lineRule="auto"/>
        <w:tabs>
          <w:tab w:leader="none" w:pos="15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25" w:lineRule="exact"/>
        <w:rPr>
          <w:rFonts w:ascii="Arial" w:cs="Arial" w:eastAsia="Arial" w:hAnsi="Arial"/>
          <w:sz w:val="18"/>
          <w:szCs w:val="18"/>
          <w:color w:val="auto"/>
        </w:rPr>
      </w:pPr>
    </w:p>
    <w:p>
      <w:pPr>
        <w:jc w:val="both"/>
        <w:ind w:left="1320" w:right="459" w:hanging="434"/>
        <w:spacing w:after="0" w:line="259" w:lineRule="auto"/>
        <w:tabs>
          <w:tab w:leader="none" w:pos="13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05" w:lineRule="exact"/>
        <w:rPr>
          <w:rFonts w:ascii="Arial" w:cs="Arial" w:eastAsia="Arial" w:hAnsi="Arial"/>
          <w:sz w:val="18"/>
          <w:szCs w:val="18"/>
          <w:color w:val="auto"/>
        </w:rPr>
      </w:pPr>
    </w:p>
    <w:p>
      <w:pPr>
        <w:jc w:val="both"/>
        <w:ind w:left="1320" w:right="459" w:hanging="434"/>
        <w:spacing w:after="0" w:line="259" w:lineRule="auto"/>
        <w:tabs>
          <w:tab w:leader="none" w:pos="14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months from the closing of this offering (or up to 21 months if a definitive agreement with respect to a proposed business combination has been executed within 18 months), then we will redeem all of the outstanding public subunits and thereafter liquidate and dissolve our company;</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consummation of this offering, $100.0 million, or $115.0 million if the over-allotment option is exercised in full, shall be placed into the trust account;</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this offering on an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that there may be numerous potential target businesses that we could acquire with the net proceeds of this offering, our ability to compete in acquiring certain sizable target businesses may be limited by our available financial resources.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44" w:lineRule="exact"/>
        <w:rPr>
          <w:sz w:val="20"/>
          <w:szCs w:val="20"/>
          <w:color w:val="auto"/>
        </w:rPr>
      </w:pPr>
    </w:p>
    <w:p>
      <w:pPr>
        <w:ind w:left="1320" w:right="459" w:hanging="434"/>
        <w:spacing w:after="0" w:line="277" w:lineRule="auto"/>
        <w:tabs>
          <w:tab w:leader="none" w:pos="13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seek stockholder approval of a business combination or engage in a tender offer may delay the completion of a transaction;</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convert or repurchase subunits held by our public stockholders may reduce the resources available to us for a business combination;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outstanding warrants, and the potential future dilution they represent.</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12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9" w:name="page70"/>
    <w:bookmarkEnd w:id="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currently maintain our principal executive offices at 2093 Philadelphia Pike #1968, Claymont, DE 19703. The cost for this space is included in the $10,000 per-month fee SPAC Partners LLC, an affiliate of our Chief Executive Officer, will charge us for general and administrative services commencing on the date of this prospectus pursuant to a letter agreement between us and our sponsor. We believe that the fee charged by such party is at least as favorable as we could have obtained from an unaffiliated person. We consider our current office space, combined with the other office space otherwise available to our executive officers, adequate for our current operations.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have three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may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 time employees prior to the consummation of a business combination.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6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have registered our units, subunits,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9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generally accepted accounting principles or international financial reporting standards.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2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may be required to have our internal control procedures audited for the fiscal year ending December 31, 2022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have net tangible assets in excess of $5,000,000 upon the successful consummation of this offering and will file a Current Report on Form 8-K, including an audited balance sheet demonstrating this fact.</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640" w:right="120" w:hanging="179"/>
        <w:spacing w:after="0" w:line="386" w:lineRule="auto"/>
        <w:rPr>
          <w:sz w:val="20"/>
          <w:szCs w:val="20"/>
          <w:color w:val="auto"/>
        </w:rPr>
      </w:pPr>
      <w:r>
        <w:rPr>
          <w:rFonts w:ascii="Arial" w:cs="Arial" w:eastAsia="Arial" w:hAnsi="Arial"/>
          <w:sz w:val="15"/>
          <w:szCs w:val="15"/>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Terms of the Offering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20" w:type="dxa"/>
            <w:vAlign w:val="bottom"/>
            <w:gridSpan w:val="4"/>
          </w:tcPr>
          <w:p>
            <w:pPr>
              <w:spacing w:after="0" w:line="195" w:lineRule="exact"/>
              <w:rPr>
                <w:sz w:val="20"/>
                <w:szCs w:val="20"/>
                <w:color w:val="auto"/>
              </w:rPr>
            </w:pPr>
            <w:r>
              <w:rPr>
                <w:rFonts w:ascii="Arial" w:cs="Arial" w:eastAsia="Arial" w:hAnsi="Arial"/>
                <w:sz w:val="18"/>
                <w:szCs w:val="18"/>
                <w:color w:val="auto"/>
                <w:w w:val="89"/>
              </w:rPr>
              <w:t>$100,000,000 of the proceeds from this</w:t>
            </w:r>
          </w:p>
        </w:tc>
        <w:tc>
          <w:tcPr>
            <w:tcW w:w="100" w:type="dxa"/>
            <w:vAlign w:val="bottom"/>
            <w:vMerge w:val="continue"/>
          </w:tcPr>
          <w:p>
            <w:pPr>
              <w:spacing w:after="0"/>
              <w:rPr>
                <w:sz w:val="16"/>
                <w:szCs w:val="16"/>
                <w:color w:val="auto"/>
              </w:rPr>
            </w:pPr>
          </w:p>
        </w:tc>
        <w:tc>
          <w:tcPr>
            <w:tcW w:w="2940" w:type="dxa"/>
            <w:vAlign w:val="bottom"/>
          </w:tcPr>
          <w:p>
            <w:pPr>
              <w:spacing w:after="0" w:line="195" w:lineRule="exact"/>
              <w:rPr>
                <w:sz w:val="20"/>
                <w:szCs w:val="20"/>
                <w:color w:val="auto"/>
              </w:rPr>
            </w:pPr>
            <w:r>
              <w:rPr>
                <w:rFonts w:ascii="Arial" w:cs="Arial" w:eastAsia="Arial" w:hAnsi="Arial"/>
                <w:sz w:val="18"/>
                <w:szCs w:val="18"/>
                <w:color w:val="auto"/>
                <w:w w:val="99"/>
              </w:rPr>
              <w:t>$88,200,000 of the offering proceeds</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8"/>
              </w:rPr>
              <w:t>offering and sale of the private units</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5"/>
              </w:rPr>
              <w:t>would be required to be deposited into</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rPr>
              <w:t>will be deposited into a U.S.-based</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either  an  escrow  account  with  an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trust</w:t>
            </w:r>
          </w:p>
        </w:tc>
        <w:tc>
          <w:tcPr>
            <w:tcW w:w="880" w:type="dxa"/>
            <w:vAlign w:val="bottom"/>
          </w:tcPr>
          <w:p>
            <w:pPr>
              <w:ind w:left="160"/>
              <w:spacing w:after="0"/>
              <w:rPr>
                <w:sz w:val="20"/>
                <w:szCs w:val="20"/>
                <w:color w:val="auto"/>
              </w:rPr>
            </w:pPr>
            <w:r>
              <w:rPr>
                <w:rFonts w:ascii="Arial" w:cs="Arial" w:eastAsia="Arial" w:hAnsi="Arial"/>
                <w:sz w:val="18"/>
                <w:szCs w:val="18"/>
                <w:color w:val="auto"/>
              </w:rPr>
              <w:t>account</w:t>
            </w:r>
          </w:p>
        </w:tc>
        <w:tc>
          <w:tcPr>
            <w:tcW w:w="1120" w:type="dxa"/>
            <w:vAlign w:val="bottom"/>
          </w:tcPr>
          <w:p>
            <w:pPr>
              <w:ind w:left="160"/>
              <w:spacing w:after="0"/>
              <w:rPr>
                <w:sz w:val="20"/>
                <w:szCs w:val="20"/>
                <w:color w:val="auto"/>
              </w:rPr>
            </w:pPr>
            <w:r>
              <w:rPr>
                <w:rFonts w:ascii="Arial" w:cs="Arial" w:eastAsia="Arial" w:hAnsi="Arial"/>
                <w:sz w:val="18"/>
                <w:szCs w:val="18"/>
                <w:color w:val="auto"/>
              </w:rPr>
              <w:t>maintained</w:t>
            </w:r>
          </w:p>
        </w:tc>
        <w:tc>
          <w:tcPr>
            <w:tcW w:w="340" w:type="dxa"/>
            <w:vAlign w:val="bottom"/>
          </w:tcPr>
          <w:p>
            <w:pPr>
              <w:ind w:left="160"/>
              <w:spacing w:after="0"/>
              <w:rPr>
                <w:sz w:val="20"/>
                <w:szCs w:val="20"/>
                <w:color w:val="auto"/>
              </w:rPr>
            </w:pPr>
            <w:r>
              <w:rPr>
                <w:rFonts w:ascii="Arial" w:cs="Arial" w:eastAsia="Arial" w:hAnsi="Arial"/>
                <w:sz w:val="18"/>
                <w:szCs w:val="18"/>
                <w:color w:val="auto"/>
                <w:w w:val="83"/>
              </w:rPr>
              <w:t>by</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insured depositary institution or in a</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4"/>
              </w:rPr>
              <w:t>Continental  Stock  Transfer  &amp;  Trust</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2"/>
              </w:rPr>
              <w:t>separate bank account established by a</w:t>
            </w: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Company, acting as trustee</w:t>
            </w: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1"/>
              </w:rPr>
              <w:t>broker-dealer in which the broker-dealer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7"/>
              </w:rPr>
              <w:t>acts as trustee for persons having the</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beneficial interests in the account.</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2">
            <w:col w:w="1980" w:space="720"/>
            <w:col w:w="631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Arial" w:cs="Arial" w:eastAsia="Arial" w:hAnsi="Arial"/>
                <w:sz w:val="18"/>
                <w:szCs w:val="18"/>
                <w:b w:val="1"/>
                <w:bCs w:val="1"/>
                <w:color w:val="auto"/>
                <w:w w:val="93"/>
              </w:rPr>
              <w:t xml:space="preserve">Investment of net proceeds  </w:t>
            </w:r>
            <w:r>
              <w:rPr>
                <w:rFonts w:ascii="Arial" w:cs="Arial" w:eastAsia="Arial" w:hAnsi="Arial"/>
                <w:sz w:val="18"/>
                <w:szCs w:val="18"/>
                <w:color w:val="auto"/>
                <w:w w:val="93"/>
              </w:rPr>
              <w:t>The</w:t>
            </w: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w w:val="98"/>
              </w:rPr>
              <w:t>$100,000,000 of proceeds from</w:t>
            </w:r>
          </w:p>
        </w:tc>
        <w:tc>
          <w:tcPr>
            <w:tcW w:w="2980" w:type="dxa"/>
            <w:vAlign w:val="bottom"/>
          </w:tcPr>
          <w:p>
            <w:pPr>
              <w:ind w:left="40"/>
              <w:spacing w:after="0"/>
              <w:rPr>
                <w:sz w:val="20"/>
                <w:szCs w:val="20"/>
                <w:color w:val="auto"/>
              </w:rPr>
            </w:pPr>
            <w:r>
              <w:rPr>
                <w:rFonts w:ascii="Arial" w:cs="Arial" w:eastAsia="Arial" w:hAnsi="Arial"/>
                <w:sz w:val="18"/>
                <w:szCs w:val="18"/>
                <w:color w:val="auto"/>
                <w:w w:val="96"/>
              </w:rPr>
              <w:t>Proceeds  could  be  invested  only  in</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this offering and sale of the private</w:t>
            </w:r>
          </w:p>
        </w:tc>
        <w:tc>
          <w:tcPr>
            <w:tcW w:w="2980" w:type="dxa"/>
            <w:vAlign w:val="bottom"/>
          </w:tcPr>
          <w:p>
            <w:pPr>
              <w:ind w:left="40"/>
              <w:spacing w:after="0"/>
              <w:rPr>
                <w:sz w:val="20"/>
                <w:szCs w:val="20"/>
                <w:color w:val="auto"/>
              </w:rPr>
            </w:pPr>
            <w:r>
              <w:rPr>
                <w:rFonts w:ascii="Arial" w:cs="Arial" w:eastAsia="Arial" w:hAnsi="Arial"/>
                <w:sz w:val="18"/>
                <w:szCs w:val="18"/>
                <w:color w:val="auto"/>
                <w:w w:val="99"/>
              </w:rPr>
              <w:t>specified securities such as a money</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4"/>
              </w:rPr>
              <w:t>units held in trust will only be invested</w:t>
            </w:r>
          </w:p>
        </w:tc>
        <w:tc>
          <w:tcPr>
            <w:tcW w:w="2980" w:type="dxa"/>
            <w:vAlign w:val="bottom"/>
          </w:tcPr>
          <w:p>
            <w:pPr>
              <w:ind w:left="40"/>
              <w:spacing w:after="0"/>
              <w:rPr>
                <w:sz w:val="20"/>
                <w:szCs w:val="20"/>
                <w:color w:val="auto"/>
              </w:rPr>
            </w:pPr>
            <w:r>
              <w:rPr>
                <w:rFonts w:ascii="Arial" w:cs="Arial" w:eastAsia="Arial" w:hAnsi="Arial"/>
                <w:sz w:val="18"/>
                <w:szCs w:val="18"/>
                <w:color w:val="auto"/>
                <w:w w:val="97"/>
              </w:rPr>
              <w:t>market fund meeting conditions of the</w:t>
            </w:r>
          </w:p>
        </w:tc>
      </w:tr>
      <w:tr>
        <w:trPr>
          <w:trHeight w:val="216"/>
        </w:trPr>
        <w:tc>
          <w:tcPr>
            <w:tcW w:w="2580" w:type="dxa"/>
            <w:vAlign w:val="bottom"/>
          </w:tcPr>
          <w:p>
            <w:pPr>
              <w:ind w:left="2240"/>
              <w:spacing w:after="0"/>
              <w:rPr>
                <w:sz w:val="20"/>
                <w:szCs w:val="20"/>
                <w:color w:val="auto"/>
              </w:rPr>
            </w:pPr>
            <w:r>
              <w:rPr>
                <w:rFonts w:ascii="Arial" w:cs="Arial" w:eastAsia="Arial" w:hAnsi="Arial"/>
                <w:sz w:val="18"/>
                <w:szCs w:val="18"/>
                <w:color w:val="auto"/>
              </w:rPr>
              <w:t>in</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United</w:t>
            </w:r>
          </w:p>
        </w:tc>
        <w:tc>
          <w:tcPr>
            <w:tcW w:w="680" w:type="dxa"/>
            <w:vAlign w:val="bottom"/>
          </w:tcPr>
          <w:p>
            <w:pPr>
              <w:ind w:left="40"/>
              <w:spacing w:after="0"/>
              <w:rPr>
                <w:sz w:val="20"/>
                <w:szCs w:val="20"/>
                <w:color w:val="auto"/>
              </w:rPr>
            </w:pPr>
            <w:r>
              <w:rPr>
                <w:rFonts w:ascii="Arial" w:cs="Arial" w:eastAsia="Arial" w:hAnsi="Arial"/>
                <w:sz w:val="18"/>
                <w:szCs w:val="18"/>
                <w:color w:val="auto"/>
              </w:rPr>
              <w:t>States</w:t>
            </w:r>
          </w:p>
        </w:tc>
        <w:tc>
          <w:tcPr>
            <w:tcW w:w="1060" w:type="dxa"/>
            <w:vAlign w:val="bottom"/>
          </w:tcPr>
          <w:p>
            <w:pPr>
              <w:jc w:val="right"/>
              <w:spacing w:after="0"/>
              <w:rPr>
                <w:sz w:val="20"/>
                <w:szCs w:val="20"/>
                <w:color w:val="auto"/>
              </w:rPr>
            </w:pPr>
            <w:r>
              <w:rPr>
                <w:rFonts w:ascii="Arial" w:cs="Arial" w:eastAsia="Arial" w:hAnsi="Arial"/>
                <w:sz w:val="18"/>
                <w:szCs w:val="18"/>
                <w:color w:val="auto"/>
                <w:w w:val="96"/>
              </w:rPr>
              <w:t>“government</w:t>
            </w:r>
          </w:p>
        </w:tc>
        <w:tc>
          <w:tcPr>
            <w:tcW w:w="2980" w:type="dxa"/>
            <w:vAlign w:val="bottom"/>
          </w:tcPr>
          <w:p>
            <w:pPr>
              <w:ind w:left="4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securities”  within  the  meaning  of</w:t>
            </w:r>
          </w:p>
        </w:tc>
        <w:tc>
          <w:tcPr>
            <w:tcW w:w="2980" w:type="dxa"/>
            <w:vAlign w:val="bottom"/>
          </w:tcPr>
          <w:p>
            <w:pPr>
              <w:ind w:left="40"/>
              <w:spacing w:after="0"/>
              <w:rPr>
                <w:sz w:val="20"/>
                <w:szCs w:val="20"/>
                <w:color w:val="auto"/>
              </w:rPr>
            </w:pPr>
            <w:r>
              <w:rPr>
                <w:rFonts w:ascii="Arial" w:cs="Arial" w:eastAsia="Arial" w:hAnsi="Arial"/>
                <w:sz w:val="18"/>
                <w:szCs w:val="18"/>
                <w:color w:val="auto"/>
                <w:w w:val="95"/>
              </w:rPr>
              <w:t>securities that are direct obligations of,</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7"/>
              </w:rPr>
              <w:t>Section  2(a)(16)  of  the  Investment</w:t>
            </w:r>
          </w:p>
        </w:tc>
        <w:tc>
          <w:tcPr>
            <w:tcW w:w="2980" w:type="dxa"/>
            <w:vAlign w:val="bottom"/>
          </w:tcPr>
          <w:p>
            <w:pPr>
              <w:ind w:left="40"/>
              <w:spacing w:after="0"/>
              <w:rPr>
                <w:sz w:val="20"/>
                <w:szCs w:val="20"/>
                <w:color w:val="auto"/>
              </w:rPr>
            </w:pPr>
            <w:r>
              <w:rPr>
                <w:rFonts w:ascii="Arial" w:cs="Arial" w:eastAsia="Arial" w:hAnsi="Arial"/>
                <w:sz w:val="18"/>
                <w:szCs w:val="18"/>
                <w:color w:val="auto"/>
                <w:w w:val="91"/>
              </w:rPr>
              <w:t>or obligations guaranteed as to principal</w:t>
            </w:r>
          </w:p>
        </w:tc>
      </w:tr>
      <w:tr>
        <w:trPr>
          <w:trHeight w:val="216"/>
        </w:trPr>
        <w:tc>
          <w:tcPr>
            <w:tcW w:w="3000" w:type="dxa"/>
            <w:vAlign w:val="bottom"/>
            <w:gridSpan w:val="2"/>
          </w:tcPr>
          <w:p>
            <w:pPr>
              <w:ind w:left="2240"/>
              <w:spacing w:after="0"/>
              <w:rPr>
                <w:sz w:val="20"/>
                <w:szCs w:val="20"/>
                <w:color w:val="auto"/>
              </w:rPr>
            </w:pPr>
            <w:r>
              <w:rPr>
                <w:rFonts w:ascii="Arial" w:cs="Arial" w:eastAsia="Arial" w:hAnsi="Arial"/>
                <w:sz w:val="18"/>
                <w:szCs w:val="18"/>
                <w:color w:val="auto"/>
                <w:w w:val="96"/>
              </w:rPr>
              <w:t>Company</w:t>
            </w:r>
          </w:p>
        </w:tc>
        <w:tc>
          <w:tcPr>
            <w:tcW w:w="380" w:type="dxa"/>
            <w:vAlign w:val="bottom"/>
          </w:tcPr>
          <w:p>
            <w:pPr>
              <w:ind w:left="80"/>
              <w:spacing w:after="0"/>
              <w:rPr>
                <w:sz w:val="20"/>
                <w:szCs w:val="20"/>
                <w:color w:val="auto"/>
              </w:rPr>
            </w:pPr>
            <w:r>
              <w:rPr>
                <w:rFonts w:ascii="Arial" w:cs="Arial" w:eastAsia="Arial" w:hAnsi="Arial"/>
                <w:sz w:val="18"/>
                <w:szCs w:val="18"/>
                <w:color w:val="auto"/>
              </w:rPr>
              <w:t>Act</w:t>
            </w:r>
          </w:p>
        </w:tc>
        <w:tc>
          <w:tcPr>
            <w:tcW w:w="680" w:type="dxa"/>
            <w:vAlign w:val="bottom"/>
          </w:tcPr>
          <w:p>
            <w:pPr>
              <w:ind w:left="100"/>
              <w:spacing w:after="0"/>
              <w:rPr>
                <w:sz w:val="20"/>
                <w:szCs w:val="20"/>
                <w:color w:val="auto"/>
              </w:rPr>
            </w:pPr>
            <w:r>
              <w:rPr>
                <w:rFonts w:ascii="Arial" w:cs="Arial" w:eastAsia="Arial" w:hAnsi="Arial"/>
                <w:sz w:val="18"/>
                <w:szCs w:val="18"/>
                <w:color w:val="auto"/>
              </w:rPr>
              <w:t>with  a</w:t>
            </w:r>
          </w:p>
        </w:tc>
        <w:tc>
          <w:tcPr>
            <w:tcW w:w="1060" w:type="dxa"/>
            <w:vAlign w:val="bottom"/>
          </w:tcPr>
          <w:p>
            <w:pPr>
              <w:jc w:val="right"/>
              <w:spacing w:after="0"/>
              <w:rPr>
                <w:sz w:val="20"/>
                <w:szCs w:val="20"/>
                <w:color w:val="auto"/>
              </w:rPr>
            </w:pPr>
            <w:r>
              <w:rPr>
                <w:rFonts w:ascii="Arial" w:cs="Arial" w:eastAsia="Arial" w:hAnsi="Arial"/>
                <w:sz w:val="18"/>
                <w:szCs w:val="18"/>
                <w:color w:val="auto"/>
              </w:rPr>
              <w:t>maturity  of</w:t>
            </w:r>
          </w:p>
        </w:tc>
        <w:tc>
          <w:tcPr>
            <w:tcW w:w="2980" w:type="dxa"/>
            <w:vAlign w:val="bottom"/>
          </w:tcPr>
          <w:p>
            <w:pPr>
              <w:ind w:left="40"/>
              <w:spacing w:after="0"/>
              <w:rPr>
                <w:sz w:val="20"/>
                <w:szCs w:val="20"/>
                <w:color w:val="auto"/>
              </w:rPr>
            </w:pPr>
            <w:r>
              <w:rPr>
                <w:rFonts w:ascii="Arial" w:cs="Arial" w:eastAsia="Arial" w:hAnsi="Arial"/>
                <w:sz w:val="18"/>
                <w:szCs w:val="18"/>
                <w:color w:val="auto"/>
              </w:rPr>
              <w:t>or interest by, the United States.</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8"/>
              </w:rPr>
              <w:t>185 days or less or in money market</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2"/>
              </w:rPr>
              <w:t>funds meeting certain conditions under</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Rule  2a-7  promulgated  under  the</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4"/>
              </w:rPr>
              <w:t>Investment Company Act which invest</w:t>
            </w:r>
          </w:p>
        </w:tc>
        <w:tc>
          <w:tcPr>
            <w:tcW w:w="2980" w:type="dxa"/>
            <w:vAlign w:val="bottom"/>
          </w:tcPr>
          <w:p>
            <w:pPr>
              <w:spacing w:after="0"/>
              <w:rPr>
                <w:sz w:val="18"/>
                <w:szCs w:val="18"/>
                <w:color w:val="auto"/>
              </w:rPr>
            </w:pPr>
          </w:p>
        </w:tc>
      </w:tr>
      <w:tr>
        <w:trPr>
          <w:trHeight w:val="230"/>
        </w:trPr>
        <w:tc>
          <w:tcPr>
            <w:tcW w:w="2580" w:type="dxa"/>
            <w:vAlign w:val="bottom"/>
          </w:tcPr>
          <w:p>
            <w:pPr>
              <w:ind w:left="2240"/>
              <w:spacing w:after="0"/>
              <w:rPr>
                <w:sz w:val="20"/>
                <w:szCs w:val="20"/>
                <w:color w:val="auto"/>
              </w:rPr>
            </w:pPr>
            <w:r>
              <w:rPr>
                <w:rFonts w:ascii="Arial" w:cs="Arial" w:eastAsia="Arial" w:hAnsi="Arial"/>
                <w:sz w:val="18"/>
                <w:szCs w:val="18"/>
                <w:color w:val="auto"/>
                <w:w w:val="96"/>
              </w:rPr>
              <w:t>only</w:t>
            </w:r>
          </w:p>
        </w:tc>
        <w:tc>
          <w:tcPr>
            <w:tcW w:w="420" w:type="dxa"/>
            <w:vAlign w:val="bottom"/>
          </w:tcPr>
          <w:p>
            <w:pPr>
              <w:ind w:left="160"/>
              <w:spacing w:after="0"/>
              <w:rPr>
                <w:sz w:val="20"/>
                <w:szCs w:val="20"/>
                <w:color w:val="auto"/>
              </w:rPr>
            </w:pPr>
            <w:r>
              <w:rPr>
                <w:rFonts w:ascii="Arial" w:cs="Arial" w:eastAsia="Arial" w:hAnsi="Arial"/>
                <w:sz w:val="18"/>
                <w:szCs w:val="18"/>
                <w:color w:val="auto"/>
              </w:rPr>
              <w:t>in</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direct  U.S.</w:t>
            </w:r>
          </w:p>
        </w:tc>
        <w:tc>
          <w:tcPr>
            <w:tcW w:w="1060" w:type="dxa"/>
            <w:vAlign w:val="bottom"/>
          </w:tcPr>
          <w:p>
            <w:pPr>
              <w:jc w:val="right"/>
              <w:spacing w:after="0"/>
              <w:rPr>
                <w:sz w:val="20"/>
                <w:szCs w:val="20"/>
                <w:color w:val="auto"/>
              </w:rPr>
            </w:pPr>
            <w:r>
              <w:rPr>
                <w:rFonts w:ascii="Arial" w:cs="Arial" w:eastAsia="Arial" w:hAnsi="Arial"/>
                <w:sz w:val="18"/>
                <w:szCs w:val="18"/>
                <w:color w:val="auto"/>
              </w:rPr>
              <w:t>government</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Arial" w:cs="Arial" w:eastAsia="Arial" w:hAnsi="Arial"/>
          <w:sz w:val="18"/>
          <w:szCs w:val="18"/>
          <w:color w:val="auto"/>
        </w:rPr>
        <w:t>treasury obligations.</w:t>
      </w:r>
    </w:p>
    <w:p>
      <w:pPr>
        <w:sectPr>
          <w:pgSz w:w="11900" w:h="16838" w:orient="portrait"/>
          <w:cols w:equalWidth="0" w:num="1">
            <w:col w:w="9019"/>
          </w:cols>
          <w:pgMar w:left="1440" w:top="274" w:right="1440" w:bottom="1440" w:gutter="0" w:footer="0" w:header="0"/>
          <w:type w:val="continuous"/>
        </w:sectPr>
      </w:pPr>
    </w:p>
    <w:p>
      <w:pPr>
        <w:spacing w:after="0" w:line="180" w:lineRule="exact"/>
        <w:rPr>
          <w:sz w:val="20"/>
          <w:szCs w:val="20"/>
          <w:color w:val="auto"/>
        </w:rPr>
      </w:pPr>
    </w:p>
    <w:p>
      <w:pPr>
        <w:ind w:left="640" w:hanging="179"/>
        <w:spacing w:after="0" w:line="266"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479"/>
        <w:spacing w:after="0" w:line="253" w:lineRule="auto"/>
        <w:rPr>
          <w:sz w:val="20"/>
          <w:szCs w:val="20"/>
          <w:color w:val="auto"/>
        </w:rPr>
      </w:pPr>
      <w:r>
        <w:rPr>
          <w:rFonts w:ascii="Arial" w:cs="Arial" w:eastAsia="Arial" w:hAnsi="Arial"/>
          <w:sz w:val="18"/>
          <w:szCs w:val="18"/>
          <w:color w:val="auto"/>
        </w:rPr>
        <w:t>Our initial business combination must We would be restricted from acquiring a occur with one or more target target business unless the fair value of businesses that together have a fair such business or net assets to be market value of at least 80% of the acquired represent at least 80% of the assets held in the trust account maximum offering proceeds. (excluding the taxes payable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earned on the trust account)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time of the agreement to enter into</w:t>
      </w:r>
    </w:p>
    <w:p>
      <w:pPr>
        <w:spacing w:after="0" w:line="9" w:lineRule="exact"/>
        <w:rPr>
          <w:sz w:val="20"/>
          <w:szCs w:val="20"/>
          <w:color w:val="auto"/>
        </w:rPr>
      </w:pPr>
    </w:p>
    <w:p>
      <w:pPr>
        <w:spacing w:after="0"/>
        <w:tabs>
          <w:tab w:leader="none" w:pos="400" w:val="left"/>
          <w:tab w:leader="none" w:pos="1040" w:val="left"/>
          <w:tab w:leader="none" w:pos="1860" w:val="left"/>
        </w:tabs>
        <w:rPr>
          <w:sz w:val="20"/>
          <w:szCs w:val="20"/>
          <w:color w:val="auto"/>
        </w:rPr>
      </w:pPr>
      <w:r>
        <w:rPr>
          <w:rFonts w:ascii="Arial" w:cs="Arial" w:eastAsia="Arial" w:hAnsi="Arial"/>
          <w:sz w:val="18"/>
          <w:szCs w:val="18"/>
          <w:color w:val="auto"/>
        </w:rPr>
        <w:t>the</w:t>
        <w:tab/>
        <w:t>initial</w:t>
        <w:tab/>
        <w:t>business</w:t>
      </w:r>
      <w:r>
        <w:rPr>
          <w:sz w:val="20"/>
          <w:szCs w:val="20"/>
          <w:color w:val="auto"/>
        </w:rPr>
        <w:tab/>
      </w:r>
      <w:r>
        <w:rPr>
          <w:rFonts w:ascii="Arial" w:cs="Arial" w:eastAsia="Arial" w:hAnsi="Arial"/>
          <w:sz w:val="16"/>
          <w:szCs w:val="16"/>
          <w:color w:val="auto"/>
        </w:rPr>
        <w:t>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if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not  then  listed  on  Nasdaq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whatever reason, we would no longer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required to meet the foregoing 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market value test.</w:t>
      </w:r>
    </w:p>
    <w:p>
      <w:pPr>
        <w:spacing w:after="0" w:line="22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500" w:space="200"/>
            <w:col w:w="6319"/>
          </w:cols>
          <w:pgMar w:left="1440" w:top="274" w:right="1440" w:bottom="1440" w:gutter="0" w:footer="0" w:header="0"/>
          <w:type w:val="continuous"/>
        </w:sectPr>
      </w:pPr>
    </w:p>
    <w:bookmarkStart w:id="71" w:name="page72"/>
    <w:bookmarkEnd w:id="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Terms of the Offering</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4"/>
          </w:tcPr>
          <w:p>
            <w:pPr>
              <w:ind w:left="4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w w:val="92"/>
              </w:rPr>
              <w:t>Trading of securities issued</w:t>
            </w:r>
          </w:p>
        </w:tc>
        <w:tc>
          <w:tcPr>
            <w:tcW w:w="2820" w:type="dxa"/>
            <w:vAlign w:val="bottom"/>
            <w:tcBorders>
              <w:bottom w:val="single" w:sz="8" w:color="auto"/>
            </w:tcBorders>
            <w:gridSpan w:val="5"/>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9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2820" w:type="dxa"/>
            <w:vAlign w:val="bottom"/>
            <w:gridSpan w:val="5"/>
          </w:tcPr>
          <w:p>
            <w:pPr>
              <w:spacing w:after="0" w:line="195" w:lineRule="exact"/>
              <w:rPr>
                <w:sz w:val="20"/>
                <w:szCs w:val="20"/>
                <w:color w:val="auto"/>
              </w:rPr>
            </w:pPr>
            <w:r>
              <w:rPr>
                <w:rFonts w:ascii="Arial" w:cs="Arial" w:eastAsia="Arial" w:hAnsi="Arial"/>
                <w:sz w:val="18"/>
                <w:szCs w:val="18"/>
                <w:color w:val="auto"/>
                <w:w w:val="89"/>
              </w:rPr>
              <w:t>The units may commence trading on or</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940" w:type="dxa"/>
            <w:vAlign w:val="bottom"/>
            <w:gridSpan w:val="5"/>
          </w:tcPr>
          <w:p>
            <w:pPr>
              <w:spacing w:after="0" w:line="195" w:lineRule="exact"/>
              <w:rPr>
                <w:sz w:val="20"/>
                <w:szCs w:val="20"/>
                <w:color w:val="auto"/>
              </w:rPr>
            </w:pPr>
            <w:r>
              <w:rPr>
                <w:rFonts w:ascii="Arial" w:cs="Arial" w:eastAsia="Arial" w:hAnsi="Arial"/>
                <w:sz w:val="18"/>
                <w:szCs w:val="18"/>
                <w:color w:val="auto"/>
                <w:w w:val="92"/>
              </w:rPr>
              <w:t>No trading of the units or the underlying</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promptly  after  the  date  of  this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shares of common stock and warrants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prospectus. The subunits and warrants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3"/>
              </w:rPr>
              <w:t>would be permitted until the completion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comprising the units, but not the shares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5"/>
              </w:rPr>
              <w:t>of a business combination. During this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of  common  stock  and  warrants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period, the securities would be held in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included in the subunits, will begin to</w:t>
            </w:r>
          </w:p>
        </w:tc>
        <w:tc>
          <w:tcPr>
            <w:tcW w:w="2220" w:type="dxa"/>
            <w:vAlign w:val="bottom"/>
            <w:gridSpan w:val="5"/>
          </w:tcPr>
          <w:p>
            <w:pPr>
              <w:ind w:left="40"/>
              <w:spacing w:after="0"/>
              <w:rPr>
                <w:sz w:val="20"/>
                <w:szCs w:val="20"/>
                <w:color w:val="auto"/>
              </w:rPr>
            </w:pPr>
            <w:r>
              <w:rPr>
                <w:rFonts w:ascii="Arial" w:cs="Arial" w:eastAsia="Arial" w:hAnsi="Arial"/>
                <w:sz w:val="18"/>
                <w:szCs w:val="18"/>
                <w:color w:val="auto"/>
                <w:w w:val="97"/>
              </w:rPr>
              <w:t>the escrow or trust account.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Arial" w:cs="Arial" w:eastAsia="Arial" w:hAnsi="Arial"/>
                <w:sz w:val="18"/>
                <w:szCs w:val="18"/>
                <w:color w:val="auto"/>
                <w:w w:val="95"/>
              </w:rPr>
              <w:t>trade separately on the 90</w:t>
            </w:r>
            <w:r>
              <w:rPr>
                <w:rFonts w:ascii="Arial" w:cs="Arial" w:eastAsia="Arial" w:hAnsi="Arial"/>
                <w:sz w:val="20"/>
                <w:szCs w:val="20"/>
                <w:color w:val="auto"/>
                <w:w w:val="95"/>
                <w:vertAlign w:val="superscript"/>
              </w:rPr>
              <w:t>th</w:t>
            </w:r>
            <w:r>
              <w:rPr>
                <w:rFonts w:ascii="Arial" w:cs="Arial" w:eastAsia="Arial" w:hAnsi="Arial"/>
                <w:sz w:val="18"/>
                <w:szCs w:val="18"/>
                <w:color w:val="auto"/>
                <w:w w:val="95"/>
              </w:rPr>
              <w:t xml:space="preserve">  day after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the  date  of  this  prospectus  unless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EarlyBirdCapital  informs  us  of  its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decision  to  allow  earlier  separate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4"/>
              </w:rPr>
              <w:t>trading, provided that in no event may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the subunits and warrants be traded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separately until we have filed with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SEC a Current Report on Form 8-K</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which  includes  an  audited  balance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sheet reflecting our receipt of the gross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3"/>
              </w:rPr>
              <w:t>proceeds of this offering, including any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proceeds we receive from the exercise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of the over-allotment option, if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option is exercised prior to the initial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rPr>
              <w:t>filing  of  such  Current  report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Form  8-K.  Once  the  subunits  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w w:val="93"/>
              </w:rPr>
              <w:t>warrants commence</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separate trading,</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holders  will  have  the  option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3"/>
              </w:rPr>
              <w:t>continue to hold units or separate their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w w:val="96"/>
              </w:rPr>
              <w:t>units into the component pieces.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240" w:type="dxa"/>
            <w:vAlign w:val="bottom"/>
          </w:tcPr>
          <w:p>
            <w:pPr>
              <w:spacing w:after="0"/>
              <w:rPr>
                <w:sz w:val="24"/>
                <w:szCs w:val="24"/>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If   the   over-allotment   option   is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exercised after the initial filing of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Current Report on Form 8-K, we will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file an amendment to the Form 8-K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provide updated financial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to</w:t>
            </w:r>
          </w:p>
        </w:tc>
        <w:tc>
          <w:tcPr>
            <w:tcW w:w="800" w:type="dxa"/>
            <w:vAlign w:val="bottom"/>
          </w:tcPr>
          <w:p>
            <w:pPr>
              <w:ind w:left="140"/>
              <w:spacing w:after="0"/>
              <w:rPr>
                <w:sz w:val="20"/>
                <w:szCs w:val="20"/>
                <w:color w:val="auto"/>
              </w:rPr>
            </w:pPr>
            <w:r>
              <w:rPr>
                <w:rFonts w:ascii="Arial" w:cs="Arial" w:eastAsia="Arial" w:hAnsi="Arial"/>
                <w:sz w:val="18"/>
                <w:szCs w:val="18"/>
                <w:color w:val="auto"/>
              </w:rPr>
              <w:t>reflect</w:t>
            </w:r>
          </w:p>
        </w:tc>
        <w:tc>
          <w:tcPr>
            <w:tcW w:w="460" w:type="dxa"/>
            <w:vAlign w:val="bottom"/>
          </w:tcPr>
          <w:p>
            <w:pPr>
              <w:ind w:left="100"/>
              <w:spacing w:after="0"/>
              <w:rPr>
                <w:sz w:val="20"/>
                <w:szCs w:val="20"/>
                <w:color w:val="auto"/>
              </w:rPr>
            </w:pPr>
            <w:r>
              <w:rPr>
                <w:rFonts w:ascii="Arial" w:cs="Arial" w:eastAsia="Arial" w:hAnsi="Arial"/>
                <w:sz w:val="18"/>
                <w:szCs w:val="18"/>
                <w:color w:val="auto"/>
              </w:rPr>
              <w:t>the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exercise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consummation of the over-allotment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option. We will also include in this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Form 8-K, an amendment thereto, or in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a subsequent Form 8-K,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indicating  if</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EarlyBirdCapital</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has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allowed  separate  trading  of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Arial" w:cs="Arial" w:eastAsia="Arial" w:hAnsi="Arial"/>
                <w:sz w:val="18"/>
                <w:szCs w:val="18"/>
                <w:color w:val="auto"/>
                <w:w w:val="94"/>
              </w:rPr>
              <w:t>subunits and warrants prior to the 90</w:t>
            </w:r>
            <w:r>
              <w:rPr>
                <w:rFonts w:ascii="Arial" w:cs="Arial" w:eastAsia="Arial" w:hAnsi="Arial"/>
                <w:sz w:val="20"/>
                <w:szCs w:val="20"/>
                <w:color w:val="auto"/>
                <w:w w:val="94"/>
                <w:vertAlign w:val="superscript"/>
              </w:rPr>
              <w:t>th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day after the date of this prospectus.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The share of common stock and one-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6"/>
              </w:rPr>
              <w:t>quarter  warrant  included  within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subunit will not trade separately until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we  complete  our  initial  business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combination.</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240" w:type="dxa"/>
            <w:vAlign w:val="bottom"/>
          </w:tcPr>
          <w:p>
            <w:pPr>
              <w:spacing w:after="0"/>
              <w:rPr>
                <w:sz w:val="20"/>
                <w:szCs w:val="20"/>
                <w:color w:val="auto"/>
              </w:rPr>
            </w:pPr>
            <w:r>
              <w:rPr>
                <w:rFonts w:ascii="Arial" w:cs="Arial" w:eastAsia="Arial" w:hAnsi="Arial"/>
                <w:sz w:val="18"/>
                <w:szCs w:val="18"/>
                <w:b w:val="1"/>
                <w:bCs w:val="1"/>
                <w:color w:val="auto"/>
              </w:rPr>
              <w:t>Exercise of the warrants</w:t>
            </w: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The warrants cannot be exercised until</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0"/>
              </w:rPr>
              <w:t>The warrants could be exercised prior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30  days  after  the  completion  of  a</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the</w:t>
            </w:r>
          </w:p>
        </w:tc>
        <w:tc>
          <w:tcPr>
            <w:tcW w:w="1180" w:type="dxa"/>
            <w:vAlign w:val="bottom"/>
          </w:tcPr>
          <w:p>
            <w:pPr>
              <w:ind w:left="220"/>
              <w:spacing w:after="0"/>
              <w:rPr>
                <w:sz w:val="20"/>
                <w:szCs w:val="20"/>
                <w:color w:val="auto"/>
              </w:rPr>
            </w:pPr>
            <w:r>
              <w:rPr>
                <w:rFonts w:ascii="Arial" w:cs="Arial" w:eastAsia="Arial" w:hAnsi="Arial"/>
                <w:sz w:val="18"/>
                <w:szCs w:val="18"/>
                <w:color w:val="auto"/>
              </w:rPr>
              <w:t>completion</w:t>
            </w:r>
          </w:p>
        </w:tc>
        <w:tc>
          <w:tcPr>
            <w:tcW w:w="420" w:type="dxa"/>
            <w:vAlign w:val="bottom"/>
          </w:tcPr>
          <w:p>
            <w:pPr>
              <w:ind w:left="120"/>
              <w:spacing w:after="0"/>
              <w:rPr>
                <w:sz w:val="20"/>
                <w:szCs w:val="20"/>
                <w:color w:val="auto"/>
              </w:rPr>
            </w:pPr>
            <w:r>
              <w:rPr>
                <w:rFonts w:ascii="Arial" w:cs="Arial" w:eastAsia="Arial" w:hAnsi="Arial"/>
                <w:sz w:val="18"/>
                <w:szCs w:val="18"/>
                <w:color w:val="auto"/>
              </w:rPr>
              <w:t>of</w:t>
            </w:r>
          </w:p>
        </w:tc>
        <w:tc>
          <w:tcPr>
            <w:tcW w:w="320" w:type="dxa"/>
            <w:vAlign w:val="bottom"/>
          </w:tcPr>
          <w:p>
            <w:pPr>
              <w:ind w:left="120"/>
              <w:spacing w:after="0"/>
              <w:rPr>
                <w:sz w:val="20"/>
                <w:szCs w:val="20"/>
                <w:color w:val="auto"/>
              </w:rPr>
            </w:pPr>
            <w:r>
              <w:rPr>
                <w:rFonts w:ascii="Arial" w:cs="Arial" w:eastAsia="Arial" w:hAnsi="Arial"/>
                <w:sz w:val="18"/>
                <w:szCs w:val="18"/>
                <w:color w:val="auto"/>
              </w:rPr>
              <w:t>a</w:t>
            </w:r>
          </w:p>
        </w:tc>
        <w:tc>
          <w:tcPr>
            <w:tcW w:w="760" w:type="dxa"/>
            <w:vAlign w:val="bottom"/>
          </w:tcPr>
          <w:p>
            <w:pPr>
              <w:ind w:left="140"/>
              <w:spacing w:after="0"/>
              <w:rPr>
                <w:sz w:val="20"/>
                <w:szCs w:val="20"/>
                <w:color w:val="auto"/>
              </w:rPr>
            </w:pPr>
            <w:r>
              <w:rPr>
                <w:rFonts w:ascii="Arial" w:cs="Arial" w:eastAsia="Arial" w:hAnsi="Arial"/>
                <w:sz w:val="18"/>
                <w:szCs w:val="18"/>
                <w:color w:val="auto"/>
                <w:w w:val="84"/>
              </w:rPr>
              <w:t>business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business combination and, accordingly,</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0"/>
              </w:rPr>
              <w:t>combination, but securities received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will be exercised only after the trust</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rPr>
              <w:t>cash  paid  in  connection  with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account  has  been  terminated  and</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exercise  would  be  deposited  in  the</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distributed</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4"/>
          </w:tcPr>
          <w:p>
            <w:pPr>
              <w:ind w:left="40"/>
              <w:spacing w:after="0"/>
              <w:rPr>
                <w:sz w:val="20"/>
                <w:szCs w:val="20"/>
                <w:color w:val="auto"/>
              </w:rPr>
            </w:pPr>
            <w:r>
              <w:rPr>
                <w:rFonts w:ascii="Arial" w:cs="Arial" w:eastAsia="Arial" w:hAnsi="Arial"/>
                <w:sz w:val="18"/>
                <w:szCs w:val="18"/>
                <w:color w:val="auto"/>
                <w:w w:val="96"/>
              </w:rPr>
              <w:t>escrow or trust account.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40" w:hanging="179"/>
        <w:spacing w:after="0" w:line="282"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Terms of the Offering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3"/>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20" w:type="dxa"/>
            <w:vAlign w:val="bottom"/>
            <w:gridSpan w:val="4"/>
          </w:tcPr>
          <w:p>
            <w:pPr>
              <w:spacing w:after="0" w:line="195" w:lineRule="exact"/>
              <w:rPr>
                <w:sz w:val="20"/>
                <w:szCs w:val="20"/>
                <w:color w:val="auto"/>
              </w:rPr>
            </w:pPr>
            <w:r>
              <w:rPr>
                <w:rFonts w:ascii="Arial" w:cs="Arial" w:eastAsia="Arial" w:hAnsi="Arial"/>
                <w:sz w:val="18"/>
                <w:szCs w:val="18"/>
                <w:color w:val="auto"/>
              </w:rPr>
              <w:t>We   will   either   (1)   give   our</w:t>
            </w:r>
          </w:p>
        </w:tc>
        <w:tc>
          <w:tcPr>
            <w:tcW w:w="100" w:type="dxa"/>
            <w:vAlign w:val="bottom"/>
            <w:vMerge w:val="continue"/>
          </w:tcPr>
          <w:p>
            <w:pPr>
              <w:spacing w:after="0"/>
              <w:rPr>
                <w:sz w:val="16"/>
                <w:szCs w:val="16"/>
                <w:color w:val="auto"/>
              </w:rPr>
            </w:pPr>
          </w:p>
        </w:tc>
        <w:tc>
          <w:tcPr>
            <w:tcW w:w="2940" w:type="dxa"/>
            <w:vAlign w:val="bottom"/>
          </w:tcPr>
          <w:p>
            <w:pPr>
              <w:jc w:val="center"/>
              <w:spacing w:after="0" w:line="195" w:lineRule="exact"/>
              <w:rPr>
                <w:sz w:val="20"/>
                <w:szCs w:val="20"/>
                <w:color w:val="auto"/>
              </w:rPr>
            </w:pPr>
            <w:r>
              <w:rPr>
                <w:rFonts w:ascii="Arial" w:cs="Arial" w:eastAsia="Arial" w:hAnsi="Arial"/>
                <w:sz w:val="18"/>
                <w:szCs w:val="18"/>
                <w:color w:val="auto"/>
                <w:w w:val="97"/>
              </w:rPr>
              <w:t>A  prospectus  containing  information</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0"/>
              </w:rPr>
              <w:t>stockholders the opportunity to vote on</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7"/>
              </w:rPr>
              <w:t>required by the SEC would be sent to</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the</w:t>
            </w:r>
          </w:p>
        </w:tc>
        <w:tc>
          <w:tcPr>
            <w:tcW w:w="9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220" w:type="dxa"/>
            <w:vAlign w:val="bottom"/>
          </w:tcPr>
          <w:p>
            <w:pPr>
              <w:ind w:left="160"/>
              <w:spacing w:after="0"/>
              <w:rPr>
                <w:sz w:val="20"/>
                <w:szCs w:val="20"/>
                <w:color w:val="auto"/>
              </w:rPr>
            </w:pPr>
            <w:r>
              <w:rPr>
                <w:rFonts w:ascii="Arial" w:cs="Arial" w:eastAsia="Arial" w:hAnsi="Arial"/>
                <w:sz w:val="18"/>
                <w:szCs w:val="18"/>
                <w:color w:val="auto"/>
              </w:rPr>
              <w:t>combination</w:t>
            </w:r>
          </w:p>
        </w:tc>
        <w:tc>
          <w:tcPr>
            <w:tcW w:w="300" w:type="dxa"/>
            <w:vAlign w:val="bottom"/>
          </w:tcPr>
          <w:p>
            <w:pPr>
              <w:ind w:left="140"/>
              <w:spacing w:after="0"/>
              <w:rPr>
                <w:sz w:val="20"/>
                <w:szCs w:val="20"/>
                <w:color w:val="auto"/>
              </w:rPr>
            </w:pPr>
            <w:r>
              <w:rPr>
                <w:rFonts w:ascii="Arial" w:cs="Arial" w:eastAsia="Arial" w:hAnsi="Arial"/>
                <w:sz w:val="18"/>
                <w:szCs w:val="18"/>
                <w:color w:val="auto"/>
                <w:w w:val="87"/>
              </w:rPr>
              <w:t>or</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6"/>
              </w:rPr>
              <w:t>each investor. Each investor would be</w:t>
            </w:r>
          </w:p>
        </w:tc>
        <w:tc>
          <w:tcPr>
            <w:tcW w:w="0" w:type="dxa"/>
            <w:vAlign w:val="bottom"/>
          </w:tcPr>
          <w:p>
            <w:pPr>
              <w:spacing w:after="0"/>
              <w:rPr>
                <w:sz w:val="1"/>
                <w:szCs w:val="1"/>
                <w:color w:val="auto"/>
              </w:rPr>
            </w:pPr>
          </w:p>
        </w:tc>
      </w:tr>
    </w:tbl>
    <w:p>
      <w:pPr>
        <w:jc w:val="both"/>
        <w:ind w:left="5" w:right="459" w:hanging="5"/>
        <w:spacing w:after="0" w:line="263" w:lineRule="auto"/>
        <w:tabs>
          <w:tab w:leader="none" w:pos="3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 our public stockholders given the opportunity to notify the with the opportunity to sell their company, in writing, within a period of subunits to us in a tender offer for cash no less than 20 business days and no equal to their pro rata share of the more than 45 business days from the aggregate amount then on deposit in effective date of the post-effective the trust account, less taxes. If we hold amendment, to decide whether he or she a meeting to approve a proposed elects to remain a stockholder of the business combination, we will send company or require the return of his or each stockholder a proxy statement her investment. If the company has not containing information required by the received the notification by the end of SEC. Alternatively, if we do not hold a the 45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funds and interest meeting and instead conduct a tender or dividends, if any, held in the trust or offer, we will conduct such tender escrow account would automatically be offer in accordance with the tender returned to the stockholder. Unless a offer rules of the SEC and file tender sufficient number of investors elect to offer documents with the SEC which remain investors, all of the deposited will contain substantially the same funds in the escrow account must be financial and other information about returned to all investors and none of the the initial business combination as we securities will be issued.</w:t>
      </w:r>
    </w:p>
    <w:p>
      <w:pPr>
        <w:spacing w:after="0" w:line="8" w:lineRule="exact"/>
        <w:rPr>
          <w:rFonts w:ascii="Arial" w:cs="Arial" w:eastAsia="Arial" w:hAnsi="Arial"/>
          <w:sz w:val="17"/>
          <w:szCs w:val="17"/>
          <w:color w:val="auto"/>
        </w:rPr>
      </w:pPr>
    </w:p>
    <w:p>
      <w:pPr>
        <w:ind w:left="5" w:right="3499"/>
        <w:spacing w:after="0" w:line="260" w:lineRule="auto"/>
        <w:rPr>
          <w:rFonts w:ascii="Arial" w:cs="Arial" w:eastAsia="Arial" w:hAnsi="Arial"/>
          <w:sz w:val="17"/>
          <w:szCs w:val="17"/>
          <w:color w:val="auto"/>
        </w:rPr>
      </w:pPr>
      <w:r>
        <w:rPr>
          <w:rFonts w:ascii="Arial" w:cs="Arial" w:eastAsia="Arial" w:hAnsi="Arial"/>
          <w:sz w:val="18"/>
          <w:szCs w:val="18"/>
          <w:color w:val="auto"/>
        </w:rPr>
        <w:t>would have included in a proxy statement.</w:t>
      </w:r>
    </w:p>
    <w:p>
      <w:pPr>
        <w:spacing w:after="0" w:line="154" w:lineRule="exact"/>
        <w:rPr>
          <w:sz w:val="20"/>
          <w:szCs w:val="20"/>
          <w:color w:val="auto"/>
        </w:rPr>
      </w:pPr>
    </w:p>
    <w:p>
      <w:pPr>
        <w:sectPr>
          <w:pgSz w:w="11900" w:h="16838" w:orient="portrait"/>
          <w:cols w:equalWidth="0" w:num="2">
            <w:col w:w="2100" w:space="595"/>
            <w:col w:w="6324"/>
          </w:cols>
          <w:pgMar w:left="1440" w:top="274"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w w:val="99"/>
              </w:rPr>
              <w:t>Business combination</w:t>
            </w: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2"/>
              </w:rPr>
              <w:t>Pursuant to our amended and restated</w:t>
            </w:r>
          </w:p>
        </w:tc>
        <w:tc>
          <w:tcPr>
            <w:tcW w:w="2980" w:type="dxa"/>
            <w:vAlign w:val="bottom"/>
          </w:tcPr>
          <w:p>
            <w:pPr>
              <w:ind w:left="40"/>
              <w:spacing w:after="0"/>
              <w:rPr>
                <w:sz w:val="20"/>
                <w:szCs w:val="20"/>
                <w:color w:val="auto"/>
              </w:rPr>
            </w:pPr>
            <w:r>
              <w:rPr>
                <w:rFonts w:ascii="Arial" w:cs="Arial" w:eastAsia="Arial" w:hAnsi="Arial"/>
                <w:sz w:val="18"/>
                <w:szCs w:val="18"/>
                <w:color w:val="auto"/>
              </w:rPr>
              <w:t>If   an   acquisition   has   not   been</w:t>
            </w:r>
          </w:p>
        </w:tc>
      </w:tr>
      <w:tr>
        <w:trPr>
          <w:trHeight w:val="220"/>
        </w:trPr>
        <w:tc>
          <w:tcPr>
            <w:tcW w:w="194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certificate of incorporation, if we are</w:t>
            </w:r>
          </w:p>
        </w:tc>
        <w:tc>
          <w:tcPr>
            <w:tcW w:w="2980" w:type="dxa"/>
            <w:vAlign w:val="bottom"/>
          </w:tcPr>
          <w:p>
            <w:pPr>
              <w:ind w:left="40"/>
              <w:spacing w:after="0"/>
              <w:rPr>
                <w:sz w:val="20"/>
                <w:szCs w:val="20"/>
                <w:color w:val="auto"/>
              </w:rPr>
            </w:pPr>
            <w:r>
              <w:rPr>
                <w:rFonts w:ascii="Arial" w:cs="Arial" w:eastAsia="Arial" w:hAnsi="Arial"/>
                <w:sz w:val="18"/>
                <w:szCs w:val="18"/>
                <w:color w:val="auto"/>
                <w:w w:val="99"/>
              </w:rPr>
              <w:t>consummated within 18 months after</w:t>
            </w: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3"/>
              </w:rPr>
              <w:t>unable to complete our initial business</w:t>
            </w:r>
          </w:p>
        </w:tc>
        <w:tc>
          <w:tcPr>
            <w:tcW w:w="2980" w:type="dxa"/>
            <w:vAlign w:val="bottom"/>
          </w:tcPr>
          <w:p>
            <w:pPr>
              <w:ind w:left="40"/>
              <w:spacing w:after="0"/>
              <w:rPr>
                <w:sz w:val="20"/>
                <w:szCs w:val="20"/>
                <w:color w:val="auto"/>
              </w:rPr>
            </w:pPr>
            <w:r>
              <w:rPr>
                <w:rFonts w:ascii="Arial" w:cs="Arial" w:eastAsia="Arial" w:hAnsi="Arial"/>
                <w:sz w:val="18"/>
                <w:szCs w:val="18"/>
                <w:color w:val="auto"/>
              </w:rPr>
              <w:t>the  effective  date  of  the  initial</w:t>
            </w: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combination within 18 months from</w:t>
            </w:r>
          </w:p>
        </w:tc>
        <w:tc>
          <w:tcPr>
            <w:tcW w:w="2980" w:type="dxa"/>
            <w:vAlign w:val="bottom"/>
          </w:tcPr>
          <w:p>
            <w:pPr>
              <w:ind w:left="40"/>
              <w:spacing w:after="0"/>
              <w:rPr>
                <w:sz w:val="20"/>
                <w:szCs w:val="20"/>
                <w:color w:val="auto"/>
              </w:rPr>
            </w:pPr>
            <w:r>
              <w:rPr>
                <w:rFonts w:ascii="Arial" w:cs="Arial" w:eastAsia="Arial" w:hAnsi="Arial"/>
                <w:sz w:val="18"/>
                <w:szCs w:val="18"/>
                <w:color w:val="auto"/>
                <w:w w:val="92"/>
              </w:rPr>
              <w:t>registration statement, funds held in the</w:t>
            </w: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4"/>
              </w:rPr>
              <w:t>the closing of this offering (or up to 21</w:t>
            </w:r>
          </w:p>
        </w:tc>
        <w:tc>
          <w:tcPr>
            <w:tcW w:w="2980" w:type="dxa"/>
            <w:vAlign w:val="bottom"/>
          </w:tcPr>
          <w:p>
            <w:pPr>
              <w:ind w:left="40"/>
              <w:spacing w:after="0"/>
              <w:rPr>
                <w:sz w:val="20"/>
                <w:szCs w:val="20"/>
                <w:color w:val="auto"/>
              </w:rPr>
            </w:pPr>
            <w:r>
              <w:rPr>
                <w:rFonts w:ascii="Arial" w:cs="Arial" w:eastAsia="Arial" w:hAnsi="Arial"/>
                <w:sz w:val="18"/>
                <w:szCs w:val="18"/>
                <w:color w:val="auto"/>
              </w:rPr>
              <w:t>trust  or  escrow  account  would  be</w:t>
            </w: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7"/>
              </w:rPr>
              <w:t>months if a definitive agreement with</w:t>
            </w:r>
          </w:p>
        </w:tc>
        <w:tc>
          <w:tcPr>
            <w:tcW w:w="2980" w:type="dxa"/>
            <w:vAlign w:val="bottom"/>
          </w:tcPr>
          <w:p>
            <w:pPr>
              <w:ind w:left="40"/>
              <w:spacing w:after="0"/>
              <w:rPr>
                <w:sz w:val="20"/>
                <w:szCs w:val="20"/>
                <w:color w:val="auto"/>
              </w:rPr>
            </w:pPr>
            <w:r>
              <w:rPr>
                <w:rFonts w:ascii="Arial" w:cs="Arial" w:eastAsia="Arial" w:hAnsi="Arial"/>
                <w:sz w:val="18"/>
                <w:szCs w:val="18"/>
                <w:color w:val="auto"/>
              </w:rPr>
              <w:t>returned to investors.</w:t>
            </w: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8"/>
              </w:rPr>
              <w:t>respect   to   a   proposed   business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3"/>
              </w:rPr>
              <w:t>combination has been executed within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18  months),  we  will  (i)  cease  all</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9"/>
              </w:rPr>
              <w:t>operations except for the purpose of</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winding up and (ii) as promptly as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3"/>
              </w:rPr>
              <w:t>reasonably possible but not more than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6"/>
              </w:rPr>
              <w:t>ten business days thereafter, redeem</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100%  of  the  outstanding  public</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subunits,  at  a  per-subunit  price,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0"/>
              </w:rPr>
              <w:t>payable in cash, equal to the aggregate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amount then on deposit in the trust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7"/>
              </w:rPr>
              <w:t>account,  including  any  interest  not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3"/>
              </w:rPr>
              <w:t>released to us but net of franchise and</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6"/>
              </w:rPr>
              <w:t>income taxes payable, divided by the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8"/>
              </w:rPr>
              <w:t>number  of  then  outstanding  public</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rPr>
              <w:t>subunits,</w:t>
            </w:r>
          </w:p>
        </w:tc>
        <w:tc>
          <w:tcPr>
            <w:tcW w:w="660" w:type="dxa"/>
            <w:vAlign w:val="bottom"/>
          </w:tcPr>
          <w:p>
            <w:pPr>
              <w:ind w:left="20"/>
              <w:spacing w:after="0"/>
              <w:rPr>
                <w:sz w:val="20"/>
                <w:szCs w:val="20"/>
                <w:color w:val="auto"/>
              </w:rPr>
            </w:pPr>
            <w:r>
              <w:rPr>
                <w:rFonts w:ascii="Arial" w:cs="Arial" w:eastAsia="Arial" w:hAnsi="Arial"/>
                <w:sz w:val="18"/>
                <w:szCs w:val="18"/>
                <w:color w:val="auto"/>
              </w:rPr>
              <w:t>which</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1"/>
              </w:rPr>
              <w:t>redemption</w:t>
            </w:r>
          </w:p>
        </w:tc>
        <w:tc>
          <w:tcPr>
            <w:tcW w:w="520" w:type="dxa"/>
            <w:vAlign w:val="bottom"/>
          </w:tcPr>
          <w:p>
            <w:pPr>
              <w:jc w:val="right"/>
              <w:spacing w:after="0"/>
              <w:rPr>
                <w:sz w:val="20"/>
                <w:szCs w:val="20"/>
                <w:color w:val="auto"/>
              </w:rPr>
            </w:pPr>
            <w:r>
              <w:rPr>
                <w:rFonts w:ascii="Arial" w:cs="Arial" w:eastAsia="Arial" w:hAnsi="Arial"/>
                <w:sz w:val="18"/>
                <w:szCs w:val="18"/>
                <w:color w:val="auto"/>
              </w:rPr>
              <w:t>will</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w w:val="95"/>
              </w:rPr>
              <w:t>completely</w:t>
            </w:r>
          </w:p>
        </w:tc>
        <w:tc>
          <w:tcPr>
            <w:tcW w:w="1520" w:type="dxa"/>
            <w:vAlign w:val="bottom"/>
            <w:gridSpan w:val="3"/>
          </w:tcPr>
          <w:p>
            <w:pPr>
              <w:ind w:left="380"/>
              <w:spacing w:after="0"/>
              <w:rPr>
                <w:sz w:val="20"/>
                <w:szCs w:val="20"/>
                <w:color w:val="auto"/>
              </w:rPr>
            </w:pPr>
            <w:r>
              <w:rPr>
                <w:rFonts w:ascii="Arial" w:cs="Arial" w:eastAsia="Arial" w:hAnsi="Arial"/>
                <w:sz w:val="18"/>
                <w:szCs w:val="18"/>
                <w:color w:val="auto"/>
              </w:rPr>
              <w:t>extinguish</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public</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w w:val="93"/>
              </w:rPr>
              <w:t>stockholders’  rights</w:t>
            </w:r>
          </w:p>
        </w:tc>
        <w:tc>
          <w:tcPr>
            <w:tcW w:w="340" w:type="dxa"/>
            <w:vAlign w:val="bottom"/>
          </w:tcPr>
          <w:p>
            <w:pPr>
              <w:ind w:left="140"/>
              <w:spacing w:after="0"/>
              <w:rPr>
                <w:sz w:val="20"/>
                <w:szCs w:val="20"/>
                <w:color w:val="auto"/>
              </w:rPr>
            </w:pPr>
            <w:r>
              <w:rPr>
                <w:rFonts w:ascii="Arial" w:cs="Arial" w:eastAsia="Arial" w:hAnsi="Arial"/>
                <w:sz w:val="18"/>
                <w:szCs w:val="18"/>
                <w:color w:val="auto"/>
                <w:w w:val="94"/>
              </w:rPr>
              <w:t>as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stockholders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w w:val="99"/>
              </w:rPr>
              <w:t>(including the right to receive further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rPr>
              <w:t>liquidation</w:t>
            </w:r>
          </w:p>
        </w:tc>
        <w:tc>
          <w:tcPr>
            <w:tcW w:w="1520" w:type="dxa"/>
            <w:vAlign w:val="bottom"/>
            <w:gridSpan w:val="3"/>
          </w:tcPr>
          <w:p>
            <w:pPr>
              <w:ind w:left="140"/>
              <w:spacing w:after="0"/>
              <w:rPr>
                <w:sz w:val="20"/>
                <w:szCs w:val="20"/>
                <w:color w:val="auto"/>
              </w:rPr>
            </w:pPr>
            <w:r>
              <w:rPr>
                <w:rFonts w:ascii="Arial" w:cs="Arial" w:eastAsia="Arial" w:hAnsi="Arial"/>
                <w:sz w:val="18"/>
                <w:szCs w:val="18"/>
                <w:color w:val="auto"/>
              </w:rPr>
              <w:t>distributions,   if</w:t>
            </w:r>
          </w:p>
        </w:tc>
        <w:tc>
          <w:tcPr>
            <w:tcW w:w="520" w:type="dxa"/>
            <w:vAlign w:val="bottom"/>
          </w:tcPr>
          <w:p>
            <w:pPr>
              <w:jc w:val="right"/>
              <w:spacing w:after="0"/>
              <w:rPr>
                <w:sz w:val="20"/>
                <w:szCs w:val="20"/>
                <w:color w:val="auto"/>
              </w:rPr>
            </w:pPr>
            <w:r>
              <w:rPr>
                <w:rFonts w:ascii="Arial" w:cs="Arial" w:eastAsia="Arial" w:hAnsi="Arial"/>
                <w:sz w:val="18"/>
                <w:szCs w:val="18"/>
                <w:color w:val="auto"/>
              </w:rPr>
              <w:t>any),</w:t>
            </w:r>
          </w:p>
        </w:tc>
        <w:tc>
          <w:tcPr>
            <w:tcW w:w="2980" w:type="dxa"/>
            <w:vAlign w:val="bottom"/>
          </w:tcPr>
          <w:p>
            <w:pPr>
              <w:spacing w:after="0"/>
              <w:rPr>
                <w:sz w:val="18"/>
                <w:szCs w:val="18"/>
                <w:color w:val="auto"/>
              </w:rPr>
            </w:pPr>
          </w:p>
        </w:tc>
      </w:tr>
      <w:tr>
        <w:trPr>
          <w:trHeight w:val="230"/>
        </w:trPr>
        <w:tc>
          <w:tcPr>
            <w:tcW w:w="1940" w:type="dxa"/>
            <w:vAlign w:val="bottom"/>
          </w:tcPr>
          <w:p>
            <w:pPr>
              <w:spacing w:after="0"/>
              <w:rPr>
                <w:sz w:val="20"/>
                <w:szCs w:val="20"/>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w w:val="99"/>
              </w:rPr>
              <w:t>subject  to</w:t>
            </w: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applicable</w:t>
            </w:r>
          </w:p>
        </w:tc>
        <w:tc>
          <w:tcPr>
            <w:tcW w:w="520" w:type="dxa"/>
            <w:vAlign w:val="bottom"/>
          </w:tcPr>
          <w:p>
            <w:pPr>
              <w:ind w:left="60"/>
              <w:spacing w:after="0"/>
              <w:rPr>
                <w:sz w:val="20"/>
                <w:szCs w:val="20"/>
                <w:color w:val="auto"/>
              </w:rPr>
            </w:pPr>
            <w:r>
              <w:rPr>
                <w:rFonts w:ascii="Arial" w:cs="Arial" w:eastAsia="Arial" w:hAnsi="Arial"/>
                <w:sz w:val="18"/>
                <w:szCs w:val="18"/>
                <w:color w:val="auto"/>
              </w:rPr>
              <w:t>law.</w:t>
            </w:r>
          </w:p>
        </w:tc>
        <w:tc>
          <w:tcPr>
            <w:tcW w:w="520" w:type="dxa"/>
            <w:vAlign w:val="bottom"/>
          </w:tcPr>
          <w:p>
            <w:pPr>
              <w:jc w:val="right"/>
              <w:spacing w:after="0"/>
              <w:rPr>
                <w:sz w:val="20"/>
                <w:szCs w:val="20"/>
                <w:color w:val="auto"/>
              </w:rPr>
            </w:pPr>
            <w:r>
              <w:rPr>
                <w:rFonts w:ascii="Arial" w:cs="Arial" w:eastAsia="Arial" w:hAnsi="Arial"/>
                <w:sz w:val="18"/>
                <w:szCs w:val="18"/>
                <w:color w:val="auto"/>
                <w:w w:val="89"/>
              </w:rPr>
              <w:t>Public</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Arial" w:cs="Arial" w:eastAsia="Arial" w:hAnsi="Arial"/>
          <w:sz w:val="18"/>
          <w:szCs w:val="18"/>
          <w:color w:val="auto"/>
        </w:rPr>
        <w:t>stockholders will also forfeit the one-</w:t>
      </w:r>
    </w:p>
    <w:p>
      <w:pPr>
        <w:spacing w:after="0" w:line="9" w:lineRule="exact"/>
        <w:rPr>
          <w:sz w:val="20"/>
          <w:szCs w:val="20"/>
          <w:color w:val="auto"/>
        </w:rPr>
      </w:pPr>
    </w:p>
    <w:p>
      <w:pPr>
        <w:ind w:left="2700"/>
        <w:spacing w:after="0"/>
        <w:tabs>
          <w:tab w:leader="none" w:pos="3380" w:val="left"/>
          <w:tab w:leader="none" w:pos="4120" w:val="left"/>
          <w:tab w:leader="none" w:pos="4940" w:val="left"/>
          <w:tab w:leader="none" w:pos="5280" w:val="left"/>
        </w:tabs>
        <w:rPr>
          <w:sz w:val="20"/>
          <w:szCs w:val="20"/>
          <w:color w:val="auto"/>
        </w:rPr>
      </w:pPr>
      <w:r>
        <w:rPr>
          <w:rFonts w:ascii="Arial" w:cs="Arial" w:eastAsia="Arial" w:hAnsi="Arial"/>
          <w:sz w:val="18"/>
          <w:szCs w:val="18"/>
          <w:color w:val="auto"/>
        </w:rPr>
        <w:t>quarter</w:t>
        <w:tab/>
        <w:t>warrant</w:t>
        <w:tab/>
        <w:t>included</w:t>
        <w:tab/>
        <w:t>in</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subunits being redeemed. As promptly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reasonably possible following such</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redemption, subject to the approval of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our remaining stockholders and our</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board of directors, we will dissolve</w:t>
      </w:r>
    </w:p>
    <w:p>
      <w:pPr>
        <w:spacing w:after="0" w:line="9" w:lineRule="exact"/>
        <w:rPr>
          <w:sz w:val="20"/>
          <w:szCs w:val="20"/>
          <w:color w:val="auto"/>
        </w:rPr>
      </w:pPr>
    </w:p>
    <w:p>
      <w:pPr>
        <w:ind w:left="2700"/>
        <w:spacing w:after="0"/>
        <w:tabs>
          <w:tab w:leader="none" w:pos="3180" w:val="left"/>
          <w:tab w:leader="none" w:pos="4120" w:val="left"/>
          <w:tab w:leader="none" w:pos="4880" w:val="left"/>
          <w:tab w:leader="none" w:pos="5260" w:val="left"/>
        </w:tabs>
        <w:rPr>
          <w:sz w:val="20"/>
          <w:szCs w:val="20"/>
          <w:color w:val="auto"/>
        </w:rPr>
      </w:pPr>
      <w:r>
        <w:rPr>
          <w:rFonts w:ascii="Arial" w:cs="Arial" w:eastAsia="Arial" w:hAnsi="Arial"/>
          <w:sz w:val="18"/>
          <w:szCs w:val="18"/>
          <w:color w:val="auto"/>
        </w:rPr>
        <w:t>and</w:t>
        <w:tab/>
        <w:t>liquidate,</w:t>
        <w:tab/>
        <w:t>subject</w:t>
        <w:tab/>
        <w:t>to</w:t>
      </w:r>
      <w:r>
        <w:rPr>
          <w:sz w:val="20"/>
          <w:szCs w:val="20"/>
          <w:color w:val="auto"/>
        </w:rPr>
        <w:tab/>
      </w:r>
      <w:r>
        <w:rPr>
          <w:rFonts w:ascii="Arial" w:cs="Arial" w:eastAsia="Arial" w:hAnsi="Arial"/>
          <w:sz w:val="16"/>
          <w:szCs w:val="16"/>
          <w:color w:val="auto"/>
        </w:rPr>
        <w:t>our</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obligations  under  Delaware  law  to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provide for claims of creditors and the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requirements of other applicable law.</w:t>
      </w:r>
    </w:p>
    <w:p>
      <w:pPr>
        <w:sectPr>
          <w:pgSz w:w="11900" w:h="16838" w:orient="portrait"/>
          <w:cols w:equalWidth="0" w:num="1">
            <w:col w:w="9019"/>
          </w:cols>
          <w:pgMar w:left="1440" w:top="274" w:right="1440"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Interest earned on the</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funds in the trust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660"/>
        <w:spacing w:after="0"/>
        <w:tabs>
          <w:tab w:leader="none" w:pos="320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jc w:val="both"/>
        <w:ind w:right="459"/>
        <w:spacing w:after="0" w:line="271" w:lineRule="auto"/>
        <w:rPr>
          <w:sz w:val="20"/>
          <w:szCs w:val="20"/>
          <w:color w:val="auto"/>
        </w:rPr>
      </w:pPr>
      <w:r>
        <w:rPr>
          <w:rFonts w:ascii="Arial" w:cs="Arial" w:eastAsia="Arial" w:hAnsi="Arial"/>
          <w:sz w:val="17"/>
          <w:szCs w:val="17"/>
          <w:color w:val="auto"/>
        </w:rPr>
        <w:t>There can be released to us, from time All interest earned on the funds in the to time, any interest earned on the trust account will be held in trust for the funds in the trust account that we may benefit of public stockholders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-419100</wp:posOffset>
            </wp:positionV>
            <wp:extent cx="37204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tabs>
          <w:tab w:leader="none" w:pos="2900" w:val="left"/>
        </w:tabs>
        <w:rPr>
          <w:sz w:val="20"/>
          <w:szCs w:val="20"/>
          <w:color w:val="auto"/>
        </w:rPr>
      </w:pPr>
      <w:r>
        <w:rPr>
          <w:rFonts w:ascii="Arial" w:cs="Arial" w:eastAsia="Arial" w:hAnsi="Arial"/>
          <w:sz w:val="18"/>
          <w:szCs w:val="18"/>
          <w:color w:val="auto"/>
        </w:rPr>
        <w:t>need to pay our tax obligations.</w:t>
      </w:r>
      <w:r>
        <w:rPr>
          <w:sz w:val="20"/>
          <w:szCs w:val="20"/>
          <w:color w:val="auto"/>
        </w:rPr>
        <w:tab/>
      </w:r>
      <w:r>
        <w:rPr>
          <w:rFonts w:ascii="Arial" w:cs="Arial" w:eastAsia="Arial" w:hAnsi="Arial"/>
          <w:sz w:val="17"/>
          <w:szCs w:val="17"/>
          <w:color w:val="auto"/>
        </w:rPr>
        <w:t>earlier of the completion of a business</w:t>
      </w:r>
    </w:p>
    <w:p>
      <w:pPr>
        <w:ind w:left="2920"/>
        <w:spacing w:after="0" w:line="195" w:lineRule="auto"/>
        <w:rPr>
          <w:sz w:val="20"/>
          <w:szCs w:val="20"/>
          <w:color w:val="auto"/>
        </w:rPr>
      </w:pPr>
      <w:r>
        <w:rPr>
          <w:rFonts w:ascii="Arial" w:cs="Arial" w:eastAsia="Arial" w:hAnsi="Arial"/>
          <w:sz w:val="17"/>
          <w:szCs w:val="17"/>
          <w:color w:val="auto"/>
        </w:rPr>
        <w:t>combination and our liquidation upon</w:t>
      </w:r>
    </w:p>
    <w:p>
      <w:pPr>
        <w:spacing w:after="0" w:line="180" w:lineRule="auto"/>
        <w:rPr>
          <w:sz w:val="20"/>
          <w:szCs w:val="20"/>
          <w:color w:val="auto"/>
        </w:rPr>
      </w:pPr>
      <w:r>
        <w:rPr>
          <w:rFonts w:ascii="Arial" w:cs="Arial" w:eastAsia="Arial" w:hAnsi="Arial"/>
          <w:sz w:val="25"/>
          <w:szCs w:val="25"/>
          <w:color w:val="auto"/>
          <w:vertAlign w:val="superscript"/>
        </w:rPr>
        <w:t>The remaining interest earned on the</w:t>
      </w:r>
      <w:r>
        <w:rPr>
          <w:rFonts w:ascii="Arial" w:cs="Arial" w:eastAsia="Arial" w:hAnsi="Arial"/>
          <w:sz w:val="14"/>
          <w:szCs w:val="14"/>
          <w:color w:val="auto"/>
        </w:rPr>
        <w:t xml:space="preserve"> failure to effect a business combination</w:t>
      </w:r>
    </w:p>
    <w:p>
      <w:pPr>
        <w:spacing w:after="0" w:line="180" w:lineRule="auto"/>
        <w:rPr>
          <w:sz w:val="20"/>
          <w:szCs w:val="20"/>
          <w:color w:val="auto"/>
        </w:rPr>
      </w:pPr>
      <w:r>
        <w:rPr>
          <w:rFonts w:ascii="Arial" w:cs="Arial" w:eastAsia="Arial" w:hAnsi="Arial"/>
          <w:sz w:val="14"/>
          <w:szCs w:val="14"/>
          <w:color w:val="auto"/>
        </w:rPr>
        <w:t xml:space="preserve">funds in the trust account will not be </w:t>
      </w:r>
      <w:r>
        <w:rPr>
          <w:rFonts w:ascii="Arial" w:cs="Arial" w:eastAsia="Arial" w:hAnsi="Arial"/>
          <w:sz w:val="25"/>
          <w:szCs w:val="25"/>
          <w:color w:val="auto"/>
          <w:vertAlign w:val="subscript"/>
        </w:rPr>
        <w:t>within the allotted time.</w:t>
      </w:r>
    </w:p>
    <w:p>
      <w:pPr>
        <w:spacing w:after="0" w:line="1" w:lineRule="exact"/>
        <w:rPr>
          <w:sz w:val="20"/>
          <w:szCs w:val="20"/>
          <w:color w:val="auto"/>
        </w:rPr>
      </w:pPr>
    </w:p>
    <w:p>
      <w:pPr>
        <w:spacing w:after="0"/>
        <w:tabs>
          <w:tab w:leader="none" w:pos="740" w:val="left"/>
          <w:tab w:leader="none" w:pos="1240" w:val="left"/>
          <w:tab w:leader="none" w:pos="1620" w:val="left"/>
          <w:tab w:leader="none" w:pos="2260" w:val="left"/>
          <w:tab w:leader="none" w:pos="2580" w:val="left"/>
        </w:tabs>
        <w:rPr>
          <w:sz w:val="20"/>
          <w:szCs w:val="20"/>
          <w:color w:val="auto"/>
        </w:rPr>
      </w:pPr>
      <w:r>
        <w:rPr>
          <w:rFonts w:ascii="Arial" w:cs="Arial" w:eastAsia="Arial" w:hAnsi="Arial"/>
          <w:sz w:val="18"/>
          <w:szCs w:val="18"/>
          <w:color w:val="auto"/>
        </w:rPr>
        <w:t>released</w:t>
        <w:tab/>
        <w:t>until</w:t>
        <w:tab/>
        <w:t>the</w:t>
        <w:tab/>
        <w:t>earlier</w:t>
        <w:tab/>
        <w:t>of</w:t>
      </w:r>
      <w:r>
        <w:rPr>
          <w:sz w:val="20"/>
          <w:szCs w:val="20"/>
          <w:color w:val="auto"/>
        </w:rPr>
        <w:tab/>
      </w:r>
      <w:r>
        <w:rPr>
          <w:rFonts w:ascii="Arial" w:cs="Arial" w:eastAsia="Arial" w:hAnsi="Arial"/>
          <w:sz w:val="15"/>
          <w:szCs w:val="15"/>
          <w:color w:val="auto"/>
        </w:rPr>
        <w:t>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completion of a 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our  liquidation  upon  failure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a business combination within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allotted time.</w:t>
      </w:r>
    </w:p>
    <w:p>
      <w:pPr>
        <w:spacing w:after="0" w:line="184"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Except for any interest earned on the The proceeds held in the escrow account funds in the trust account that we may would not be released to the company need to pay our tax obligations, the until the earlier of the completion of a proceeds held in the trust account will business combination or the failure to not be released to us until the earlier of effect a business combination within the the completion of a business allotted time. combination and our liquidation upon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failure to effect a 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 the allotted time.</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14605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140" w:space="560"/>
            <w:col w:w="6319"/>
          </w:cols>
          <w:pgMar w:left="1440" w:top="274" w:right="1440" w:bottom="1440" w:gutter="0" w:footer="0" w:header="0"/>
        </w:sectPr>
      </w:pPr>
    </w:p>
    <w:bookmarkStart w:id="74" w:name="page75"/>
    <w:bookmarkEnd w:id="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directors and executive officers upon the effective date of the registration statement of which this prospectus forms part will be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Age</w:t>
            </w:r>
          </w:p>
        </w:tc>
        <w:tc>
          <w:tcPr>
            <w:tcW w:w="3980" w:type="dxa"/>
            <w:vAlign w:val="bottom"/>
          </w:tcPr>
          <w:p>
            <w:pPr>
              <w:ind w:left="172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4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Eric R. Ball</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 nominee</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&amp; President</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3"/>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Sheehan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 nominee</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4"/>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Bryant B. Edwards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Luc Julia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41"/>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43"/>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40"/>
        </w:trPr>
        <w:tc>
          <w:tcPr>
            <w:tcW w:w="3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b w:val="1"/>
          <w:bCs w:val="1"/>
          <w:color w:val="auto"/>
        </w:rPr>
        <w:t xml:space="preserve">Dr. Eric R. Ball </w:t>
      </w:r>
      <w:r>
        <w:rPr>
          <w:rFonts w:ascii="Arial" w:cs="Arial" w:eastAsia="Arial" w:hAnsi="Arial"/>
          <w:sz w:val="17"/>
          <w:szCs w:val="17"/>
          <w:color w:val="auto"/>
        </w:rPr>
        <w:t>will serve as our Chairman commencing upon the effectiveness of the registration statement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this prospectus forms a part.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since 2013.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w:t>
      </w:r>
      <w:r>
        <w:rPr>
          <w:rFonts w:ascii="Arial" w:cs="Arial" w:eastAsia="Arial" w:hAnsi="Arial"/>
          <w:sz w:val="17"/>
          <w:szCs w:val="17"/>
          <w:i w:val="1"/>
          <w:iCs w:val="1"/>
          <w:color w:val="auto"/>
        </w:rPr>
        <w:t>.</w:t>
      </w:r>
      <w:r>
        <w:rPr>
          <w:rFonts w:ascii="Arial" w:cs="Arial" w:eastAsia="Arial" w:hAnsi="Arial"/>
          <w:sz w:val="17"/>
          <w:szCs w:val="17"/>
          <w:color w:val="auto"/>
        </w:rPr>
        <w:t xml:space="preserve"> We believe that Dr. Ball is well-qualified to serve as a director of the company given his extensive finance, mergers &amp; acquisition, investing and public company experience in the technology industry.</w:t>
      </w:r>
    </w:p>
    <w:p>
      <w:pPr>
        <w:spacing w:after="0" w:line="11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b w:val="1"/>
          <w:bCs w:val="1"/>
          <w:color w:val="auto"/>
        </w:rPr>
        <w:t xml:space="preserve">Stephen N. Cannon </w:t>
      </w:r>
      <w:r>
        <w:rPr>
          <w:rFonts w:ascii="Arial" w:cs="Arial" w:eastAsia="Arial" w:hAnsi="Arial"/>
          <w:sz w:val="17"/>
          <w:szCs w:val="17"/>
          <w:color w:val="auto"/>
        </w:rPr>
        <w:t>has been our Chief Executive Officer &amp; President since September 2020, and our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from September 2020 to the effectiveness of the registration statement of which this prospectus forms a part. Since August 2020, Mr. Cannon has been the Chief Operating Officer and President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 Since August 2019, Mr. Cannon has been the Chief Operating Officer and President of Ackrell SPAC Partners I Co., a blank check company which completed a $140 million IPO on December 21, 2020, and intends to focus on fast-moving consumer goods business globally, with an emphasis on beverage and wellness sectors. Since 2014, Mr. Cannon has been President of Everest Partners Limited, a privately-owned investment firm focused on Asian private investments. From 2017 to 2019, Mr. Cannon was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2010 to 2014, Mr. Cannon was a Partner and Head of China for RedBridge Group Ltd., a boutique merchant banking firm focused on Chinese and Arabian Gulf cross-border investments. From 2009 to 2014, Mr. Cannon was a registered representative of, and senior advisor to, Ackrell Capital. From 2007 to 2010, Mr. Cannon served in various capacities with Hambrecht Asia Acquisition Corp., a Nasdaq-listed SPAC, as a co-founder, initial Chief Financial Officer and a director, and then Vice President of</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Acquisitions. Hambrecht Asia Acquisition Corp. merged with SGOCO Ltd, a Chinese company, in April 2010. From 2005 to 2008, Mr. Cannon served as a Managing Director of Asian investment banking for WR Hambrecht+Co. Prior to WR Hambrecht + Co., Mr. Cannon worked at ABN AMRO, Donaldson, Lufkin &amp; Jenrette, Smith Barney Shearson and Salomon Brothers. Mr. Cannon currently serves on the board of the Cambodian Hotel Association. Mr. Cannon graduated from the University of Notre Dame with a Bachelor of Arts degree in Economics and a Bachelor of Science degree, majoring in Mechanical Engineering.</w:t>
      </w:r>
    </w:p>
    <w:p>
      <w:pPr>
        <w:spacing w:after="0" w:line="106"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b w:val="1"/>
          <w:bCs w:val="1"/>
          <w:color w:val="auto"/>
        </w:rPr>
        <w:t xml:space="preserve">Daniel L. Sheehan </w:t>
      </w:r>
      <w:r>
        <w:rPr>
          <w:rFonts w:ascii="Arial" w:cs="Arial" w:eastAsia="Arial" w:hAnsi="Arial"/>
          <w:sz w:val="16"/>
          <w:szCs w:val="16"/>
          <w:color w:val="auto"/>
        </w:rPr>
        <w:t>will serve as our Chief Operating Officer commencing upon the effectiveness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of which this prospectus forms a part. Since December 2020, Mr Sheehan has been a Director of Ackrell SPAC Partners I Co. Since 1995, Mr. Sheehan has been an attorney licensed in the State of California. Since 2004, Mr. Sheehan has been the founder and managing partner of Silicon Valley Wealth Law, a law firm specializing in estate planning, tax planning, business planning, and special needs planning. Mr. Sheehan has designed and drafted over 1,000 estate plans for clients throughout Silicon Valley. Mr. Sheehan has expertise in handling federal and state income tax matters and disputes, in the formation and operation of business entities, and has provided strategic planning and technology enhancement guidance to new business ventures and established companies. Mr. Sheehan has senior management experience with companies in a range of industries, including computer-aided manufacturing, real estate development, health care, mining, and law. Mr. Sheehan has frequently consulted with venture capitalists to review and advise them about investment opportunities. From 2011 to 2013, Mr. Sheehan was Chief Executive Officer of North Star Resources, a provider of technology for the extraction and refining of precious and strategic metals. From 1996 to 2004, Mr. Sheehan was a partner in the law firm of Davidson, Sheehan &amp; Jewel. In 2010, Mr. Sheehan filed for personal bankruptcy under Chapter 13, which was completed in May 2014 with no debts being discharged. Mr. Sheehan graduated from St. Mary’s College of California with a Bachelor of Arts degree in Business Management with honors. Mr. Sheehan received his Juris Doctor from the University of San Francisco School of Law.</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b w:val="1"/>
          <w:bCs w:val="1"/>
          <w:color w:val="auto"/>
        </w:rPr>
        <w:t xml:space="preserve">Long Long </w:t>
      </w:r>
      <w:r>
        <w:rPr>
          <w:rFonts w:ascii="Arial" w:cs="Arial" w:eastAsia="Arial" w:hAnsi="Arial"/>
          <w:sz w:val="17"/>
          <w:szCs w:val="17"/>
          <w:color w:val="auto"/>
        </w:rPr>
        <w:t>has been our Chief Financial Officer since September 2020. Since August 2020, Mr. Long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Financial Officer of Global SPAC Partners Co. Since August 2019, Mr. Long has been the Chief Financial Officer of Ackrell SPAC Partners I Co. From 2017 to 2019, Mr. Long was Vice President of Twelve Seas Sponsors I LLC, sponsor of Twelve Seas Investment Company. From 2006 to 2016, Mr. Long worked for IBM in a variety of Corporate Finance, Audit, and Managerial roles, both within the US and internationally. From 2015 to 2016, Mr. Long served as Finance Controller for IBM China’s Consulting Business Unit and Sales Channels. From 2013 to 2014, Mr. Long served as the Strategy and Planning Manager for IBM China and, from January 2012 to December 2012, as a Senior Finance Analyst for IBM China. From 2010 to 2011, Mr. Long served as Internal Auditor for IBM’s Asia Pacific region and, from 2006 to 2009, as a financial analyst for IBM’s worldwide operations. Mr. Long graduated from Washington University in St. Louis with a Bachelor of Science and Business Administration degree, majoring in Finance and a Bachelor of Science degree, majoring in Electrical Engineering.</w:t>
      </w:r>
    </w:p>
    <w:p>
      <w:pPr>
        <w:spacing w:after="0" w:line="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b w:val="1"/>
          <w:bCs w:val="1"/>
          <w:color w:val="auto"/>
        </w:rPr>
        <w:t xml:space="preserve">Bryant B. Edwards </w:t>
      </w:r>
      <w:r>
        <w:rPr>
          <w:rFonts w:ascii="Arial" w:cs="Arial" w:eastAsia="Arial" w:hAnsi="Arial"/>
          <w:sz w:val="16"/>
          <w:szCs w:val="16"/>
          <w:color w:val="auto"/>
        </w:rPr>
        <w:t>will serve as a Director commencing upon the effectiveness of the registration statement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this prospectus forms a part. Since August 2020, Mr. Edwards has been the Chief Executive Officer and Director of Global SPAC Partners Co. From 2018 to 2019, Mr. Edwards was the Chief Operating Officer and Director of Twelve Seas, which consummated its initial business combination with BPGIC, Ltd. Mr. Edwards retired from Latham &amp; Watkins, a global law firm, in 2016, after a 35-year legal career. From 1981 to 2016, Mr. Edwards served as both a practicing corporate and securities attorney, as well as in various management roles building the Latham &amp; Watkins’ practices in Europe (from 2000 to 2008), the Middle East (from 2008 to 2012) and then East Asia (from 2012 to 2016). From 2004 to 2008, Mr. Edwards served as Chair of the European High Yield Association (EHYA) and helped establish the Gulf Bond &amp; Sukuk Association, the trade association representing the Arabian Gulf fixed income market (GBSA) and, from 2008 to 2012, served on its Steering Committee and as Chair of its Regulatory Committee. Additionally, from 2012 to 2016, Mr. Edwards served as Vice-Chair of the Credit Markets Committee of the Asia Securities &amp; Financial Markets Committee (ASIFMA). Mr. Edwards has served as a Board of Brooge Energy Limited (f.k.a. BPGIC Ltd), a petroleum and gas company located in the UAE, since 2020. Mr. Edwards graduated from Brigham Young University with a Bachelor of Arts degree and received his Juris Doctor from the University of Chicago Law School. We believe that Mr. Edwards is well-qualified to serve as a director of the company given his in-depth knowledge of corporate, securities and regulatory law.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b w:val="1"/>
          <w:bCs w:val="1"/>
          <w:color w:val="auto"/>
        </w:rPr>
        <w:t xml:space="preserve">Dr. Luc Julia </w:t>
      </w:r>
      <w:r>
        <w:rPr>
          <w:rFonts w:ascii="Arial" w:cs="Arial" w:eastAsia="Arial" w:hAnsi="Arial"/>
          <w:sz w:val="16"/>
          <w:szCs w:val="16"/>
          <w:color w:val="auto"/>
        </w:rPr>
        <w:t>will serve as a Director commencing upon the effectiveness of the registration statement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this prospectus forms a part. Since December 2012, Dr. Julia has been the CTO and Senior Vice President of Innovation for Samsung Electronics. From 2011 to 2012, Dr. Julia served as a Director of Siri at Apple and was a co-author of Siri’s core patents. From 2010 to 2011, Dr. Julia served as the Chief Technologist at Hewlett-Packard. From 2000 to 2010, Dr. Julia served as the Co-founder and Vice President of R&amp;D of BravoBrava!, a tech incubator focusing on new interfaces for education, multimodal and multimedia products. From 2004 to 2010, Dr. Julia served as the CTO of ORB Networks, a start-up he co-founded that provided digital media streaming solutions for digital home and remote access applications. From 2001 to 2008, Dr. Julia served as the CTO of SpeaK ESL, a company he co-founded which leveraged speech recognition and web technologies to help non-native speakers to practice and improve their English. From 2000 to 2007, Dr. Julia served as the Vice President of R&amp;D of Soliloquy Learning, a company he co-founded which pioneered the Reading Assistant that combines advanced speech recognition technology with science-based interventions to help children strengthen their reading fluency, vocabulary, and comprehension. From 1994 to 2000, Dr. Julia served in several research roles at SRI International, an independent, non-profit research institute, during which time Dr. Julia co-founded Nuance Communications, now a multi-national software corporation focused on speech recognition and artificial intelligence. Dr. Julia received his Ph.D. in Computer Science at the Ecole Nationale Supérieure des Télécommunications de Paris. Dr. Julia graduated from the University Pierre et Marie Curie in Paris with a Bachelor of Science degree and a Master of Science degree in Mathematics and Computer Science. Dr. Julia is the recipient of Légion d’Honneur, the highest order of France, and is a member of France’s National Academy of Technologies. Dr. Julia is also the author of the bestselling book “There is no such thing as Artificial Intelligence” and holds dozens of patents. We believe that Dr. Julia is well-qualified to serve as a director of the company given his vast experience and significant accomplishments in the technology industry.</w:t>
      </w:r>
    </w:p>
    <w:p>
      <w:pPr>
        <w:spacing w:after="0" w:line="11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color w:val="auto"/>
        </w:rPr>
        <w:t xml:space="preserve">Rajan P. Pai </w:t>
      </w:r>
      <w:r>
        <w:rPr>
          <w:rFonts w:ascii="Arial" w:cs="Arial" w:eastAsia="Arial" w:hAnsi="Arial"/>
          <w:sz w:val="16"/>
          <w:szCs w:val="16"/>
          <w:color w:val="auto"/>
        </w:rPr>
        <w:t>will serve as a Director commencing upon the effectiveness of the registration statement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this prospectus forms a part. Since 2015, Mr. Pai has been the Vice President of System Applications at Credo, leading the development of high-performance transceiver solutions for service providers, datacenters and enterprise segments. From 1997 to 2015, Mr. Pai served in various engineering, sales and marketing roles at Marvell Semiconductor, Inc., including as the General Manager managing the storage business unit that offered system-on-chip (SOC) solutions for disk drive &amp; solid-state drive applications; Mr. Pai worked closely with finance, operational and M&amp;A teams during this time to successfully grow the division into a billion-dollar business. Prior to 1997, Mr. Pai served as an engineer at Texas Instruments, designing and developing PRML detectors for read channels. Mr. Pai graduated from the University of California, Irvine with a Bachelor of Science, majoring in Electrical &amp; Computer Engineering with a specialization in Systems &amp; Signal Processing. We believe that Mr. Pai is well-qualified to serve as a director of the company given his extensive engineering background and significant financial experience in a public company.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Advisor</w:t>
      </w:r>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b w:val="1"/>
          <w:bCs w:val="1"/>
          <w:color w:val="auto"/>
        </w:rPr>
        <w:t xml:space="preserve">Brent Callinicos </w:t>
      </w:r>
      <w:r>
        <w:rPr>
          <w:rFonts w:ascii="Arial" w:cs="Arial" w:eastAsia="Arial" w:hAnsi="Arial"/>
          <w:sz w:val="17"/>
          <w:szCs w:val="17"/>
          <w:color w:val="auto"/>
        </w:rPr>
        <w:t>has been our special advisor since January 2021. Mr. Callinicos is currently an angel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active in investing in early-stage technology companies. From 2017 to 2018, Mr. Callinicos served as the Chief Operating Officer and Chief Financial Officer of Virgin Hyperloop One. From 2013 to 2015, Mr. Callinicos served as the Chief Financial Officer of Uber Technologies Inc. From 2007 to 2013, Mr. Callinicos worked at Google Inc., including as Vice President, Treasurer and Chief Accountant. From 1992 to 2007, Mr. Callinicos worked at Microsoft Corporation, including as Treasurer, Vice President of Worldwide Licensing and Pricing, and CFO of the Platforms and Services Division. Mr. Callinicos is on the board of directors of several companies including PVH Corp, a fashion &amp; apparel company and Rubicon Technologies, a private company. Mr. Callinicos has a Bachelor of Business Administration and an MBA from UNC Chapel Hill and is a Certified Public Accountant.</w:t>
      </w:r>
    </w:p>
    <w:p>
      <w:pPr>
        <w:spacing w:after="0" w:line="113" w:lineRule="exact"/>
        <w:rPr>
          <w:sz w:val="20"/>
          <w:szCs w:val="20"/>
          <w:color w:val="auto"/>
        </w:rPr>
      </w:pPr>
    </w:p>
    <w:p>
      <w:pPr>
        <w:jc w:val="both"/>
        <w:ind w:left="460" w:right="479"/>
        <w:spacing w:after="0" w:line="291" w:lineRule="auto"/>
        <w:rPr>
          <w:sz w:val="20"/>
          <w:szCs w:val="20"/>
          <w:color w:val="auto"/>
        </w:rPr>
      </w:pPr>
      <w:r>
        <w:rPr>
          <w:rFonts w:ascii="Arial" w:cs="Arial" w:eastAsia="Arial" w:hAnsi="Arial"/>
          <w:sz w:val="16"/>
          <w:szCs w:val="16"/>
          <w:color w:val="auto"/>
        </w:rPr>
        <w:t>We currently expect our special advisor to (i) assist us in sourcing and negotiating with potential business combination targets, (ii) provide business insights when we assess potential business combination targets and</w:t>
      </w:r>
    </w:p>
    <w:p>
      <w:pPr>
        <w:jc w:val="both"/>
        <w:ind w:left="460" w:right="459" w:hanging="6"/>
        <w:spacing w:after="0" w:line="270" w:lineRule="auto"/>
        <w:tabs>
          <w:tab w:leader="none" w:pos="782"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our request, provide business insights as we work to create additional value in the businesses that we acquire. However, we have no formal agreement with our special advisor and he will not be under any fiduciary obligations to us. He will not perform board or committee functions, nor will he have any voting or decision-making capacity on our behalf. Additionally, our special advisor has no other employment or compensation arrangements with us. Moreover, our special advisor will also not be required to devote any specific amount of time to our efforts. Accordingly, if our advisor becomes aware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of a business combination opportunity which is suitable for any of the entities to which he has fiduciary or contractual obligations, he will honor such fiduciary or contractual obligations to present such business combination opportunity to such entity, and only present it to us if such entity rejects the opportunity. We may modify or expand our roster of advisors as we source potential business combination targets or create value in businesses that we may acquire.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Prior Experience with Blank Check Companies</w:t>
      </w:r>
    </w:p>
    <w:p>
      <w:pPr>
        <w:spacing w:after="0" w:line="16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Stephen N. Cannon has been an executive officer of Ackrell SPAC Partners I Co. since 2019, most recently serving as the Chief Operating Officer and President. Mr. Cannon was, from 2017 to 2019,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w:t>
      </w:r>
    </w:p>
    <w:p>
      <w:pPr>
        <w:spacing w:after="0" w:line="10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Long Long has been the Chief Financial Officer of Ackrell SPAC Partners I Co. since 2019. Mr. Long was, from 2017 to 2019, the Vice President of Twelve Seas Sponsors I LLC, sponsor of Twelve Seas Investment Company.</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Bryant B. Edwards was, from 2018 to 2019, the Chief Operating Officer and Director of Twelve Seas Investment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 executive officer has received any cash compensation for services rendered to us. Commencing on the date of this prospectus through the acquisition of a target business, we will pay an affiliate of our Chief Executive Officer an aggregate fee of $10,000 per month for providing us with office space and certain office and secretarial services. However, this arrangement is solely for our benefit and is not intended to provide our Chief Executive Officer compensation in lieu of a salary.</w:t>
      </w:r>
    </w:p>
    <w:p>
      <w:pPr>
        <w:spacing w:after="0" w:line="12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Other than the $10,000 per month administrative fee and repayment of the loans made by our sponsor to us, no compensation or fees of any kind, including finder’s, consulting fees and other similar fees, will be paid to our sponsor, initial stockholders, members of our management team or their respective affiliates, for services rendered prior to or in connection with the consummation of our initial business combination (regardless of the type of transaction that it is). However, our officers and directors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9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However, the amount of such compensation may not be known at the time of the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or a periodic report, as required by the SEC.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Currently Messrs. Ball, Edwards, Julia and Pai would each be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pacing w:after="0" w:line="12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independent directors will have regularly scheduled meetings at which only independent directors are present.</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Any affiliated transactions will be on terms no less favorable to us than could be obtained from independent parties. Our board of directors will review and approve all affiliated transactions with any interested director abstaining from such review and approval.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Effective upon the date of this prospectus, we will establish an audit committee of the board of directors, which will consist of Messrs. Ball, Edwards and Pai, each of whom is an independent director under Nasdaq’s listing standards. The audit committee’s duties, which are specified in our Audit Committee Charter, include, but are not limited to:</w:t>
      </w:r>
    </w:p>
    <w:p>
      <w:pPr>
        <w:spacing w:after="0" w:line="119" w:lineRule="exact"/>
        <w:rPr>
          <w:sz w:val="20"/>
          <w:szCs w:val="20"/>
          <w:color w:val="auto"/>
        </w:rPr>
      </w:pPr>
    </w:p>
    <w:p>
      <w:pPr>
        <w:jc w:val="both"/>
        <w:ind w:left="1320" w:right="479" w:hanging="434"/>
        <w:spacing w:after="0" w:line="263"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65" w:lineRule="exact"/>
        <w:rPr>
          <w:rFonts w:ascii="Arial" w:cs="Arial" w:eastAsia="Arial" w:hAnsi="Arial"/>
          <w:sz w:val="17"/>
          <w:szCs w:val="17"/>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57"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7"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Ball and Mr. Edwards each qualifies as an “audit committee financial expert,” as defined under rules and regulations of the SEC.</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Committee</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Effective upon the date of this prospectus, we will establish a nominating committee of the board of directors, which will consist of Messrs. Ball, Edwards and Pai. Messrs. Ball, Edwards and Pai are each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Committee Charter, generally provide that persons to be nominated:</w:t>
      </w:r>
    </w:p>
    <w:p>
      <w:pPr>
        <w:spacing w:after="0" w:line="89" w:lineRule="exact"/>
        <w:rPr>
          <w:sz w:val="20"/>
          <w:szCs w:val="20"/>
          <w:color w:val="auto"/>
        </w:rPr>
      </w:pPr>
    </w:p>
    <w:p>
      <w:pPr>
        <w:ind w:left="1320" w:right="479" w:hanging="434"/>
        <w:spacing w:after="0" w:line="277" w:lineRule="auto"/>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Effective upon the date of this prospectus, we will establish a compensation committee of the board of directors, which will consist of Messrs. Ball and Edwards, each of whom is an independent director under Nasdaq’s listing standards. The compensation committee’s duties, which are specified in our Compensation Committee Charter, include, but are not limited to:</w:t>
      </w:r>
    </w:p>
    <w:p>
      <w:pPr>
        <w:spacing w:after="0" w:line="119" w:lineRule="exact"/>
        <w:rPr>
          <w:sz w:val="20"/>
          <w:szCs w:val="20"/>
          <w:color w:val="auto"/>
        </w:rPr>
      </w:pPr>
    </w:p>
    <w:p>
      <w:pPr>
        <w:jc w:val="both"/>
        <w:ind w:left="1320" w:right="459" w:hanging="434"/>
        <w:spacing w:after="0" w:line="259" w:lineRule="auto"/>
        <w:tabs>
          <w:tab w:leader="none" w:pos="1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05" w:lineRule="exact"/>
        <w:rPr>
          <w:rFonts w:ascii="Arial" w:cs="Arial" w:eastAsia="Arial" w:hAnsi="Arial"/>
          <w:sz w:val="18"/>
          <w:szCs w:val="18"/>
          <w:color w:val="auto"/>
        </w:rPr>
      </w:pPr>
    </w:p>
    <w:p>
      <w:pPr>
        <w:ind w:left="1300" w:hanging="41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55"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3" w:lineRule="exact"/>
        <w:rPr>
          <w:sz w:val="20"/>
          <w:szCs w:val="20"/>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amended and restated certificate of incorporation provides that:</w:t>
      </w:r>
    </w:p>
    <w:p>
      <w:pPr>
        <w:spacing w:after="0" w:line="158" w:lineRule="exact"/>
        <w:rPr>
          <w:sz w:val="20"/>
          <w:szCs w:val="20"/>
          <w:color w:val="auto"/>
        </w:rPr>
      </w:pPr>
    </w:p>
    <w:p>
      <w:pPr>
        <w:jc w:val="both"/>
        <w:ind w:left="1320" w:right="459" w:hanging="434"/>
        <w:spacing w:after="0" w:line="259" w:lineRule="auto"/>
        <w:tabs>
          <w:tab w:leader="none" w:pos="14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renounce any interest or expectancy in, or being offered an opportunity to participate in, any business opportunities that are presented to us or our officers, directors or stockholders or affiliates thereof, including but not limited to, our sponsor and its affiliates, except as may be prescribed by any written agreement with us; and</w:t>
      </w:r>
    </w:p>
    <w:p>
      <w:pPr>
        <w:spacing w:after="0" w:line="105"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officers and directors will not be liable to our company or our stockholders for monetary damages for breach of any fiduciary duty by reason of any of our activities or any of our sponsor or its affiliates to the fullest extent permitted by Delaware law.</w:t>
      </w:r>
    </w:p>
    <w:p>
      <w:pPr>
        <w:spacing w:after="0" w:line="11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officers and directors are, and may in the future become, affiliated with other companies. In order to minimize potential conflicts of interest which may arise from such other corporate affiliations, each of our officers and directors has contractually agreed, pursuant to a written agreement with us, until the earliest of our execution of a definitive agreement for a business combination, our liquidation or such time as he ceases to be an officer or director, to present to our company for our consideration, prior to presentation to any other entity, any suitable business opportunity which may reasonably be required to be presented to us, subject to any pre-existing fiduciary or contractual obligations he might have. The following table summarizes the relevant pre-existing fiduciary or contractual obligations of our officers and directors besides our sponsor:</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Name of Individual </w:t>
            </w:r>
            <w:r>
              <w:rPr>
                <w:rFonts w:ascii="Arial" w:cs="Arial" w:eastAsia="Arial" w:hAnsi="Arial"/>
                <w:sz w:val="18"/>
                <w:szCs w:val="18"/>
                <w:b w:val="1"/>
                <w:bCs w:val="1"/>
                <w:color w:val="auto"/>
                <w:vertAlign w:val="superscript"/>
              </w:rPr>
              <w:t>(1)</w:t>
            </w:r>
          </w:p>
        </w:tc>
        <w:tc>
          <w:tcPr>
            <w:tcW w:w="5100" w:type="dxa"/>
            <w:vAlign w:val="bottom"/>
          </w:tcPr>
          <w:p>
            <w:pPr>
              <w:ind w:left="1260"/>
              <w:spacing w:after="0"/>
              <w:rPr>
                <w:sz w:val="20"/>
                <w:szCs w:val="20"/>
                <w:color w:val="auto"/>
              </w:rPr>
            </w:pPr>
            <w:r>
              <w:rPr>
                <w:rFonts w:ascii="Arial" w:cs="Arial" w:eastAsia="Arial" w:hAnsi="Arial"/>
                <w:sz w:val="16"/>
                <w:szCs w:val="16"/>
                <w:b w:val="1"/>
                <w:bCs w:val="1"/>
                <w:color w:val="auto"/>
              </w:rPr>
              <w:t>Role in and Name of Affiliated Entity</w:t>
            </w:r>
          </w:p>
        </w:tc>
      </w:tr>
      <w:tr>
        <w:trPr>
          <w:trHeight w:val="275"/>
        </w:trPr>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Eric R. Ball</w:t>
            </w:r>
          </w:p>
        </w:tc>
        <w:tc>
          <w:tcPr>
            <w:tcW w:w="100" w:type="dxa"/>
            <w:vAlign w:val="bottom"/>
          </w:tcPr>
          <w:p>
            <w:pPr>
              <w:spacing w:after="0"/>
              <w:rPr>
                <w:sz w:val="23"/>
                <w:szCs w:val="23"/>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General Partner of Impact Venture Capital</w:t>
            </w:r>
            <w:r>
              <w:rPr>
                <w:rFonts w:ascii="Arial" w:cs="Arial" w:eastAsia="Arial" w:hAnsi="Arial"/>
                <w:sz w:val="20"/>
                <w:szCs w:val="20"/>
                <w:b w:val="1"/>
                <w:bCs w:val="1"/>
                <w:color w:val="auto"/>
                <w:vertAlign w:val="superscript"/>
              </w:rPr>
              <w:t>(2)</w:t>
            </w:r>
          </w:p>
        </w:tc>
      </w:tr>
      <w:tr>
        <w:trPr>
          <w:trHeight w:val="236"/>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and Audit Chair of Glu Mobile Inc</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5100" w:type="dxa"/>
            <w:vAlign w:val="bottom"/>
          </w:tcPr>
          <w:p>
            <w:pPr>
              <w:spacing w:after="0"/>
              <w:rPr>
                <w:sz w:val="20"/>
                <w:szCs w:val="20"/>
                <w:color w:val="auto"/>
              </w:rPr>
            </w:pPr>
            <w:r>
              <w:rPr>
                <w:rFonts w:ascii="Arial" w:cs="Arial" w:eastAsia="Arial" w:hAnsi="Arial"/>
                <w:sz w:val="18"/>
                <w:szCs w:val="18"/>
                <w:color w:val="auto"/>
                <w:w w:val="92"/>
              </w:rPr>
              <w:t>Chief Operating Officer and President of Ackrell SPAC Partners I Co.</w:t>
            </w:r>
          </w:p>
        </w:tc>
      </w:tr>
      <w:tr>
        <w:trPr>
          <w:trHeight w:val="284"/>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of Everest Partners Limited</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Daniel L. Sheehan</w:t>
            </w:r>
          </w:p>
        </w:tc>
        <w:tc>
          <w:tcPr>
            <w:tcW w:w="5100" w:type="dxa"/>
            <w:vAlign w:val="bottom"/>
          </w:tcPr>
          <w:p>
            <w:pPr>
              <w:spacing w:after="0"/>
              <w:rPr>
                <w:sz w:val="20"/>
                <w:szCs w:val="20"/>
                <w:color w:val="auto"/>
              </w:rPr>
            </w:pPr>
            <w:r>
              <w:rPr>
                <w:rFonts w:ascii="Arial" w:cs="Arial" w:eastAsia="Arial" w:hAnsi="Arial"/>
                <w:sz w:val="18"/>
                <w:szCs w:val="18"/>
                <w:color w:val="auto"/>
              </w:rPr>
              <w:t>Managing Partner of Silicon Valley Wealth Law</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5100" w:type="dxa"/>
            <w:vAlign w:val="bottom"/>
          </w:tcPr>
          <w:p>
            <w:pPr>
              <w:spacing w:after="0"/>
              <w:rPr>
                <w:sz w:val="20"/>
                <w:szCs w:val="20"/>
                <w:color w:val="auto"/>
              </w:rPr>
            </w:pPr>
            <w:r>
              <w:rPr>
                <w:rFonts w:ascii="Arial" w:cs="Arial" w:eastAsia="Arial" w:hAnsi="Arial"/>
                <w:sz w:val="18"/>
                <w:szCs w:val="18"/>
                <w:color w:val="auto"/>
                <w:w w:val="93"/>
              </w:rPr>
              <w:t>Chief Financial Officer and President of Ackrell SPAC Partners I Co.</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Luc Julia</w:t>
            </w:r>
          </w:p>
        </w:tc>
        <w:tc>
          <w:tcPr>
            <w:tcW w:w="5100" w:type="dxa"/>
            <w:vAlign w:val="bottom"/>
          </w:tcPr>
          <w:p>
            <w:pPr>
              <w:spacing w:after="0"/>
              <w:rPr>
                <w:sz w:val="20"/>
                <w:szCs w:val="20"/>
                <w:color w:val="auto"/>
              </w:rPr>
            </w:pPr>
            <w:r>
              <w:rPr>
                <w:rFonts w:ascii="Arial" w:cs="Arial" w:eastAsia="Arial" w:hAnsi="Arial"/>
                <w:sz w:val="18"/>
                <w:szCs w:val="18"/>
                <w:color w:val="auto"/>
                <w:w w:val="90"/>
              </w:rPr>
              <w:t>CTO and Senior Vice President of Innovation for Samsung Electronics</w:t>
            </w:r>
          </w:p>
        </w:tc>
      </w:tr>
      <w:tr>
        <w:trPr>
          <w:trHeight w:val="291"/>
        </w:trPr>
        <w:tc>
          <w:tcPr>
            <w:tcW w:w="290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pacing w:after="0" w:line="91" w:lineRule="exact"/>
        <w:rPr>
          <w:sz w:val="20"/>
          <w:szCs w:val="20"/>
          <w:color w:val="auto"/>
        </w:rPr>
      </w:pPr>
    </w:p>
    <w:p>
      <w:pPr>
        <w:jc w:val="both"/>
        <w:ind w:left="880" w:right="459" w:hanging="426"/>
        <w:spacing w:after="0" w:line="273" w:lineRule="auto"/>
        <w:tabs>
          <w:tab w:leader="none" w:pos="10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of the entities listed in this table may have competitive interests with our company with respect to the performance by each individual listed in this table of his or her obligations. Each individual listed, has a prior fiduciary duty with respect to each of the listed entities, including possibly the presentation by each such individual of business opportunities.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both"/>
        <w:ind w:left="880" w:right="459" w:hanging="426"/>
        <w:spacing w:after="0" w:line="292" w:lineRule="auto"/>
        <w:tabs>
          <w:tab w:leader="none" w:pos="945" w:val="left"/>
        </w:tabs>
        <w:numPr>
          <w:ilvl w:val="0"/>
          <w:numId w:val="46"/>
        </w:numPr>
        <w:rPr>
          <w:rFonts w:ascii="Arial" w:cs="Arial" w:eastAsia="Arial" w:hAnsi="Arial"/>
          <w:sz w:val="15"/>
          <w:szCs w:val="15"/>
          <w:color w:val="auto"/>
        </w:rPr>
      </w:pPr>
      <w:r>
        <w:rPr>
          <w:rFonts w:ascii="Arial" w:cs="Arial" w:eastAsia="Arial" w:hAnsi="Arial"/>
          <w:sz w:val="15"/>
          <w:szCs w:val="15"/>
          <w:color w:val="auto"/>
        </w:rPr>
        <w:t>Dr. Ball is a co-founder and General Partner of Impact Venture Capital, a venture capital investment fund, and is a member of the boards of directors of various private companies. We do not anticipate that such companies will be of an appropriate size for our initial business combination, nor do we believe that his role as a director of these companies will conflict with his ability to represent us in our search for an initial business combination target.</w:t>
      </w:r>
    </w:p>
    <w:p>
      <w:pPr>
        <w:spacing w:after="0" w:line="9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addition, our amended and restated certificate of incorporation provides that our company renounce its interest in a potential business combination offered to any director or officer, unless such opportunity is expressly offered to our director or officer solely in his or her capacity as a director or officer of our company and such opportunity is one we are legally and contractually permitted to undertake and would otherwise be reasonable for us to pursue.</w:t>
      </w:r>
    </w:p>
    <w:p>
      <w:pPr>
        <w:spacing w:after="0" w:line="12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officers and directors may during that time become affiliated with entities that are engaged in a similar business, including another blank check company that may have acquisition objectives that are similar to ours. In particular, Messrs. Cannon, Long and Edwards currently serve as Chief Operating Officer and President, Chief Financial Officer, and Chief Executive Officer and Director, respectively,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also be aware of the following additional potential conflicts of interest:</w:t>
      </w:r>
    </w:p>
    <w:p>
      <w:pPr>
        <w:spacing w:after="0" w:line="144" w:lineRule="exact"/>
        <w:rPr>
          <w:sz w:val="20"/>
          <w:szCs w:val="20"/>
          <w:color w:val="auto"/>
        </w:rPr>
      </w:pPr>
    </w:p>
    <w:p>
      <w:pPr>
        <w:jc w:val="both"/>
        <w:ind w:left="1320" w:right="479" w:hanging="434"/>
        <w:spacing w:after="0" w:line="263" w:lineRule="auto"/>
        <w:tabs>
          <w:tab w:leader="none" w:pos="15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16" w:lineRule="exact"/>
        <w:rPr>
          <w:rFonts w:ascii="Arial" w:cs="Arial" w:eastAsia="Arial" w:hAnsi="Arial"/>
          <w:sz w:val="18"/>
          <w:szCs w:val="18"/>
          <w:color w:val="auto"/>
        </w:rPr>
      </w:pPr>
    </w:p>
    <w:p>
      <w:pPr>
        <w:jc w:val="both"/>
        <w:ind w:left="1320" w:right="479" w:hanging="434"/>
        <w:spacing w:after="0" w:line="301" w:lineRule="auto"/>
        <w:tabs>
          <w:tab w:leader="none" w:pos="13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sponsor will not receive reimbursement or repayment for any out-of-pocket expenses incurred by them, or loans made to us, to the extent that such expenses exceed the amount of available proceeds not deposited in the trust account or interest earned on the trust account funds that are available to us.</w:t>
      </w:r>
    </w:p>
    <w:p>
      <w:pPr>
        <w:spacing w:after="0" w:line="89" w:lineRule="exact"/>
        <w:rPr>
          <w:rFonts w:ascii="Arial" w:cs="Arial" w:eastAsia="Arial" w:hAnsi="Arial"/>
          <w:sz w:val="16"/>
          <w:szCs w:val="16"/>
          <w:color w:val="auto"/>
        </w:rPr>
      </w:pPr>
    </w:p>
    <w:p>
      <w:pPr>
        <w:jc w:val="both"/>
        <w:ind w:left="1320" w:right="459" w:hanging="434"/>
        <w:spacing w:after="0" w:line="270" w:lineRule="auto"/>
        <w:tabs>
          <w:tab w:leader="none" w:pos="131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founder shares beneficially owned by our initial stockholders will be released from escrow only if a business combination is successfully completed, and the private units purchased by it, and any warrants which our officers or directors may purchase in the aftermarket will expire worthless if a business combination is not consummated. Additionally, our officers and directors and affiliates will not receive liquidation distributions from the trust account with respect to any of the founder shares or private subunits or shares. Furthermore, our sponsor has agreed that the private units will not be sold or transferred by it until after we have completed a business combination. For the foregoing reasons, our board may have a conflict of interest in determining whether a particular target business is appropriate to effect a business combination with.</w:t>
      </w:r>
    </w:p>
    <w:p>
      <w:pPr>
        <w:spacing w:after="0" w:line="10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officers, directors, sponsor or initial stockholders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0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Other than the $10,000 per month administrative fee and repayment of the loans made by our sponsor to us, no compensation or fees of any kind, including finder’s, consulting fees and other similar fees, will be paid to our sponsor, initial stockholders, members of our management team or their respective affiliates, for services rendered prior to or in connection with the consummation of our initial business combination (regardless of the type of transaction that it is). However, our officers and directors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and in the private units (assuming none of the individuals listed purchase units in this offering), by:</w:t>
      </w:r>
    </w:p>
    <w:p>
      <w:pPr>
        <w:spacing w:after="0" w:line="119" w:lineRule="exact"/>
        <w:rPr>
          <w:sz w:val="20"/>
          <w:szCs w:val="20"/>
          <w:color w:val="auto"/>
        </w:rPr>
      </w:pPr>
    </w:p>
    <w:p>
      <w:pPr>
        <w:ind w:left="1320" w:right="479" w:hanging="434"/>
        <w:spacing w:after="0" w:line="277" w:lineRule="auto"/>
        <w:tabs>
          <w:tab w:leader="none" w:pos="13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5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offered by this prospectus or the private warrants as these warrants are not exercisable within 60 days of the date of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4"/>
          </w:tcPr>
          <w:p>
            <w:pPr>
              <w:ind w:left="600"/>
              <w:spacing w:after="0"/>
              <w:rPr>
                <w:sz w:val="20"/>
                <w:szCs w:val="20"/>
                <w:color w:val="auto"/>
              </w:rPr>
            </w:pPr>
            <w:r>
              <w:rPr>
                <w:rFonts w:ascii="Arial" w:cs="Arial" w:eastAsia="Arial" w:hAnsi="Arial"/>
                <w:sz w:val="16"/>
                <w:szCs w:val="16"/>
                <w:b w:val="1"/>
                <w:bCs w:val="1"/>
                <w:color w:val="auto"/>
              </w:rPr>
              <w:t>Prior to Offering</w:t>
            </w:r>
          </w:p>
        </w:tc>
        <w:tc>
          <w:tcPr>
            <w:tcW w:w="25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After Offering</w:t>
            </w:r>
            <w:r>
              <w:rPr>
                <w:rFonts w:ascii="Arial" w:cs="Arial" w:eastAsia="Arial" w:hAnsi="Arial"/>
                <w:sz w:val="18"/>
                <w:szCs w:val="18"/>
                <w:b w:val="1"/>
                <w:bCs w:val="1"/>
                <w:color w:val="auto"/>
                <w:vertAlign w:val="superscript"/>
              </w:rPr>
              <w:t>(2)</w:t>
            </w:r>
          </w:p>
        </w:tc>
      </w:tr>
      <w:tr>
        <w:trPr>
          <w:trHeight w:val="189"/>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 and</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Percentage of</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 and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Nature of</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Nature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Beneficial</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of</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Beneficial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53"/>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w w:val="98"/>
              </w:rPr>
              <w:t>Name and Address of Beneficial Owner</w:t>
            </w:r>
            <w:r>
              <w:rPr>
                <w:rFonts w:ascii="Arial" w:cs="Arial" w:eastAsia="Arial" w:hAnsi="Arial"/>
                <w:sz w:val="18"/>
                <w:szCs w:val="18"/>
                <w:b w:val="1"/>
                <w:bCs w:val="1"/>
                <w:color w:val="auto"/>
                <w:w w:val="98"/>
                <w:vertAlign w:val="superscript"/>
              </w:rPr>
              <w:t>(1)</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Common Stock</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Ownership</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w:t>
            </w:r>
          </w:p>
        </w:tc>
      </w:tr>
      <w:tr>
        <w:trPr>
          <w:trHeight w:val="268"/>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R. Ball</w:t>
            </w:r>
            <w:r>
              <w:rPr>
                <w:rFonts w:ascii="Arial" w:cs="Arial" w:eastAsia="Arial" w:hAnsi="Arial"/>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Stephen N. Cannon</w:t>
            </w:r>
            <w:r>
              <w:rPr>
                <w:rFonts w:ascii="Arial" w:cs="Arial" w:eastAsia="Arial" w:hAnsi="Arial"/>
                <w:sz w:val="20"/>
                <w:szCs w:val="20"/>
                <w:color w:val="auto"/>
                <w:vertAlign w:val="superscript"/>
              </w:rPr>
              <w:t>(4)</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2,800,000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2,725,000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Sheehan</w:t>
            </w:r>
            <w:r>
              <w:rPr>
                <w:rFonts w:ascii="Arial" w:cs="Arial" w:eastAsia="Arial" w:hAnsi="Arial"/>
                <w:sz w:val="20"/>
                <w:szCs w:val="20"/>
                <w:color w:val="auto"/>
                <w:vertAlign w:val="superscript"/>
              </w:rPr>
              <w:t>(3)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Long Long</w:t>
            </w:r>
            <w:r>
              <w:rPr>
                <w:rFonts w:ascii="Arial" w:cs="Arial" w:eastAsia="Arial" w:hAnsi="Arial"/>
                <w:sz w:val="20"/>
                <w:szCs w:val="20"/>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Bryant B. Edwards</w:t>
            </w:r>
            <w:r>
              <w:rPr>
                <w:rFonts w:ascii="Arial" w:cs="Arial" w:eastAsia="Arial" w:hAnsi="Arial"/>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Luc Julia</w:t>
            </w:r>
            <w:r>
              <w:rPr>
                <w:rFonts w:ascii="Arial" w:cs="Arial" w:eastAsia="Arial" w:hAnsi="Arial"/>
                <w:sz w:val="20"/>
                <w:szCs w:val="20"/>
                <w:color w:val="auto"/>
                <w:vertAlign w:val="superscript"/>
              </w:rPr>
              <w:t>(3)</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4"/>
                <w:szCs w:val="24"/>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r>
              <w:rPr>
                <w:rFonts w:ascii="Arial" w:cs="Arial" w:eastAsia="Arial" w:hAnsi="Arial"/>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tcPr>
          <w:p>
            <w:pPr>
              <w:spacing w:after="0"/>
              <w:rPr>
                <w:sz w:val="20"/>
                <w:szCs w:val="20"/>
                <w:color w:val="auto"/>
              </w:rPr>
            </w:pPr>
            <w:r>
              <w:rPr>
                <w:rFonts w:ascii="Arial" w:cs="Arial" w:eastAsia="Arial" w:hAnsi="Arial"/>
                <w:sz w:val="18"/>
                <w:szCs w:val="18"/>
                <w:color w:val="auto"/>
                <w:w w:val="93"/>
              </w:rPr>
              <w:t>Archimedes Tech SPAC Sponsors LLC</w:t>
            </w:r>
            <w:r>
              <w:rPr>
                <w:rFonts w:ascii="Arial" w:cs="Arial" w:eastAsia="Arial" w:hAnsi="Arial"/>
                <w:sz w:val="20"/>
                <w:szCs w:val="20"/>
                <w:color w:val="auto"/>
                <w:w w:val="93"/>
                <w:vertAlign w:val="superscript"/>
              </w:rPr>
              <w:t>(4)</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2,800,000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2,725,000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6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350,000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All directors and executive officers as a</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8"/>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group (seven individuals)</w:t>
            </w:r>
          </w:p>
        </w:tc>
        <w:tc>
          <w:tcPr>
            <w:tcW w:w="1140" w:type="dxa"/>
            <w:vAlign w:val="bottom"/>
          </w:tcPr>
          <w:p>
            <w:pPr>
              <w:jc w:val="right"/>
              <w:spacing w:after="0"/>
              <w:rPr>
                <w:sz w:val="20"/>
                <w:szCs w:val="20"/>
                <w:color w:val="auto"/>
              </w:rPr>
            </w:pPr>
            <w:r>
              <w:rPr>
                <w:rFonts w:ascii="Arial" w:cs="Arial" w:eastAsia="Arial" w:hAnsi="Arial"/>
                <w:sz w:val="18"/>
                <w:szCs w:val="18"/>
                <w:color w:val="auto"/>
              </w:rPr>
              <w:t>2,875,000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2,800,000</w:t>
            </w:r>
            <w:r>
              <w:rPr>
                <w:rFonts w:ascii="Arial" w:cs="Arial" w:eastAsia="Arial" w:hAnsi="Arial"/>
                <w:sz w:val="20"/>
                <w:szCs w:val="20"/>
                <w:color w:val="auto"/>
                <w:vertAlign w:val="superscript"/>
              </w:rPr>
              <w:t>(4)</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jc w:val="both"/>
        <w:ind w:left="880" w:right="459" w:hanging="426"/>
        <w:spacing w:after="0" w:line="264" w:lineRule="auto"/>
        <w:tabs>
          <w:tab w:leader="none" w:pos="10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2093 Philadelphia Pike #1968, Claymont, DE 19703. The business address of EarlyBirdCapital, Inc. is 366 Madison Avenue, New York, New York 10017.</w:t>
      </w:r>
    </w:p>
    <w:p>
      <w:pPr>
        <w:ind w:left="880" w:right="479" w:hanging="426"/>
        <w:spacing w:after="0" w:line="264" w:lineRule="auto"/>
        <w:tabs>
          <w:tab w:leader="none" w:pos="9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Assumes no exercise of the over-allotment option and, therefore, the forfeiture of an aggregate of 375,000 shares of common stock.</w:t>
      </w:r>
    </w:p>
    <w:p>
      <w:pPr>
        <w:jc w:val="both"/>
        <w:ind w:left="880" w:right="479" w:hanging="426"/>
        <w:spacing w:after="0" w:line="264" w:lineRule="auto"/>
        <w:tabs>
          <w:tab w:leader="none" w:pos="9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Does not include any securities held by Archimedes Tech SPAC Sponsors LLC, of which each person is a direct or indirect member. Each such person disclaims beneficial ownership of the reported shares other than to the extent of his ultimate pecuniary interest therein.</w:t>
      </w:r>
    </w:p>
    <w:p>
      <w:pPr>
        <w:jc w:val="both"/>
        <w:ind w:left="880" w:right="479" w:hanging="426"/>
        <w:spacing w:after="0" w:line="276" w:lineRule="auto"/>
        <w:tabs>
          <w:tab w:leader="none" w:pos="9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securities held by Archimedes Tech SPAC Sponsors LLC, our sponsor, of which Stephen N. Cannon is sole managing member. Mr. Cannon disclaims beneficial ownership of the reported shares other than to the extent of his ultimate pecuniary interest therein.</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Immediately after this offering, our initial stockholders will beneficially own approximately 21.2% of the then issued and outstanding shares of common stock (assuming they do not purchase any units in this offering and assuming the over-allotment option is not exercised). None of our sponsor, officers, directors and initial stockholders has indicated to us that it or they intend to purchase our securities in the offering. Because of the ownership block held by our sponsor, officers, directors and initial stockholders,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an aggregate of 375,000 founder shares will be forfeited. Only a number of shares necessary to maintain the 20% ownership interest in our shares of common stock after giving effect to the offering and the exercise, if any, of the underwriters’ over-allotment option (not including the private units and representative shares and assuming they do not purchase any units in this offering) will be necessary.</w:t>
      </w:r>
    </w:p>
    <w:p>
      <w:pPr>
        <w:spacing w:after="0" w:line="12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All of the founder shares outstanding prior to the date of this prospectus will be placed in escrow with Continental Stock Transfer &amp; Trust Company, as escrow agent, until six months after the date of the consummation of our initial business combination or earlier if, subsequent to our initial business combination, we consummate a liquidation, merger, stock exchange or other similar transaction which results in all of our stockholders having the right to exchange their shares of common stock for cash, securities or other property. Up to 375,000 of the founder shares may also be released from escrow earlier than this date for cancellation if the over-allotment option is not exercised in full as described above.</w:t>
      </w:r>
    </w:p>
    <w:p>
      <w:pPr>
        <w:spacing w:after="0" w:line="110"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for transfers, assignments or sales (i) among our initial stockholders or to our initial stockholders’ members, officers, directors, consultants or their affiliates, (ii) to a holder’s stockholders or members upon its liquidation,</w:t>
      </w:r>
    </w:p>
    <w:p>
      <w:pPr>
        <w:spacing w:after="0" w:line="2" w:lineRule="exact"/>
        <w:rPr>
          <w:sz w:val="20"/>
          <w:szCs w:val="20"/>
          <w:color w:val="auto"/>
        </w:rPr>
      </w:pPr>
    </w:p>
    <w:p>
      <w:pPr>
        <w:jc w:val="both"/>
        <w:ind w:left="460" w:right="459" w:hanging="6"/>
        <w:spacing w:after="0" w:line="285" w:lineRule="auto"/>
        <w:tabs>
          <w:tab w:leader="none" w:pos="77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by bona fide gift to a member of the holder’s immediate family or to a trust, the beneficiary of which is the holder or a member of the holder’s immediate family,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there will be no liquidation distribution with respect to the founder shares.</w:t>
      </w:r>
    </w:p>
    <w:p>
      <w:pPr>
        <w:spacing w:after="0" w:line="9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6"/>
          <w:szCs w:val="16"/>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one-half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w:t>
      </w:r>
    </w:p>
    <w:p>
      <w:pPr>
        <w:spacing w:after="0" w:line="11" w:lineRule="exact"/>
        <w:rPr>
          <w:sz w:val="20"/>
          <w:szCs w:val="20"/>
          <w:color w:val="auto"/>
        </w:rPr>
      </w:pPr>
    </w:p>
    <w:p>
      <w:pPr>
        <w:jc w:val="both"/>
        <w:ind w:left="460" w:right="459" w:hanging="6"/>
        <w:spacing w:after="0" w:line="271" w:lineRule="auto"/>
        <w:tabs>
          <w:tab w:leader="none" w:pos="772"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1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1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our sponsor (and its managing member) are our “promoters,” as that term is defined under the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On January 4, 2021, we issued 2,875,000 shares of common stock to Archimedes Tech SPAC Sponsors LLC for $25,000, at a purchase price of approximately $0.009 per share, in connection with our formation, that include up to 375,000 shares subject to forfeiture to the extent that the underwriters’ over-allotment is not exercised in full or in part. On January 13, 2021, Archimedes Tech SPAC Sponsors LLC sold 25,000 founder shares to each of Mr. Edwards, Mr. Julia and Mr. Pai, for an aggregate of 75,000 founder shares, at the same price of approximately $0.009 per share.</w:t>
      </w:r>
    </w:p>
    <w:p>
      <w:pPr>
        <w:spacing w:after="0" w:line="1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January 13, 2021, we issued to EarlyBirdCapital and its designees an aggregate of 350,000 representative shares at $0.0001 per share.</w:t>
      </w:r>
    </w:p>
    <w:p>
      <w:pPr>
        <w:spacing w:after="0" w:line="103"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If the underwriters do not exercise all or a portion of their over-allotment option, our initial stockholders will forfeit up to an aggregate of 375,000 shares of common stock in proportion to the portion of the over-allotment option that was not exercised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9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initial stockholders’ ownership at a percentage of the number of shares to be sold in this offering.</w:t>
      </w:r>
    </w:p>
    <w:p>
      <w:pPr>
        <w:spacing w:after="0" w:line="11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one-half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purchase price for the sponsor’s private units will be delivered to an escrow account at least 24 hours prior to the closing of this offering and will be deposited into the trust account simultaneously with the consummation of the offering. The private units (and underlying private subunits, private shares and private warrants) are identical to the units (and underlying subunits, shares and warrants)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32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units (and underlying securities) and any units (and underlying securities) our sponsor, initial stockholders,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units and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Notwithstanding the foregoing, in compliance with FINRA Rule 5110(f)(2)(G), the 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0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 We intend to repay the loan from the proceeds of this offering not being placed in trust upon consummation of this offering.</w:t>
      </w:r>
    </w:p>
    <w:p>
      <w:pPr>
        <w:spacing w:after="0" w:line="12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SPAC Partners LLC, an affiliate of our Chief Executive Officer, Stephen N. Cannon, has agreed that, commencing on the effective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such entity $10,000 per month for these services</w:t>
      </w:r>
      <w:r>
        <w:rPr>
          <w:rFonts w:ascii="Arial" w:cs="Arial" w:eastAsia="Arial" w:hAnsi="Arial"/>
          <w:sz w:val="18"/>
          <w:szCs w:val="18"/>
          <w:b w:val="1"/>
          <w:bCs w:val="1"/>
          <w:color w:val="auto"/>
        </w:rPr>
        <w:t>.</w:t>
      </w:r>
      <w:r>
        <w:rPr>
          <w:rFonts w:ascii="Arial" w:cs="Arial" w:eastAsia="Arial" w:hAnsi="Arial"/>
          <w:sz w:val="18"/>
          <w:szCs w:val="18"/>
          <w:color w:val="auto"/>
        </w:rPr>
        <w:t xml:space="preserve"> We believe, based on rents and fees for similar services in other comparable areas, that the fee charged by such entity is at least as favorable as we could have obtained from an unaffiliated person.</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will also pay EarlyBirdCapital the 2.0% underwriting discount and 3.5% business combination marketing fee as described in the section titled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Other than the $10,000 per month administrative fee and repayment of the loans made by our sponsor to us, no compensation or fees of any kind, including finder’s, consulting fees and other similar fees, will be paid to our sponsor, initial stockholders, members of our management team or their respective affiliates, for services rendered prior to or in connection with the consummation of our initial business combination (regardless of the type of transaction that it is). However, our officers and directors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9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0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13"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79"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As of the date of this prospectus, we will be authorized to issue 30,000,000 shares of common stock, par value $0.0001, and 1,000,000 shares of preferred stock, par value $0.0001. Prior to this offering, 3,225,000 shares of common stock were outstanding. No shares of preferred stock are currently outstanding. The following description summarizes the material terms of our securities. Because it is only a summary, it may not contain all the information that is important to you. For a complete description you should refer to our amended and restated certificate of incorporation, bylaws and the form of warrant agreement, which are filed as exhibits to the registration statement of which this prospectus is a part, and to the applicable provisions of Delaware law.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 and Subunits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Unlike other blank check company offerings, we have structured our offering to be an offering of units that consist of one subunit (consisting of one share of common stock and one-quarter of a warrant) and one-half of a warrant. We have structured our offering in this fashion for two primary reasons:</w:t>
      </w:r>
    </w:p>
    <w:p>
      <w:pPr>
        <w:spacing w:after="0" w:line="116" w:lineRule="exact"/>
        <w:rPr>
          <w:sz w:val="20"/>
          <w:szCs w:val="20"/>
          <w:color w:val="auto"/>
        </w:rPr>
      </w:pPr>
    </w:p>
    <w:p>
      <w:pPr>
        <w:jc w:val="both"/>
        <w:ind w:left="1320" w:right="459" w:hanging="434"/>
        <w:spacing w:after="0" w:line="255" w:lineRule="auto"/>
        <w:tabs>
          <w:tab w:leader="none" w:pos="15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11" w:lineRule="exact"/>
        <w:rPr>
          <w:rFonts w:ascii="Arial" w:cs="Arial" w:eastAsia="Arial" w:hAnsi="Arial"/>
          <w:sz w:val="18"/>
          <w:szCs w:val="18"/>
          <w:color w:val="auto"/>
        </w:rPr>
      </w:pPr>
    </w:p>
    <w:p>
      <w:pPr>
        <w:jc w:val="both"/>
        <w:ind w:left="1320" w:right="459" w:hanging="434"/>
        <w:spacing w:after="0" w:line="275" w:lineRule="auto"/>
        <w:tabs>
          <w:tab w:leader="none" w:pos="14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04"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Each unit consists of one subunit and one-half of a warrant. Each subunit consists of one share of our common stock and one-quarter of a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will be issued upon separation of the units or subunits and only whole warrants will trade. Accordingly, unless you purchase a multiple of four units, the number of tradeable warrants issuable to you upon separation of the units or subunits will be rounded down to the nearest whole number of warrants.</w:t>
      </w:r>
    </w:p>
    <w:p>
      <w:pPr>
        <w:spacing w:after="0" w:line="111"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The subunits and warrants comprising the units, but not the shares of common stock and warrants included in the subunits, will begin to trade separately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 unless EarlyBirdCapital informs us of its decision to allow earlier separate trading, provided that in no event may the subunits and warrants be traded separately until we have filed with the SEC a Current Report on Form 8-K which includes an audited balance sheet reflecting our receipt of the gross proceeds of this offering. Once the subunits and warrants commence separate trading, holders will have the option to continue to hold units or separate their units into the component pieces.</w:t>
      </w:r>
    </w:p>
    <w:p>
      <w:pPr>
        <w:spacing w:after="0" w:line="127"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EarlyBirdCapital has allowed separate trading of the subunits and warrants prior to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this offering and any shares purchased in this offering or following this offering in the open market, including any shares included in subunits acquired in this offering or in the aftermarket, in favor of the proposed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a vote is held to approve a business combination, a majority of the outstanding shares of common stock voted are voted in favor of the business combination.</w:t>
      </w:r>
    </w:p>
    <w:p>
      <w:pPr>
        <w:spacing w:after="0" w:line="10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Pursuant to our amended and restated certificate of incorporation, if we do not consummate an initial business combination by 18 months from the closing of this offering (or up to 21 months if a definitive agreement with respect to a proposed business combination has been executed within 18 months),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 Our sponsor, officers and directors have agreed to waive their rights to participate in any liquidation distribution from the trust account occurring upon our failure to consummate an initial business combination with respect to the founder’s common stock and private subunits. Our sponsor, officers and directors will therefore not participate in any liquidation distribution from the trust account with respect to such shares or subunits. They will, however, participate in any liquidation distribution from the trust account with respect to any subunits acquired in, or following, this offering.</w:t>
      </w:r>
    </w:p>
    <w:p>
      <w:pPr>
        <w:spacing w:after="0" w:line="10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subunits to us in a tender offer or have their subunits converted to cash equal to their pro rata share of the trust account in connection with the consummation of our initial business combination. Public stockholders who redeem their subunits into their share of the trust account still have the right to exercise any warrants they still hold outside of such subunit but will forfeit, without the receipt of any additional consideration, the portion of the warrant included in the subunit. Accordingly, an investor may have a disincentive to exercise redemption rights due to the loss of such portion of the warrants.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There are no shares of preferred stock outstanding. Our amended and restated certificate of incorporation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 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warrants are currently outstanding.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32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private warrants, as well as any warrants underlying additional units we issue to our sponsor, officers, directors or their affiliates in payment of working capital loans made to us, will be identical to the warrants underlying the units being offered by this prospectus except that such warrants will be exercisable for cash or on a cashless basis, at the holder’s option, and will not be redeemable by us, in each case so long as they are still held by our sponsor or its permitted transferees.</w:t>
      </w:r>
    </w:p>
    <w:p>
      <w:pPr>
        <w:spacing w:after="0" w:line="107"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98" w:lineRule="exact"/>
        <w:rPr>
          <w:sz w:val="20"/>
          <w:szCs w:val="20"/>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44"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1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11"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9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04"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8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and warrant agent for our warrants is Continental Stock Transfer &amp; Trust Company, 1 State Street,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intend to apply to have our units, subunits and warrants listed on Nasdaq under the symbols “ATSPU,” “ATSPT” and “ATSPW,” respectively. If approved for listing,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be listed or trade separately unless and until we consummate an initial business combination.</w:t>
      </w:r>
    </w:p>
    <w:p>
      <w:pPr>
        <w:spacing w:after="0" w:line="18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15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classified into three classes of directors of approximately equal size. As a result, in most circumstances, a person can gain control of our board only by successfully engaging in a proxy contest at two or more annual meetings.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president or by our chairman or by our secretary at the request in writing of stockholders owning a majority of our issued and outstanding capital stock entitled to vote.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44"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nor earlier than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prior to the scheduled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following the day on which public announcement of the date of our annual meeting of stockholders is first made or sent by us.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5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5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4" w:lineRule="exact"/>
        <w:rPr>
          <w:sz w:val="20"/>
          <w:szCs w:val="20"/>
          <w:color w:val="auto"/>
        </w:rPr>
      </w:pPr>
    </w:p>
    <w:p>
      <w:pPr>
        <w:jc w:val="both"/>
        <w:ind w:left="460" w:right="459" w:hanging="6"/>
        <w:spacing w:after="0" w:line="252" w:lineRule="auto"/>
        <w:tabs>
          <w:tab w:leader="none" w:pos="7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1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amended and restated certificate of incorporation provides that our directors and officers will be indemnified by us to the fullest extent authorized by Delaware law as it now exists or may in the future be amended. In addition, our amended and restated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2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Immediately after this offering, we will have 13,200,000 shares of common stock outstanding, or 15,105,000 shares if the over-allotment option is exercised in full. Of these shares, the 10,000,000 shares sold in this offering as part of the public subunits,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have been placed in escrow and will not be transferable until they are released except in limited circumstances described elsewhere in this prospectus.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11" w:lineRule="exact"/>
        <w:rPr>
          <w:sz w:val="20"/>
          <w:szCs w:val="20"/>
          <w:color w:val="auto"/>
        </w:rPr>
      </w:pPr>
    </w:p>
    <w:p>
      <w:pPr>
        <w:ind w:left="1320" w:right="459" w:hanging="434"/>
        <w:spacing w:after="0" w:line="342" w:lineRule="auto"/>
        <w:tabs>
          <w:tab w:leader="none" w:pos="1419" w:val="left"/>
        </w:tabs>
        <w:numPr>
          <w:ilvl w:val="0"/>
          <w:numId w:val="56"/>
        </w:numPr>
        <w:rPr>
          <w:rFonts w:ascii="Arial" w:cs="Arial" w:eastAsia="Arial" w:hAnsi="Arial"/>
          <w:sz w:val="16"/>
          <w:szCs w:val="16"/>
          <w:color w:val="auto"/>
        </w:rPr>
      </w:pPr>
      <w:r>
        <w:rPr>
          <w:rFonts w:ascii="Arial" w:cs="Arial" w:eastAsia="Arial" w:hAnsi="Arial"/>
          <w:sz w:val="16"/>
          <w:szCs w:val="16"/>
          <w:color w:val="auto"/>
        </w:rPr>
        <w:t>1% of the number of shares of common stock then outstanding, which will equal 132,000 shares immediately after this offering (or 151,050 if the over-allotment option is exercised in full); and</w:t>
      </w:r>
    </w:p>
    <w:p>
      <w:pPr>
        <w:spacing w:after="0" w:line="42" w:lineRule="exact"/>
        <w:rPr>
          <w:rFonts w:ascii="Arial" w:cs="Arial" w:eastAsia="Arial" w:hAnsi="Arial"/>
          <w:sz w:val="16"/>
          <w:szCs w:val="16"/>
          <w:color w:val="auto"/>
        </w:rPr>
      </w:pPr>
    </w:p>
    <w:p>
      <w:pPr>
        <w:ind w:left="1320" w:right="479" w:hanging="434"/>
        <w:spacing w:after="0" w:line="277" w:lineRule="auto"/>
        <w:tabs>
          <w:tab w:leader="none" w:pos="13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97"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As a result, it is likely that pursuant to Rule 144, our sponsor will be able to sell its founder shares freely without registration one year after we have completed our initial business combination assuming it is not an affiliate of ours at that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holders of the founder shares and representative shares issued and outstanding on the date of this prospectus, as well as the holders of the private units and any units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our sponsor, officers, directors or their affiliates in payment of working capital loans made to us (or underlying securities) can elect to exercise these registration rights at any time after we consummate a business combination. Notwithstanding anything to the contrary, EarlyBirdCapital may only make a demand on one occasion and only during the five-year period beginning on the effective date of the registration statement of which this prospectus forms a part. In addition, the holders have certain “piggy-back” registration rights with respect to registration statements filed subsequent to our consummation of a business combination; provided, however, that EarlyBirdCapital may participate in a “piggy-back” registration only during the seven-year period beginning on the effective date of the registration statement of which this prospectus forms a part. We will bear the expenses incurred in connection with the filing of any such registration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following are the material U.S. federal income tax considerations with respect to your ownership and disposition of our units or components thereof, which we refer to collectively as our securities, assuming you purchase the securities in this offering and will hold them as capital assets within the meaning of the Internal Revenue Code of 1986, as amended (the “Code”).</w:t>
      </w:r>
    </w:p>
    <w:p>
      <w:pPr>
        <w:spacing w:after="0" w:line="11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Because the components of a unit are separable at the option of the holder within a short period of time after the date of this prospectus, the holder of a unit generally will be treated, for U.S. federal income tax purposes, as the owner of the underlying subunit and one-half of a warrant components of the unit. As a result, the discussion below of the U.S. federal income tax consequences with respect to actual holders of subunits and warrants should also apply to holders of units (as the deemed owners of the subunits and warrants underlying the units). This concept should not apply in the case of a subunit.</w:t>
      </w:r>
    </w:p>
    <w:p>
      <w:pPr>
        <w:spacing w:after="0" w:line="11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discussion does not address all of the U.S. federal income and estate tax considerations that may be relevant to you in light of your particular circumstances, and it does not describe all of the tax consequences that may be relevant to persons subject to special rules, such as:</w:t>
      </w:r>
    </w:p>
    <w:p>
      <w:pPr>
        <w:spacing w:after="0" w:line="103" w:lineRule="exact"/>
        <w:rPr>
          <w:sz w:val="20"/>
          <w:szCs w:val="20"/>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dealers and traders in securities or foreign currencies;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holding our securities as part of a hedge, straddle, conversion transaction or other integrated transaction;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U.S. persons whose functional currency for U.S. federal income tax purposes is not the U.S. dollar;</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partnerships or other entities classified as partnerships for U.S. federal income tax purposes;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that actually or constructively own 5 percent or more of our voting stock;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state, local or non-U.S. tax laws or, except as discussed herein, any tax reporting obligations applicable to a holder of our securities.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securities, the U.S. federal income tax treatment of a partner in the partnership will generally depend on the status of the partner and the activities of the partnership. In addition, this discussion assumes that a holder will own a number of units or subunits that are divisible by two and, thus, will not forfeit a fractional warrant in connection with the separation of a unit or subunit, as the case may be.</w:t>
      </w:r>
    </w:p>
    <w:p>
      <w:pPr>
        <w:spacing w:after="0" w:line="11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sought, and will not seek, a ruling from the U.S. Internal Revenue Service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0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URGE PROSPECTIVE INVESTORS TO CONSULT THEIR TAX ADVISORS REGARDING THE U.S. FEDERAL, STATE, LOCAL AND NON-U.S. INCOME, ESTATE AND OTHER TAX CONSIDERATIONS WITH RESPECT TO ACQUIRING, HOLDING AND DISPOSING OF OUR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 of a Unit and Characterization of a Unit and its Components</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While not free from doubt, each unit should be treated for U.S. federal income tax purposes as an investment unit consisting of one subunit and one-half of a warrant. For U.S. federal income tax purposes, each holder of a unit must allocate the purchase price of a unit between the subunit and the one-half of a warrant that comprise the unit based on the relative fair market value of each at the time of issuance. The price allocated to the subunit or to the one-half of a warrant will be the holder’s tax basis in such subunit or one-half of a warrant, as the case may be. While uncertain, the IRS, by analogy to the rules relating to the allocation of the purchase price to components of a unit consisting of debt and equity, may take the position that any allocation of the purchase price that we may make will be binding on a holder of a unit, unless the holder explicitly discloses in a statement attached to the holder’s timely filed U.S. federal income tax return for the taxable year that includes the acquisition date of the unit that the holder’s allocation of the purchase price between the subunit and the one-half of a warrant that comprise the unit is different than our allocation. Any such allocation is not, however, binding on the IRS.</w:t>
      </w:r>
    </w:p>
    <w:p>
      <w:pPr>
        <w:spacing w:after="0" w:line="11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subunit is comprised of one share of common stock and one-quarter of a warrant, which cannot be separately traded (until the subunit automatically separates and disappears). A subunit has all of the economic rights of each of its components, including the right to vote and receive distributions with respect to the underlying common stock, and in the case of a sale, to the value of both the common stock and one-quarter of a warrant components. However, because the components are “stapled” together and will not separate in a short period, a subunit should be treated as a single instrument for U.S. federal income tax purposes. As a result, for U.S. federal income tax purposes, distributions on the common stock component of a subunit are considered received with respect to the subunit.</w:t>
      </w:r>
    </w:p>
    <w:p>
      <w:pPr>
        <w:spacing w:after="0" w:line="12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 holder’s entitlement to receive payments upon the redemption of a subunit in excess of the holder’s initial tax basis in its subunit will result in constructive income to the holder. This could affect the timing and character of income recognition and result in U.S. federal income tax liability to the holder without the holder’s receipt of cash from us.</w:t>
      </w:r>
    </w:p>
    <w:p>
      <w:pPr>
        <w:spacing w:after="0" w:line="11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Each holder is advised to consult its own tax advisor with respect to the risks associated with an investment in a unit (including alternative characterizations of a unit or the components thereof) and regarding the risks associated with an allocation of the purchase price between the subunit and the one-half of a warrant that comprise a unit that is inconsistent with any allocation of the purchase price that we may make. The balance of this discussion assumes that our characterization of the units (and the components thereof) and any allocation of the purchase price as described above are respected for U.S. federal income tax purposes.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could be subject to United States federal income tax at rates in excess of those generally applicable to corporations on a portion of our income if we are determined to be a personal holding company, or PHC, for United States federal income tax purposes. A U.S. corporation will generally be classified as a PHC for United States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United States federal income tax purposes, for such taxable year consists of PHC income (which includes, among other things, dividends, interest, certain royalties, annuities and, under certain circumstances, rents).</w:t>
      </w:r>
    </w:p>
    <w:p>
      <w:pPr>
        <w:spacing w:after="0" w:line="12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taxable income, subject to certain adjustments.</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is addressed to U.S. holders of our securities. For purposes of this discussion, you are a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if you are a beneficial owner of a security that is:</w:t>
      </w:r>
    </w:p>
    <w:p>
      <w:pPr>
        <w:spacing w:after="0" w:line="143" w:lineRule="exact"/>
        <w:rPr>
          <w:sz w:val="20"/>
          <w:szCs w:val="20"/>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 for U.S. federal income tax purposes;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state thereof or the District of Columbia; or</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Dividend Policy</w:t>
      </w:r>
      <w:r>
        <w:rPr>
          <w:rFonts w:ascii="Arial" w:cs="Arial" w:eastAsia="Arial" w:hAnsi="Arial"/>
          <w:sz w:val="17"/>
          <w:szCs w:val="17"/>
          <w:color w:val="auto"/>
        </w:rPr>
        <w:t>” above, we do not anticipate that any dividends will be paid in the foreseeable future. If we do make distributions on our subunits or common stock, such distributions generally will be treated as dividends for U.S. federal income tax purposes to the extent of our current or accumulated earnings and profits. Distributions in excess of our current or accumulated earnings and profits generally will first reduce your basis in the subunits or common stock (but not below zero) and then will be treated as gain realized on the sale or other disposition of the subunits or common stock (as described in the first paragraph under “</w:t>
      </w:r>
      <w:r>
        <w:rPr>
          <w:rFonts w:ascii="Arial" w:cs="Arial" w:eastAsia="Arial" w:hAnsi="Arial"/>
          <w:sz w:val="17"/>
          <w:szCs w:val="17"/>
          <w:i w:val="1"/>
          <w:iCs w:val="1"/>
          <w:color w:val="auto"/>
        </w:rPr>
        <w:t>— Taxation on the Disposition of Securities</w:t>
      </w:r>
      <w:r>
        <w:rPr>
          <w:rFonts w:ascii="Arial" w:cs="Arial" w:eastAsia="Arial" w:hAnsi="Arial"/>
          <w:sz w:val="17"/>
          <w:szCs w:val="17"/>
          <w:color w:val="auto"/>
        </w:rPr>
        <w:t>” below).</w:t>
      </w:r>
    </w:p>
    <w:p>
      <w:pPr>
        <w:spacing w:after="0" w:line="11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conversion feature of the subunits described under “</w:t>
      </w:r>
      <w:r>
        <w:rPr>
          <w:rFonts w:ascii="Arial" w:cs="Arial" w:eastAsia="Arial" w:hAnsi="Arial"/>
          <w:sz w:val="17"/>
          <w:szCs w:val="17"/>
          <w:i w:val="1"/>
          <w:iCs w:val="1"/>
          <w:color w:val="auto"/>
        </w:rPr>
        <w:t>Proposed Business — Effecting a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 Conversion Rights</w:t>
      </w:r>
      <w:r>
        <w:rPr>
          <w:rFonts w:ascii="Arial" w:cs="Arial" w:eastAsia="Arial" w:hAnsi="Arial"/>
          <w:sz w:val="17"/>
          <w:szCs w:val="17"/>
          <w:color w:val="auto"/>
        </w:rPr>
        <w:t>” may be viewed as a position with respect to substantially similar or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which diminishes your risk of loss and thereby affects your ability to satisfy the holding period requirements for the dividends received deduction or the preferential tax rate on qualified dividend income with respect to the time period prior to the approval of an initial business combination.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Possible Constructive Distributions with Respect to Warrants</w:t>
      </w:r>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terms of each warrant provide for an adjustment to the number of shares for which the warrant may be exercised or to the exercise price of the warrant in certain events, as discussed in the section of this prospectus captioned “Description of Securities — Warrants.” An adjustment that has the effect of preventing dilution generally is not taxable. However, the U.S. holders of the warrants would be treated as receiving a constructive distribution from us if, for example, the adjustment increases the warrant holders’ proportionate interest in our assets or earnings and profits (e.g., through a decrease in the exercise price of the warrants) as a result of a distribution of cash to the holders of our subunits or common stock, which is taxable to the U.S. holders of such subunits or common stock as described under “— Dividends and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on the Disposition of Securities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Upon a sale or other taxable disposition of our securities (which, in general, would include a distribution in connection with our liquidation or a conversion of our subunits, as described in “— Taxation on the Redemption of Subunits” below), a U.S. holder generally will recognize capital gain or loss in an amount equal to the difference between the amount realized and the U.S. holder’s adjusted tax basis in such securities. See “— Exercise or Lapse of a Warrant,” below for a discussion regarding a U.S. holder’s basis in the common stock acquired pursuant to the exercise of a warrant.</w:t>
      </w:r>
    </w:p>
    <w:p>
      <w:pPr>
        <w:spacing w:after="0" w:line="12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regular U.S. federal income tax rate on capital gains recognized by U.S. holders generally is the same as the regular U.S. federal income tax rate on ordinary income, except that long-term capital gains recognized by non-corporate U.S. holders generally are subject to U.S. federal income tax at reduced rates. Capital gain or loss will constitute long-term capital gain or loss if the U.S. holder’s holding period for the securities exceeds one year. The deductibility of capital losses is subject to various limitations.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on the Redemption of Subunits</w:t>
      </w:r>
    </w:p>
    <w:p>
      <w:pPr>
        <w:spacing w:after="0" w:line="144" w:lineRule="exact"/>
        <w:rPr>
          <w:sz w:val="20"/>
          <w:szCs w:val="20"/>
          <w:color w:val="auto"/>
        </w:rPr>
      </w:pPr>
    </w:p>
    <w:p>
      <w:pPr>
        <w:jc w:val="both"/>
        <w:ind w:left="460" w:right="479"/>
        <w:spacing w:after="0" w:line="284" w:lineRule="auto"/>
        <w:rPr>
          <w:sz w:val="20"/>
          <w:szCs w:val="20"/>
          <w:color w:val="auto"/>
        </w:rPr>
      </w:pPr>
      <w:r>
        <w:rPr>
          <w:rFonts w:ascii="Arial" w:cs="Arial" w:eastAsia="Arial" w:hAnsi="Arial"/>
          <w:sz w:val="16"/>
          <w:szCs w:val="16"/>
          <w:color w:val="auto"/>
        </w:rPr>
        <w:t>In the event that a U.S. holder (i) elects to convert its subunits and receive cash pursuant to the exercise of its conversion right in connection with a stockholder vote regarding a proposed business combination, (ii) elects to tender its subunits to us in connection with a tender offer, or (iii) elects to sell its subunits to us if we purchase subunits in open market transactions or in negotiated arrangements (collectively referred to as a “redemption”), the amount received on any such redemption of subunits generally will be treated for U.S. federal income tax purposes as a payment in consideration for the sale of our subunits, rather than as a distribution. Such amounts, however, will be treated as a distribution and taxed as described in “— Dividends and Distributions,” above, if</w:t>
      </w:r>
    </w:p>
    <w:p>
      <w:pPr>
        <w:spacing w:after="0" w:line="2" w:lineRule="exact"/>
        <w:rPr>
          <w:sz w:val="20"/>
          <w:szCs w:val="20"/>
          <w:color w:val="auto"/>
        </w:rPr>
      </w:pPr>
    </w:p>
    <w:p>
      <w:pPr>
        <w:jc w:val="both"/>
        <w:ind w:left="460" w:right="459" w:hanging="6"/>
        <w:spacing w:after="0" w:line="267" w:lineRule="auto"/>
        <w:tabs>
          <w:tab w:leader="none" w:pos="72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redemption is “essentially equivalent to a dividend” (meaning that the U.S. holder’s percentage ownership in us (including subunits or shares the U.S. holder is deemed to own under certain constructive ownership rules) after the redemption is not meaningfully reduced from what its percentage ownership in us (including constructive ownership) was prior to the redemption) and (ii) the redemption is not “substantially disproportionate” as to that U.S. holder (“substantially disproportionate” meaning, among other requirements, that the percentage of our outstanding voting shares owned (including constructive ownership) by such holder immediately following the redemption is less than 80% of that percentage owned (including constructive ownership) by such holder immediately before the redemption). If the U.S. holder had a relatively minimal interest in our subunits or shares and its percentage ownership in us (including constructive ownership and taking into account the effect of redemptions by other holders) is reduced as a result of the redemption, such holder generally should be regarded as having a meaningful reduction in interest. For example,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to it of any redemption of its subunits.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U.S. holder will not recognize gain or loss upon the acquisition of common stock on the exercise of a warrant for cash. Common stock acquired pursuant to the exercise of a warrant for cash will have a tax basis equal to the U.S. holder’s tax basis in the warrant, increased by the amount paid to exercise the warrant. The holding period of such common stock should begin on the day after the date of exercise of the warrant. If a warrant is allowed to lapse unexercised, a U.S. holder generally will recognize a capital loss equal to such holder’s adjusted tax basis in the warrant.</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warrants exercised therefor. If the cashless exercise were treated as not being a gain realization event, it is unclear when a U.S. holder’s holding period in the common stock would be treated as commencing. If the cashless exercise were treated as a recapitalization, the holding period of the common stock would include the holding period of the warrants exercised therefor.</w:t>
      </w:r>
    </w:p>
    <w:p>
      <w:pPr>
        <w:spacing w:after="0" w:line="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It is also possible that a cashless exercise could be treated in whole or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tax basis in such warrants. Such gain or loss would be long-term or short-term, depending on the U.S. holder’s holding period in the warrants deemed surrendered. In this case, a U.S. holder’s tax basis in the common stock received would equal the sum of the U.S. holder’s initial investment in the exercised warrants (i.e., the portion of the U.S. holder’s purchase price for the units that is allocated to the warrants, as described above under “— Allocation of Purchase Price of a Unit and Characterization of a Unit and its Components”)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 There may also be alternative characterizations of any such taxable exchange that would result in similar tax consequences, except that a U.S. holder’s gain or loss would be short-term.</w:t>
      </w:r>
    </w:p>
    <w:p>
      <w:pPr>
        <w:spacing w:after="0" w:line="10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Unearned Income Medicare Tax</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 3.8% Medicare contribution tax will generally apply to all or some portion of the net investment income of a U.S. holder that is an individual with adjusted gross income that exceeds a threshold amount ($250,000 if married filing jointly or if considered a “surviving spouse” for federal income tax purposes, $125,000 if married filing separately, and $200,000 in other cases). This 3.8% tax will also apply to all or some portion of the undistributed net investment income of certain U.S. holders that are estates and trusts. For these purposes, dividends and gains from the taxable dispositions of the common stock and warrants will generally be taken into account in computing such a U.S. holder’s net investment income.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Information returns may be filed with the IRS with respect to dividends or other distributions we may pay to you and proceeds from the sale of your shares of common stock or warrants. You will be subject to backup withholding on these payments if you fail to provide your taxpayer identification number to the paying agent and comply with certain certification procedures or otherwise establish an exemption from backup withholding. Backup withholding is not an additional tax. Any amounts withheld with respect to your shares of common stock or warrants under the backup withholding rules will be refunded to you or credited against your United States federal income tax liability, if any, by the IRS provided that certain required information is furnished to the IRS in a timely manner.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section is addressed to non-U.S. holders of the securities. For purposes of this discussion, a “non-U.S. holder” is a beneficial owner of a security (other than an entity treated as a partnership for U.S. federal income tax purposes) that is not a U.S. 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discussed under “Dividend Policy” above, we do not anticipate that any dividends will be paid in the foreseeable future. If, however, we were to pay taxable dividends to you with respect to your subunits or shares of common stock (including any deemed distributions treated as a dividend on the warrants, as described in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Constructive Dividends on Warrants</w:t>
      </w:r>
      <w:r>
        <w:rPr>
          <w:rFonts w:ascii="Arial" w:cs="Arial" w:eastAsia="Arial" w:hAnsi="Arial"/>
          <w:sz w:val="16"/>
          <w:szCs w:val="16"/>
          <w:color w:val="auto"/>
        </w:rPr>
        <w:t>” below), those dividends would generally be subject to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at a rate of 30% of the gross amount, unless you are eligible for a reduced rate of withholding tax under an applicable income tax treaty and you provide proper certification of your eligibility for such reduced rate (usually on an IRS Form W-8BEN or Form W-8BEN-E). A distribution generally will constitute a dividend for U.S. federal income tax purposes to the extent of our current or accumulated earnings and profits as determined under the Code. Any distribution not constituting a dividend generally will be treated first as reducing your basis in your shares of common stock and, to the extent it exceeds your basis, as gain from the disposition of your shares of common stock treated as described under “</w:t>
      </w:r>
      <w:r>
        <w:rPr>
          <w:rFonts w:ascii="Arial" w:cs="Arial" w:eastAsia="Arial" w:hAnsi="Arial"/>
          <w:sz w:val="16"/>
          <w:szCs w:val="16"/>
          <w:i w:val="1"/>
          <w:iCs w:val="1"/>
          <w:color w:val="auto"/>
        </w:rPr>
        <w:t>Sale or Other Disposition of Our</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below. The full amount of any distributions to you may, however, be subject to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unless the applicable withholding agent elects to withhold a lesser amount based on a reasonable estimate of the amount of the distribution that would be treated as a dividend. In addition, if we determine that we are likely to be classified as a “United States real property holding corporation”(see “Sale or Other Disposition of Our Securities” below), we will withhold at least 15% of any distribution that exceeds our current and accumulated earnings and profits as provided by the Code.</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Dividends we pay to you that are effectively connected with your conduct of a trade or business within the United States (and, if certain income tax treaties apply, are attributable to a United States permanent establishment maintained by you) generally will not be subject to United States withholding tax if you comply with applicable certification and disclosure requirements (usually by providing an IRS Form W-8ECI). Instead, such dividends generally will be subject to United States federal income tax, net of certain deductions, at the same graduated individual or corporate rates applicable to United States persons. If you are a corporation, effectively connected income may also be subject to a “branch profits tax” at a rate of 30% (or such lower rate as may be specified by an applicable income tax treaty).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U.S. federal income tax on the exercise of the warrants into shares of common stock. However, if a cashless exercise of warrants results in a taxable exchange, as described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U.S. Holders — Exercise or Lapse of a Warrant</w:t>
      </w:r>
      <w:r>
        <w:rPr>
          <w:rFonts w:ascii="Arial" w:cs="Arial" w:eastAsia="Arial" w:hAnsi="Arial"/>
          <w:sz w:val="18"/>
          <w:szCs w:val="18"/>
          <w:color w:val="auto"/>
        </w:rPr>
        <w:t>,” the rules described below under “</w:t>
      </w:r>
      <w:r>
        <w:rPr>
          <w:rFonts w:ascii="Arial" w:cs="Arial" w:eastAsia="Arial" w:hAnsi="Arial"/>
          <w:sz w:val="18"/>
          <w:szCs w:val="18"/>
          <w:i w:val="1"/>
          <w:iCs w:val="1"/>
          <w:color w:val="auto"/>
        </w:rPr>
        <w:t>Sale or Other Disposition of Our Securities</w:t>
      </w:r>
      <w:r>
        <w:rPr>
          <w:rFonts w:ascii="Arial" w:cs="Arial" w:eastAsia="Arial" w:hAnsi="Arial"/>
          <w:sz w:val="18"/>
          <w:szCs w:val="18"/>
          <w:color w:val="auto"/>
        </w:rPr>
        <w:t>” would apply.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 of Our Securities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United States federal income tax on any gain realized upon the sale, exchange or other disposition of our securities (which would include a dissolution and liquidation in the event we do not consummate an initial business combination within the required timeframe) or warrants (including an expiration or redemption of our warrants), unless:</w:t>
      </w:r>
    </w:p>
    <w:p>
      <w:pPr>
        <w:spacing w:after="0" w:line="119" w:lineRule="exact"/>
        <w:rPr>
          <w:sz w:val="20"/>
          <w:szCs w:val="20"/>
          <w:color w:val="auto"/>
        </w:rPr>
      </w:pPr>
    </w:p>
    <w:p>
      <w:pPr>
        <w:jc w:val="both"/>
        <w:ind w:left="1320" w:right="459" w:hanging="434"/>
        <w:spacing w:after="0" w:line="263" w:lineRule="auto"/>
        <w:tabs>
          <w:tab w:leader="none" w:pos="137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within the United States (and, under certain income tax treaties, is attributable to a United States permanent establishment you maintain);</w:t>
      </w:r>
    </w:p>
    <w:p>
      <w:pPr>
        <w:spacing w:after="0" w:line="102" w:lineRule="exact"/>
        <w:rPr>
          <w:rFonts w:ascii="Arial" w:cs="Arial" w:eastAsia="Arial" w:hAnsi="Arial"/>
          <w:sz w:val="18"/>
          <w:szCs w:val="18"/>
          <w:color w:val="auto"/>
        </w:rPr>
      </w:pPr>
    </w:p>
    <w:p>
      <w:pPr>
        <w:jc w:val="both"/>
        <w:ind w:left="1320" w:right="459" w:hanging="434"/>
        <w:spacing w:after="0" w:line="311" w:lineRule="auto"/>
        <w:tabs>
          <w:tab w:leader="none" w:pos="1351" w:val="left"/>
        </w:tabs>
        <w:numPr>
          <w:ilvl w:val="0"/>
          <w:numId w:val="61"/>
        </w:numPr>
        <w:rPr>
          <w:rFonts w:ascii="Arial" w:cs="Arial" w:eastAsia="Arial" w:hAnsi="Arial"/>
          <w:sz w:val="16"/>
          <w:szCs w:val="16"/>
          <w:color w:val="auto"/>
        </w:rPr>
      </w:pPr>
      <w:r>
        <w:rPr>
          <w:rFonts w:ascii="Arial" w:cs="Arial" w:eastAsia="Arial" w:hAnsi="Arial"/>
          <w:sz w:val="16"/>
          <w:szCs w:val="16"/>
          <w:color w:val="auto"/>
        </w:rPr>
        <w:t>you are an individual, you hold your shares of common stock or warrants as capital assets, you are present in the United States for 183 days or more in the taxable year of disposition and you meet other conditions, and you are not eligible for relief under an applicable income tax treaty; or</w:t>
      </w:r>
    </w:p>
    <w:p>
      <w:pPr>
        <w:spacing w:after="0" w:line="81" w:lineRule="exact"/>
        <w:rPr>
          <w:rFonts w:ascii="Arial" w:cs="Arial" w:eastAsia="Arial" w:hAnsi="Arial"/>
          <w:sz w:val="16"/>
          <w:szCs w:val="16"/>
          <w:color w:val="auto"/>
        </w:rPr>
      </w:pPr>
    </w:p>
    <w:p>
      <w:pPr>
        <w:jc w:val="both"/>
        <w:ind w:left="1320" w:right="459" w:hanging="434"/>
        <w:spacing w:after="0" w:line="283" w:lineRule="auto"/>
        <w:tabs>
          <w:tab w:leader="none" w:pos="1392"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United States federal income tax purposes and, in the case where the shares of our common stock are regularly traded on an established securities market, you hold or have held, directly or indirectly, at any time within the shorter of the five-year period preceding disposition or your holding period for your shares of common stock or warrants, more than 5% of our common stock. Special rules may apply to the determination of the 5% threshold in the case of a holder of a warrant. You are urged to consult your own tax advisors regarding the effect of holding the warrants on the calculation of such 5% threshold. We will be classified as a United States real property holding corporation if the fair market value of our “United States real property interests” equals or exceeds 50% of the sum of</w:t>
      </w:r>
    </w:p>
    <w:p>
      <w:pPr>
        <w:spacing w:after="0" w:line="5" w:lineRule="exact"/>
        <w:rPr>
          <w:rFonts w:ascii="Arial" w:cs="Arial" w:eastAsia="Arial" w:hAnsi="Arial"/>
          <w:sz w:val="16"/>
          <w:szCs w:val="16"/>
          <w:color w:val="auto"/>
        </w:rPr>
      </w:pPr>
    </w:p>
    <w:p>
      <w:pPr>
        <w:jc w:val="both"/>
        <w:ind w:left="1320" w:right="459"/>
        <w:spacing w:after="0" w:line="252" w:lineRule="auto"/>
        <w:rPr>
          <w:rFonts w:ascii="Arial" w:cs="Arial" w:eastAsia="Arial" w:hAnsi="Arial"/>
          <w:sz w:val="16"/>
          <w:szCs w:val="16"/>
          <w:color w:val="auto"/>
        </w:rPr>
      </w:pPr>
      <w:r>
        <w:rPr>
          <w:rFonts w:ascii="Arial" w:cs="Arial" w:eastAsia="Arial" w:hAnsi="Arial"/>
          <w:sz w:val="18"/>
          <w:szCs w:val="18"/>
          <w:color w:val="auto"/>
        </w:rPr>
        <w:t>(1) the fair market value of our United States real property interests, (2) the fair market value of our non-United States real property interests and (3) the fair market value of any other of our assets which are used or held for use in our trade or business. Although we currently are not a United States real property holding corporation, we cannot determine whether we will be a United States real property holding corporation in the future until we consummate an initial business combination.</w:t>
      </w:r>
    </w:p>
    <w:p>
      <w:pPr>
        <w:spacing w:after="0" w:line="12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Gain that is effectively connected with your conduct of a trade or business within the United States generally will be subject to United States federal income tax, net of certain deductions, at the same rates applicable to United States persons. If you are a corporation, the branch profits tax also may apply to such effectively connected gain. If the gain from the sale or disposition of our securities is effectively connected with your conduct of a trade or business in the United States but under an applicable income tax treaty is not attributable to a permanent establishment you maintain in the United States, your gain may be exempt from United States tax under the treaty. If you are described in the second bullet point above, you generally will be subject to United States federal income tax at a rate of 30% on the gain realized, although the gain may be offset by some United States source capital losses realized during the same taxable year. If you are described in the third bullet point above, gain recognized by you on the sale, exchange or other disposition of shares of our securities will be subject to U.S. federal income tax on a net income basis at normal graduated U.S. federal income tax rates. In addition, a buyer of your securities may be required to withhold United States income tax at a rate of 15% of the amount realized upon such disposition.</w:t>
      </w:r>
    </w:p>
    <w:p>
      <w:pPr>
        <w:spacing w:after="0" w:line="10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If you convert your subunits into a right to receive cash as described in “</w:t>
      </w:r>
      <w:r>
        <w:rPr>
          <w:rFonts w:ascii="Arial" w:cs="Arial" w:eastAsia="Arial" w:hAnsi="Arial"/>
          <w:sz w:val="17"/>
          <w:szCs w:val="17"/>
          <w:i w:val="1"/>
          <w:iCs w:val="1"/>
          <w:color w:val="auto"/>
        </w:rPr>
        <w:t>Proposed Business — Effecting a</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 Conversion Rights</w:t>
      </w:r>
      <w:r>
        <w:rPr>
          <w:rFonts w:ascii="Arial" w:cs="Arial" w:eastAsia="Arial" w:hAnsi="Arial"/>
          <w:sz w:val="17"/>
          <w:szCs w:val="17"/>
          <w:color w:val="auto"/>
        </w:rPr>
        <w:t>,” the conversion generally will be treated as a sale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rather than as a dividend or distribution. The conversion will, however, be treated as a dividend or distribution and taxed as described in “Dividends and Distributions” if your percentage ownership in us (including shares that you are deemed to own under certain attribution rules, such as the shares into which the warrants are exercisable) after the conversion is not meaningfully reduced from what your percentage ownership was prior to the conversion. See the discussion in “— U.S. Holders — Taxation on Redemption of Subunits.” You should consult your own tax advisor as to whether conversion of your subunits will be treated as a sale or as a dividend under the Code.</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Dividends on Warrants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 discussed under “Dividend Policy” above, we do not anticipate that any dividends will be paid in the foreseeable future. If at any time during the period you hold warrants, however, we were to pay a taxable dividend on our subunits or common stock and, in accordance with the anti-dilution provisions of the warrants, the conversion rate of the warrants were increased, that increase would be deemed to be the payment of a taxable dividend to you to the extent of our earnings and profits, notwithstanding the fact that you will not receive a cash payment. If the conversion rate is adjusted in certain other circumstances (or in certain circumstances, there is a failure to make adjustments), such adjustments may also result in the deemed payment of a taxable dividend to you. Any resulting withholding tax attributable to deemed dividends would be collected from other amounts payable or distributable to you. You should consult your tax advisor regarding the proper treatment of any adjustments to the warrants.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must report annually to the IRS the amount of dividends or other distributions we may pay to you and the amount of tax we withhold on any such distributions regardless of whether withholding is required. The IRS may make copies of the information returns reporting those dividends and amounts withheld available to the tax authorities in the country in which you reside pursuant to the provisions of an applicable income tax treaty or exchange of information treaty.</w:t>
      </w:r>
    </w:p>
    <w:p>
      <w:pPr>
        <w:spacing w:after="0" w:line="12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United States imposes backup withholding on dividends and certain other types of payments to United States persons. You will not be subject to backup withholding on dividends you receive if you provide proper certification (usually on an IRS Form W-8BEN or Form W-8BEN-E) of your status as a non-United States person or you are a corporation or one of several types of entities and organizations that qualify for exemption (an “exempt recipient”).</w:t>
      </w:r>
    </w:p>
    <w:p>
      <w:pPr>
        <w:spacing w:after="0" w:line="10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of your securities outside the United States through a foreign office of a foreign broker that does not have certain specified connections to the United States. However, if you sell your securities through a United States broker or the United States office of a foreign broker, the broker will be required to report to the IRS the amount of proceeds paid to you unless you provide appropriate certification (usually on an IRS Form W-8BEN or Form W-8BEN-E) to the broker of your status as a non-United States person or you are an exempt recipient. Information reporting also would apply if you sell your securities through a foreign broker deriving more than a specified percentage of its income from United States sources or having certain other connections to the United States.</w:t>
      </w:r>
    </w:p>
    <w:p>
      <w:pPr>
        <w:spacing w:after="0" w:line="11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refunded to you or credited against your United States federal income tax liability, if any, by the IRS provided that certain required information is furnished to the IRS in a timely manner.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Unearned Income Medicare Tax</w:t>
      </w:r>
    </w:p>
    <w:p>
      <w:pPr>
        <w:spacing w:after="0" w:line="158"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If you are a foreign estate or trust, you may be subject to the Medicare contribution tax described under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holders — Unearned Income Medicare Tax</w:t>
      </w:r>
      <w:r>
        <w:rPr>
          <w:rFonts w:ascii="Arial" w:cs="Arial" w:eastAsia="Arial" w:hAnsi="Arial"/>
          <w:sz w:val="16"/>
          <w:szCs w:val="16"/>
          <w:color w:val="auto"/>
        </w:rPr>
        <w:t>” above. Non-U.S. holders should consult their tax advisors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possible implications of the Medicare contribution tax on their investments in the units.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FATCA</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w:t>
      </w:r>
    </w:p>
    <w:p>
      <w:pPr>
        <w:spacing w:after="0" w:line="1" w:lineRule="exact"/>
        <w:rPr>
          <w:sz w:val="20"/>
          <w:szCs w:val="20"/>
          <w:color w:val="auto"/>
        </w:rPr>
      </w:pPr>
    </w:p>
    <w:p>
      <w:pPr>
        <w:jc w:val="both"/>
        <w:ind w:left="460" w:right="459" w:hanging="6"/>
        <w:spacing w:after="0" w:line="268" w:lineRule="auto"/>
        <w:tabs>
          <w:tab w:leader="none" w:pos="731" w:val="left"/>
        </w:tabs>
        <w:numPr>
          <w:ilvl w:val="0"/>
          <w:numId w:val="62"/>
        </w:numPr>
        <w:rPr>
          <w:rFonts w:ascii="Arial" w:cs="Arial" w:eastAsia="Arial" w:hAnsi="Arial"/>
          <w:sz w:val="17"/>
          <w:szCs w:val="17"/>
          <w:color w:val="auto"/>
        </w:rPr>
      </w:pPr>
      <w:r>
        <w:rPr>
          <w:rFonts w:ascii="Arial" w:cs="Arial" w:eastAsia="Arial" w:hAnsi="Arial"/>
          <w:sz w:val="17"/>
          <w:szCs w:val="17"/>
          <w:color w:val="auto"/>
        </w:rPr>
        <w:t>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hanging="6"/>
        <w:spacing w:after="0" w:line="279" w:lineRule="auto"/>
        <w:tabs>
          <w:tab w:leader="none" w:pos="771" w:val="left"/>
        </w:tabs>
        <w:numPr>
          <w:ilvl w:val="0"/>
          <w:numId w:val="63"/>
        </w:numPr>
        <w:rPr>
          <w:rFonts w:ascii="Arial" w:cs="Arial" w:eastAsia="Arial" w:hAnsi="Arial"/>
          <w:sz w:val="17"/>
          <w:szCs w:val="17"/>
          <w:color w:val="auto"/>
        </w:rPr>
      </w:pPr>
      <w:r>
        <w:rPr>
          <w:rFonts w:ascii="Arial" w:cs="Arial" w:eastAsia="Arial" w:hAnsi="Arial"/>
          <w:sz w:val="17"/>
          <w:szCs w:val="17"/>
          <w:color w:val="auto"/>
        </w:rPr>
        <w:t>certifies to us or the applicable withholding agent that such entity does not have any “substantial United States owners” or (2) provides certain information regarding the entity’s “substantial United States owners,” which will in turn be provided to the U.S. Department of Treasury. All prospective investors should consult their tax advisors regarding the possible implications of FATCA on their investment in our securities.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are offering the units described in this prospectus through the underwriters named below. EarlyBirdCapital is acting as representative of the underwriters. We have entered into an underwriting agreement with the representative. Subject to the terms and conditions of the underwriting agreement, the underwriters have agreed to purchase, and we have agreed to sell to the underwriters, the number of units listed next to each of its name in the following table: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94"/>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1260" w:type="dxa"/>
            <w:vAlign w:val="bottom"/>
          </w:tcPr>
          <w:p>
            <w:pPr>
              <w:jc w:val="right"/>
              <w:ind w:right="354"/>
              <w:spacing w:after="0"/>
              <w:rPr>
                <w:sz w:val="20"/>
                <w:szCs w:val="20"/>
                <w:color w:val="auto"/>
              </w:rPr>
            </w:pPr>
            <w:r>
              <w:rPr>
                <w:rFonts w:ascii="Arial" w:cs="Arial" w:eastAsia="Arial" w:hAnsi="Arial"/>
                <w:sz w:val="16"/>
                <w:szCs w:val="16"/>
                <w:b w:val="1"/>
                <w:bCs w:val="1"/>
                <w:color w:val="auto"/>
              </w:rPr>
              <w:t>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I-Bankers Securities, Inc.</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units if they buy any of them. However, the underwriters are not required to purchase the units covered by the option to purchase additional units as described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units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receipt and acceptance of our units by the underwriters;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granted the underwriters an over-allotment option to buy up to an aggregate of 1,500,000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Units sold by the underwriters to the public will initially be offered at the initial offering price set forth on the cover of this prospectus. Any units sold by the underwriters to securities dealers may be sold at a discount of up to $[•] per unit from the initial public offering price and the dealers may reallow a concession not in excess of $[•] per unit to other dealers. Sales of units made outside of the United States may be made by affiliates of the underwriters. After completion of this offering, if the underwriters still hold any units sold by us to them in this offering, the representative may change the offering price and the other selling terms. Upon execution of the underwriting agreement, the underwriters will be obligated to purchase the units at the prices and upon the terms stated therein.</w:t>
      </w:r>
    </w:p>
    <w:p>
      <w:pPr>
        <w:spacing w:after="0" w:line="12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following table shows the per unit and total underwriting discount we will pay to the underwriters assuming both no exercise and full exercise of the underwriters’ over-allotment option to purchase up to 1,500,000 additional units.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9"/>
              </w:rPr>
              <w:t>No Exercise</w:t>
            </w:r>
          </w:p>
        </w:tc>
        <w:tc>
          <w:tcPr>
            <w:tcW w:w="14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6"/>
                <w:szCs w:val="16"/>
                <w:b w:val="1"/>
                <w:bCs w:val="1"/>
                <w:color w:val="auto"/>
                <w:w w:val="93"/>
              </w:rPr>
              <w:t>Full Exercise</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Unit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agreed to reimburse the underwriters for the FINRA-related fees and expenses of the underwriters’ legal counsel, not to exceed $15,000, the expenses of transaction “bibles” and lucite cube “mementos,” not to exceed $3,000, and the expenses of investigations and background checks, not to exceed $3,500 per individual (or $_____ in the aggregate), for aggregate reimbursable expenses of $_______. We estimate that the total</w:t>
      </w:r>
    </w:p>
    <w:p>
      <w:pPr>
        <w:spacing w:after="0" w:line="1" w:lineRule="exact"/>
        <w:rPr>
          <w:sz w:val="20"/>
          <w:szCs w:val="20"/>
          <w:color w:val="auto"/>
        </w:rPr>
      </w:pPr>
    </w:p>
    <w:p>
      <w:pPr>
        <w:jc w:val="both"/>
        <w:ind w:left="460" w:right="479"/>
        <w:spacing w:after="0" w:line="260" w:lineRule="auto"/>
        <w:rPr>
          <w:sz w:val="20"/>
          <w:szCs w:val="20"/>
          <w:color w:val="auto"/>
        </w:rPr>
      </w:pPr>
      <w:r>
        <w:rPr>
          <w:rFonts w:ascii="Arial" w:cs="Arial" w:eastAsia="Arial" w:hAnsi="Arial"/>
          <w:sz w:val="18"/>
          <w:szCs w:val="18"/>
          <w:color w:val="auto"/>
        </w:rPr>
        <w:t>expenses of the offering payable by us, not including the underwriting discount, will be approximately $750,000.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engaged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w:t>
      </w:r>
    </w:p>
    <w:p>
      <w:pPr>
        <w:sectPr>
          <w:pgSz w:w="11900" w:h="16838" w:orient="portrait"/>
          <w:cols w:equalWidth="0" w:num="1">
            <w:col w:w="9019"/>
          </w:cols>
          <w:pgMar w:left="1440" w:top="274" w:right="1440" w:bottom="106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6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press releases and public filings in connection with the business combination. We will pay EarlyBirdCapital a cash fee for such services upon the consummation of our initial business combination in an amount equal to 3.5% of the gross proceeds of this offering; provided that up to 30% of the fee may be allocated at our sole discretion to other FINRA members (including, with EarlyBirdCapital’s prior consent which shall not be unreasonably withheld, companies affiliated with us or our officers or directors) that assist us in identifying or consummating an initial business combination. Additionally, we will pay EarlyBirdCapital a cash fee equal to 1.0% of the total consideration payable in the proposed business combination if EarlyBirdCapital introduces us to the target business with which we complete a business combination; provided that the foregoing fee will not be paid prior to the date that is 60 days from the effective date of the registration statement of which this prospectus forms a part, unless FINRA determines that such payment would not be deemed underwriters’ compensation in connection with this offering pursuant to FINRA Rule 5110.</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 Shares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On January 13, 2021, we issued to EarlyBirdCapital and its designees 350,000 representative shares at $0.0001 per share. The holders of the representative shares have agreed not to transfer, assign or sell any such shares without our prior consent until the completion of our initial business combination. In addition, the holders of the representative shares have agreed (i) to waive their conversion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18 months from the closing of this offering (or up to 21 months if a definitive agreement with respect to a proposed business combination has been executed within 18 months).</w:t>
      </w:r>
    </w:p>
    <w:p>
      <w:pPr>
        <w:spacing w:after="0" w:line="12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0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granted the holders of these shares the registration rights as described under the section “</w:t>
      </w:r>
      <w:r>
        <w:rPr>
          <w:rFonts w:ascii="Arial" w:cs="Arial" w:eastAsia="Arial" w:hAnsi="Arial"/>
          <w:sz w:val="18"/>
          <w:szCs w:val="18"/>
          <w:i w:val="1"/>
          <w:iCs w:val="1"/>
          <w:color w:val="auto"/>
        </w:rPr>
        <w:t>Shares</w:t>
      </w:r>
      <w:r>
        <w:rPr>
          <w:rFonts w:ascii="Arial" w:cs="Arial" w:eastAsia="Arial" w:hAnsi="Arial"/>
          <w:sz w:val="18"/>
          <w:szCs w:val="18"/>
          <w:color w:val="auto"/>
        </w:rPr>
        <w:t xml:space="preserve"> </w:t>
      </w:r>
      <w:r>
        <w:rPr>
          <w:rFonts w:ascii="Arial" w:cs="Arial" w:eastAsia="Arial" w:hAnsi="Arial"/>
          <w:sz w:val="18"/>
          <w:szCs w:val="18"/>
          <w:i w:val="1"/>
          <w:iCs w:val="1"/>
          <w:color w:val="auto"/>
        </w:rPr>
        <w:t>Eligible for Future Sale — Registration Rights</w:t>
      </w:r>
      <w:r>
        <w:rPr>
          <w:rFonts w:ascii="Arial" w:cs="Arial" w:eastAsia="Arial" w:hAnsi="Arial"/>
          <w:sz w:val="18"/>
          <w:szCs w:val="18"/>
          <w:color w:val="auto"/>
        </w:rPr>
        <w:t>.” In compliance with FINRA Rule 5110(f)(2)(G),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Units</w:t>
      </w:r>
    </w:p>
    <w:p>
      <w:pPr>
        <w:spacing w:after="0" w:line="16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EarlyBirdCapital has committed that it and/or its designees will purchase from us 50,000 private units for a total purchase price of $500,000. This purchase will take place on a private placement basis simultaneously with the consummation of this offering. EarlyBirdCapital has also agreed that if the over-allotment option is exercised by the underwriters in full or in part, they will purchase from us an additional number of private units (up to a maximum of 7,500 private units) necessary to maintain in the trust account $10.00 per unit sold to the public in this offering. The private units (and underlying securities) are identical to the units (and underlying securities) sold in this offering except as described elsewhere in this prospectus. The private units and underlying subunits and warrants have been deemed compensation by FINRA and are therefore subject to a 180-day lock-up pursuant to FINRA Rule 5110(e)(1). Additionally, the private units purchased by EarlyBirdCapital may not be sold, transferred, assigned, pledged or hypothecated or be the subject of any hedging, short sale, derivative, put or call transaction that would result in the economic disposition of the securities by any person for a 180-day period following the effective date of this prospectus except to any selected dealer participating in the offering and the bona fide officers or partners of the underwriter and any such participating selected dealer. EarlyBirdCapital has agreed that the private units it purchases will not be sold or transferred by it (except to certain permitted transferees) until after we have completed an initial business combination. We have granted the holders of private units, including EarlyBirdCapital, the registration rights as described under the section “</w:t>
      </w:r>
      <w:r>
        <w:rPr>
          <w:rFonts w:ascii="Arial" w:cs="Arial" w:eastAsia="Arial" w:hAnsi="Arial"/>
          <w:sz w:val="17"/>
          <w:szCs w:val="17"/>
          <w:i w:val="1"/>
          <w:iCs w:val="1"/>
          <w:color w:val="auto"/>
        </w:rPr>
        <w:t>Shares Eligible for Future</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i w:val="1"/>
          <w:iCs w:val="1"/>
          <w:color w:val="auto"/>
        </w:rPr>
        <w:t>Sale — Registration Rights</w:t>
      </w:r>
      <w:r>
        <w:rPr>
          <w:rFonts w:ascii="Arial" w:cs="Arial" w:eastAsia="Arial" w:hAnsi="Arial"/>
          <w:sz w:val="16"/>
          <w:szCs w:val="16"/>
          <w:color w:val="auto"/>
        </w:rPr>
        <w:t>.” In compliance with FINRA Rule 5110(f)(2)(G), the EarlyBirdCapital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are limited to demand and “piggy back” rights for periods of five and seven years, respectively, from the effective date of this prospectus and EarlyBirdCapital may only exercise its demand rights on one occasion.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have granted EarlyBirdCapital a right of first refusal for a period commencing from the consummation of this offering until the consummation of our initial business combination (or the liquidation of the trust account in the event that we fail to consummate our initial business combination within the prescribed time period) to act as book running manager, placement agent and/or arranger for all financings where we seek to raise equity, equity-linked, debt or mezzanine financings relating to or in connection with a business combination.</w:t>
      </w:r>
    </w:p>
    <w:p>
      <w:pPr>
        <w:spacing w:after="0" w:line="9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addition, under certain circumstances EarlyBirdCapital will be granted, for a period of one year from the closing of this offering, the right to act as lead underwriter for the next U.S. registered public offering of securities undertaken by any of our officers and directors for the purpose of raising capital and placing 90% or more of the proceeds in a trust or escrow account to be used to acquire one or more operating businesses in the technology industry that have not been identified at the time of the public offering.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have agreed to indemnify the underwriter against certain liabilities, including certain liabilities under the Securities Act. In addition, we have agreed to indemnify I-Bankers Securities, Inc., which is acting as a “qualified independent underwriter” for this offering, against certain liabilities incurred in connection with acting as qualified independent underwriter, including liabilities under the Securities Act. See “</w:t>
      </w:r>
      <w:r>
        <w:rPr>
          <w:rFonts w:ascii="Arial" w:cs="Arial" w:eastAsia="Arial" w:hAnsi="Arial"/>
          <w:sz w:val="17"/>
          <w:szCs w:val="17"/>
          <w:i w:val="1"/>
          <w:iCs w:val="1"/>
          <w:color w:val="auto"/>
        </w:rPr>
        <w:t>Conflicts of</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w:t>
      </w:r>
      <w:r>
        <w:rPr>
          <w:rFonts w:ascii="Arial" w:cs="Arial" w:eastAsia="Arial" w:hAnsi="Arial"/>
          <w:sz w:val="17"/>
          <w:szCs w:val="17"/>
          <w:color w:val="auto"/>
        </w:rPr>
        <w:t>”, below. If we are unable to provide this indemnification, we have agreed to contribute to payments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may be required to make in respect of those liabilities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NASDAQ Listing</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intend to apply to have our units, subunits and warrants listed on Nasdaq under the symbols “ATSPU,” “ATSPT” and “ATSPW,” respectively. If approved for listing,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be listed or trade separately unless and until we consummate an initial business combination.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In connection with this offering, the underwriters may engage in activities that stabilize, maintain or otherwise affect the price of units during and after this offering, including:</w:t>
      </w:r>
    </w:p>
    <w:p>
      <w:pPr>
        <w:spacing w:after="0" w:line="89" w:lineRule="exact"/>
        <w:rPr>
          <w:sz w:val="20"/>
          <w:szCs w:val="20"/>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Stabilizing transactions consist of bids or purchases made for the purpose of preventing or retarding a decline in the market price of our units while this offering is in progress. Stabilization transactions permit bids to purchase the underlying security so long as the stabilizing bids do not exceed a specified maximum. These transactions may also include making short sales of our units, which involve the sale by the 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underwriters may close out any covered short position by either exercising their option, in whole or in part, or by purchasing units in the open market. In making this determination, the underwriters will consider, among other things, the price of units available for purchase in the open market as compared to the price at which they may purchase units through the over-allotment option.</w:t>
      </w:r>
    </w:p>
    <w:p>
      <w:pPr>
        <w:spacing w:after="0" w:line="11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Naked short sales are short sales made in excess of the over-allotment option. The underwriters must close out any naked short position by purchasing units in the open market. A naked short position is more likely to be created if the underwriters are concerned that there may be downward pressure on the price of the units in the open market that could adversely affect investors who purchased in this offering.</w:t>
      </w:r>
    </w:p>
    <w:p>
      <w:pPr>
        <w:spacing w:after="0" w:line="10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representative of the underwriters a portion of the underwriting discount received by it because the representative has repurchased units sold by or for the account of that underwriter in stabilizing or short covering transactions.</w:t>
      </w:r>
    </w:p>
    <w:p>
      <w:pPr>
        <w:spacing w:after="0" w:line="10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These stabilizing transactions, short sales, purchases to cover positions created by short sales, the imposition of penalty bids and syndicate covering transactions may have the effect of raising or maintaining the market price of our units or preventing or retarding a decline in the market price of our units. As a result of these activities, the price of our units may be higher than the price that otherwise might exist in the open market. The underwriters may carry out these transactions on the Nasdaq, in the over-the-counter market or otherwise. Neither we nor the underwriters make any representation or prediction as to the effect that the transactions described above may have on the price of the units. Neither we, nor the underwriters, make any representation that the underwriter will engage in these stabilization transactions or that any transaction, once commenced, will not be discontinued without notice.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Prior to this offering, there was no public market for our units. The initial public offering price will be determined by negotiation between us and the representative of the underwriters. The principal factors to be considered in determining the initial public offering price include:</w:t>
      </w:r>
    </w:p>
    <w:p>
      <w:pPr>
        <w:spacing w:after="0" w:line="116" w:lineRule="exact"/>
        <w:rPr>
          <w:sz w:val="20"/>
          <w:szCs w:val="20"/>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history and prospects and the history and prospects for the industry in which we compete;</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5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units of generally comparable companies;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units, subunits, warrants or common stock or that the units will trade in the public market at or above the initial public offering price.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6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EarlyBirdCapital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EarlyBirdCapital and its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also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Future Arrangements</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Except as described above, we are not under any contractual obligation to engage any of the underwriters to provide any services for us after this offering, and have no present intent to do so. However,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underwriter and no fees for such services will be paid to any underwriter prior to the date that is 90 days from the date of this prospectus, unless FINRA determines that such payment would not be deemed underwriter’s compensation in connection with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EarlyBirdCapital has a “conflict of interest” within the meaning of FINRA Rule 5121(f)(5)(B) in this offering because one of its affiliates beneficially owns more than 10% of our shares. Accordingly, this offering is being made in compliance with the applicable requirements of FINRA Rule 5121. FINRA Rule 5121 requires that a “qualified independent underwriter,” as defined in FINRA Rule 5121, participate in the preparation of this prospectus and the registration statement of which it forms a part and exercise the usual standards of “due diligence” with respect thereto. I-Bankers has agreed to act as a “qualified independent underwriter” for this offering.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Resale Restrictions</w:t>
      </w:r>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Representations of Purchasers</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03" w:lineRule="exact"/>
        <w:rPr>
          <w:sz w:val="20"/>
          <w:szCs w:val="20"/>
          <w:color w:val="auto"/>
        </w:rPr>
      </w:pPr>
    </w:p>
    <w:p>
      <w:pPr>
        <w:ind w:left="1320" w:right="459" w:hanging="434"/>
        <w:spacing w:after="0" w:line="277" w:lineRule="auto"/>
        <w:tabs>
          <w:tab w:leader="none" w:pos="15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Rights of Action — Ontario Purchasers Only</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Enforcement of Legal Rights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Collection of Personal Information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0"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1"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00" w:lineRule="exact"/>
        <w:rPr>
          <w:sz w:val="20"/>
          <w:szCs w:val="20"/>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jc w:val="both"/>
        <w:ind w:left="1320" w:right="479" w:hanging="434"/>
        <w:spacing w:after="0" w:line="273" w:lineRule="auto"/>
        <w:tabs>
          <w:tab w:leader="none" w:pos="137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 for any such offer; or</w:t>
      </w:r>
    </w:p>
    <w:p>
      <w:pPr>
        <w:spacing w:after="0" w:line="110" w:lineRule="exact"/>
        <w:rPr>
          <w:rFonts w:ascii="Arial" w:cs="Arial" w:eastAsia="Arial" w:hAnsi="Arial"/>
          <w:sz w:val="17"/>
          <w:szCs w:val="17"/>
          <w:color w:val="auto"/>
        </w:rPr>
      </w:pPr>
    </w:p>
    <w:p>
      <w:pPr>
        <w:ind w:left="1320" w:right="459" w:hanging="434"/>
        <w:spacing w:after="0" w:line="277" w:lineRule="auto"/>
        <w:tabs>
          <w:tab w:leader="none" w:pos="14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 (e) of the Prospectus Directive.</w:t>
      </w:r>
    </w:p>
    <w:p>
      <w:pPr>
        <w:spacing w:after="0" w:line="1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the purpose of this provision, the expression an “offer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PD 2010 Amending Directive to the extent implemented by the relevant member state) and includes any relevant implementing measure in each relevant member state, and the expression 2010 PD Amending Directive means Directive 2010/73/EU.</w:t>
      </w:r>
    </w:p>
    <w:p>
      <w:pPr>
        <w:spacing w:after="0" w:line="111"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94" w:lineRule="exact"/>
        <w:rPr>
          <w:sz w:val="20"/>
          <w:szCs w:val="20"/>
          <w:color w:val="auto"/>
        </w:rPr>
      </w:pPr>
    </w:p>
    <w:p>
      <w:pPr>
        <w:ind w:left="1300" w:hanging="414"/>
        <w:spacing w:after="0"/>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units to the public in France.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58" w:lineRule="exact"/>
        <w:rPr>
          <w:sz w:val="20"/>
          <w:szCs w:val="20"/>
          <w:color w:val="auto"/>
        </w:rPr>
      </w:pPr>
    </w:p>
    <w:p>
      <w:pPr>
        <w:jc w:val="both"/>
        <w:ind w:left="1320" w:right="479" w:hanging="434"/>
        <w:spacing w:after="0" w:line="259" w:lineRule="auto"/>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jc w:val="both"/>
        <w:ind w:left="1320" w:right="479" w:hanging="434"/>
        <w:spacing w:after="0" w:line="286" w:lineRule="auto"/>
        <w:tabs>
          <w:tab w:leader="none" w:pos="1527"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9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units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58" w:lineRule="exact"/>
        <w:rPr>
          <w:sz w:val="20"/>
          <w:szCs w:val="20"/>
          <w:color w:val="auto"/>
        </w:rPr>
      </w:pPr>
    </w:p>
    <w:p>
      <w:pPr>
        <w:jc w:val="both"/>
        <w:ind w:left="460" w:right="479"/>
        <w:spacing w:after="0" w:line="270"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 the units are subscribed or purchased under Section 275 of the SFA by a relevant person that is:</w:t>
      </w:r>
    </w:p>
    <w:p>
      <w:pPr>
        <w:spacing w:after="0" w:line="156" w:lineRule="exact"/>
        <w:rPr>
          <w:sz w:val="20"/>
          <w:szCs w:val="20"/>
          <w:color w:val="auto"/>
        </w:rPr>
      </w:pPr>
    </w:p>
    <w:p>
      <w:pPr>
        <w:jc w:val="both"/>
        <w:ind w:left="1320" w:right="459" w:hanging="434"/>
        <w:spacing w:after="0" w:line="263" w:lineRule="auto"/>
        <w:tabs>
          <w:tab w:leader="none" w:pos="13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14A of the SFA)) the sole business of which is to hold investments and the entire share capital of which is owned by one or more individuals, each of whom is an accredited investor,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96" w:lineRule="auto"/>
        <w:tabs>
          <w:tab w:leader="none" w:pos="139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3" w:lineRule="exact"/>
        <w:rPr>
          <w:rFonts w:ascii="Arial" w:cs="Arial" w:eastAsia="Arial" w:hAnsi="Arial"/>
          <w:sz w:val="16"/>
          <w:szCs w:val="16"/>
          <w:color w:val="auto"/>
        </w:rPr>
      </w:pPr>
    </w:p>
    <w:p>
      <w:pPr>
        <w:jc w:val="both"/>
        <w:ind w:left="1320" w:right="459" w:hanging="434"/>
        <w:spacing w:after="0" w:line="272" w:lineRule="auto"/>
        <w:tabs>
          <w:tab w:leader="none" w:pos="136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9" w:lineRule="exact"/>
        <w:rPr>
          <w:rFonts w:ascii="Arial" w:cs="Arial" w:eastAsia="Arial" w:hAnsi="Arial"/>
          <w:sz w:val="17"/>
          <w:szCs w:val="17"/>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Loeb &amp; Loeb LLP, New York, New York is acting as our counsel in connection with the registration of our securities under the Securities Act, and as such, will pass upon the validity of the securities offered in this offering. Loeb &amp; Loeb LLP represents EarlyBirdCapital, Inc. in matters unrelated to this offering. Graubard Miller, New York, New York, is acting as counsel to the underwriters.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financial statements of Archimedes Tech SPAC Partners Co. for the period from September 15, 2020 (inception) through January 4, 2021 included in this Prospectus have been audited by Marcum LLP, independent registered public accounting firm, as set forth in their report, thereon (which contains an explanatory paragraph relating to substantial doubt about the ability of Archimedes Tech SPAC Partners Co. to continue as a going concern as described in Note 1 to the financial statements), appearing elsewhere in this prospectus, and are included in reliance on such report given upon such firm as experts in auditing and accounting.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9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w:t>
      </w:r>
    </w:p>
    <w:p>
      <w:pPr>
        <w:spacing w:after="0" w:line="12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49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Report of Independent Registered Public Accounting Firm</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28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Balance Sheet as of January 4, 2021</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176"/>
        </w:trPr>
        <w:tc>
          <w:tcPr>
            <w:tcW w:w="7280" w:type="dxa"/>
            <w:vAlign w:val="bottom"/>
            <w:gridSpan w:val="7"/>
          </w:tcPr>
          <w:p>
            <w:pPr>
              <w:spacing w:after="0" w:line="176" w:lineRule="exact"/>
              <w:rPr>
                <w:rFonts w:ascii="Arial" w:cs="Arial" w:eastAsia="Arial" w:hAnsi="Arial"/>
                <w:sz w:val="18"/>
                <w:szCs w:val="18"/>
                <w:color w:val="0000EE"/>
                <w:w w:val="95"/>
              </w:rPr>
            </w:pPr>
            <w:hyperlink w:anchor="page120">
              <w:r>
                <w:rPr>
                  <w:rFonts w:ascii="Arial" w:cs="Arial" w:eastAsia="Arial" w:hAnsi="Arial"/>
                  <w:sz w:val="18"/>
                  <w:szCs w:val="18"/>
                  <w:color w:val="0000EE"/>
                  <w:w w:val="95"/>
                </w:rPr>
                <w:t>Statement of Operations for the period from September 15, 2020 (inception) through January 4,</w:t>
              </w:r>
            </w:hyperlink>
          </w:p>
        </w:tc>
        <w:tc>
          <w:tcPr>
            <w:tcW w:w="820" w:type="dxa"/>
            <w:vAlign w:val="bottom"/>
          </w:tcPr>
          <w:p>
            <w:pPr>
              <w:spacing w:after="0"/>
              <w:rPr>
                <w:sz w:val="15"/>
                <w:szCs w:val="15"/>
                <w:color w:val="auto"/>
              </w:rPr>
            </w:pPr>
          </w:p>
        </w:tc>
      </w:tr>
      <w:tr>
        <w:trPr>
          <w:trHeight w:val="196"/>
        </w:trPr>
        <w:tc>
          <w:tcPr>
            <w:tcW w:w="192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2021</w:t>
              </w:r>
            </w:hyperlink>
          </w:p>
        </w:tc>
        <w:tc>
          <w:tcPr>
            <w:tcW w:w="49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4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7"/>
            <w:shd w:val="clear" w:color="auto" w:fill="CCEEFF"/>
          </w:tcPr>
          <w:p>
            <w:pPr>
              <w:spacing w:after="0" w:line="17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Statement of Changes in Stockholder’s Equity for the period from September 15, 2020 (inception)</w:t>
              </w:r>
            </w:hyperlink>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8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through January 4, 2021</w:t>
              </w:r>
            </w:hyperlink>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4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7"/>
          </w:tcPr>
          <w:p>
            <w:pPr>
              <w:spacing w:after="0" w:line="17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Statement of Cash Flows for the period from September 15, 2020 (inception) through January 4,</w:t>
              </w:r>
            </w:hyperlink>
          </w:p>
        </w:tc>
        <w:tc>
          <w:tcPr>
            <w:tcW w:w="820" w:type="dxa"/>
            <w:vAlign w:val="bottom"/>
          </w:tcPr>
          <w:p>
            <w:pPr>
              <w:spacing w:after="0"/>
              <w:rPr>
                <w:sz w:val="15"/>
                <w:szCs w:val="15"/>
                <w:color w:val="auto"/>
              </w:rPr>
            </w:pPr>
          </w:p>
        </w:tc>
      </w:tr>
      <w:tr>
        <w:trPr>
          <w:trHeight w:val="196"/>
        </w:trPr>
        <w:tc>
          <w:tcPr>
            <w:tcW w:w="192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2021</w:t>
              </w:r>
            </w:hyperlink>
          </w:p>
        </w:tc>
        <w:tc>
          <w:tcPr>
            <w:tcW w:w="49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4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Notes to Financial Statements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F-7</w:t>
            </w:r>
          </w:p>
        </w:tc>
      </w:tr>
      <w:tr>
        <w:trPr>
          <w:trHeight w:val="392"/>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4"/>
          </w:tcPr>
          <w:p>
            <w:pPr>
              <w:ind w:left="2000"/>
              <w:spacing w:after="0"/>
              <w:rPr>
                <w:sz w:val="20"/>
                <w:szCs w:val="20"/>
                <w:color w:val="auto"/>
              </w:rPr>
            </w:pPr>
            <w:r>
              <w:rPr>
                <w:rFonts w:ascii="Arial" w:cs="Arial" w:eastAsia="Arial" w:hAnsi="Arial"/>
                <w:sz w:val="18"/>
                <w:szCs w:val="18"/>
                <w:color w:val="auto"/>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audited the accompanying balance sheet of Archimedes Tech SPAC Partners Co. (the “Company”) as of January 4, 2021, the related statement of operations, stockholder’s equity, and cash flows for the period from September 15, 2020 (inception) through January 4, 2021, and the related notes (collectively referred to as the “financial statements”). In our opinion, the financial statements present fairly, in all material respects, the financial position of the Company as of January 4, 2021, and the results of its operations and its cash flows for the period from September 15, 2020 (inception) through January 4, 2021, in conformity with accounting principles generally accepted in the United States of America.</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a working capital deficiency as of January 4, 2021, and lacks the financial resources it needs to sustain operations for a reasonable period of time, which is considered to be one year from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become necessary should the Company be unable to continue as a going concern.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ARCHIMEDES TECH SPAC PARTNERS CO.</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4"/>
              </w:rPr>
              <w:t>JANUARY 4, 2021</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6"/>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Deferred offering cost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related party</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Preferred stock, $0.0001 par value; 1,000,000 shares authorized; none issued and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30,000,000 shares authorized; 2,875,000 shares issued</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71"/>
        </w:trPr>
        <w:tc>
          <w:tcPr>
            <w:tcW w:w="6860" w:type="dxa"/>
            <w:vAlign w:val="bottom"/>
          </w:tcPr>
          <w:p>
            <w:pPr>
              <w:ind w:left="180"/>
              <w:spacing w:after="0"/>
              <w:rPr>
                <w:sz w:val="20"/>
                <w:szCs w:val="20"/>
                <w:color w:val="auto"/>
              </w:rPr>
            </w:pPr>
            <w:r>
              <w:rPr>
                <w:rFonts w:ascii="Arial" w:cs="Arial" w:eastAsia="Arial" w:hAnsi="Arial"/>
                <w:sz w:val="18"/>
                <w:szCs w:val="18"/>
                <w:color w:val="auto"/>
              </w:rPr>
              <w:t>and outstanding</w:t>
            </w:r>
            <w:r>
              <w:rPr>
                <w:rFonts w:ascii="Arial" w:cs="Arial" w:eastAsia="Arial" w:hAnsi="Arial"/>
                <w:sz w:val="20"/>
                <w:szCs w:val="20"/>
                <w:color w:val="auto"/>
                <w:vertAlign w:val="superscript"/>
              </w:rPr>
              <w:t>(1)</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93" w:lineRule="auto"/>
        <w:tabs>
          <w:tab w:leader="none" w:pos="921"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number includes up to 375,000 shares of common stock subject to forfeiture if the over-allotment option is not exercised in full or in part by the underwriters (see Note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15, 2020 (INCEPTION) THROUGH JANUARY 4, 2021</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cost</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6860" w:type="dxa"/>
            <w:vAlign w:val="bottom"/>
          </w:tcPr>
          <w:p>
            <w:pPr>
              <w:spacing w:after="0"/>
              <w:rPr>
                <w:sz w:val="20"/>
                <w:szCs w:val="20"/>
                <w:color w:val="auto"/>
              </w:rPr>
            </w:pPr>
            <w:r>
              <w:rPr>
                <w:rFonts w:ascii="Arial" w:cs="Arial" w:eastAsia="Arial" w:hAnsi="Arial"/>
                <w:sz w:val="18"/>
                <w:szCs w:val="18"/>
                <w:b w:val="1"/>
                <w:bCs w:val="1"/>
                <w:color w:val="auto"/>
              </w:rPr>
              <w:t>Basic and diluted weighted average common stock outstanding</w:t>
            </w:r>
            <w:r>
              <w:rPr>
                <w:rFonts w:ascii="Arial" w:cs="Arial" w:eastAsia="Arial" w:hAnsi="Arial"/>
                <w:sz w:val="20"/>
                <w:szCs w:val="20"/>
                <w:b w:val="1"/>
                <w:bCs w:val="1"/>
                <w:color w:val="auto"/>
                <w:vertAlign w:val="superscript"/>
              </w:rPr>
              <w:t>(1)</w:t>
            </w:r>
          </w:p>
        </w:tc>
        <w:tc>
          <w:tcPr>
            <w:tcW w:w="2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64"/>
        </w:trPr>
        <w:tc>
          <w:tcPr>
            <w:tcW w:w="68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860" w:type="dxa"/>
            <w:vAlign w:val="bottom"/>
          </w:tcPr>
          <w:p>
            <w:pPr>
              <w:spacing w:after="0"/>
              <w:rPr>
                <w:sz w:val="20"/>
                <w:szCs w:val="20"/>
                <w:color w:val="auto"/>
              </w:rPr>
            </w:pPr>
            <w:r>
              <w:rPr>
                <w:rFonts w:ascii="Arial" w:cs="Arial" w:eastAsia="Arial" w:hAnsi="Arial"/>
                <w:sz w:val="18"/>
                <w:szCs w:val="18"/>
                <w:b w:val="1"/>
                <w:bCs w:val="1"/>
                <w:color w:val="auto"/>
              </w:rPr>
              <w:t>Basic and diluted net loss per common stock</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80" w:right="479" w:hanging="426"/>
        <w:spacing w:after="0" w:line="293" w:lineRule="auto"/>
        <w:tabs>
          <w:tab w:leader="none" w:pos="101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number excludes an aggregate of up to 375,000 shares of common stock subject to forfeiture if the over-allotment option is not exercised in full or in part by the underwriters (see Note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15, 2020 (INCEPTION) THROUGH JANUARY 4, 2021</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120" w:type="dxa"/>
            <w:vAlign w:val="bottom"/>
            <w:gridSpan w:val="5"/>
            <w:vMerge w:val="restart"/>
          </w:tcPr>
          <w:p>
            <w:pPr>
              <w:ind w:left="520"/>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16"/>
        </w:trPr>
        <w:tc>
          <w:tcPr>
            <w:tcW w:w="274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Paid-in</w:t>
            </w:r>
          </w:p>
        </w:tc>
        <w:tc>
          <w:tcPr>
            <w:tcW w:w="1060" w:type="dxa"/>
            <w:vAlign w:val="bottom"/>
            <w:gridSpan w:val="4"/>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060" w:type="dxa"/>
            <w:vAlign w:val="bottom"/>
            <w:gridSpan w:val="3"/>
            <w:vMerge w:val="restart"/>
          </w:tcPr>
          <w:p>
            <w:pPr>
              <w:jc w:val="center"/>
              <w:ind w:right="40"/>
              <w:spacing w:after="0" w:line="14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74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8"/>
                <w:szCs w:val="18"/>
                <w:b w:val="1"/>
                <w:bCs w:val="1"/>
                <w:color w:val="auto"/>
                <w:vertAlign w:val="superscript"/>
              </w:rPr>
              <w:t>(1)</w:t>
            </w:r>
          </w:p>
        </w:tc>
        <w:tc>
          <w:tcPr>
            <w:tcW w:w="160" w:type="dxa"/>
            <w:vAlign w:val="bottom"/>
          </w:tcPr>
          <w:p>
            <w:pPr>
              <w:spacing w:after="0"/>
              <w:rPr>
                <w:sz w:val="23"/>
                <w:szCs w:val="23"/>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Capital</w:t>
            </w:r>
          </w:p>
        </w:tc>
        <w:tc>
          <w:tcPr>
            <w:tcW w:w="180" w:type="dxa"/>
            <w:vAlign w:val="bottom"/>
          </w:tcPr>
          <w:p>
            <w:pPr>
              <w:spacing w:after="0"/>
              <w:rPr>
                <w:sz w:val="23"/>
                <w:szCs w:val="23"/>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23"/>
                <w:szCs w:val="2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82"/>
        </w:trPr>
        <w:tc>
          <w:tcPr>
            <w:tcW w:w="2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4"/>
              </w:rPr>
              <w:t>Balance as of September 15, 2020</w:t>
            </w: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Common stock issued to Sponsor</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2,875,000</w:t>
            </w:r>
          </w:p>
        </w:tc>
        <w:tc>
          <w:tcPr>
            <w:tcW w:w="1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24,712</w:t>
            </w:r>
          </w:p>
        </w:tc>
        <w:tc>
          <w:tcPr>
            <w:tcW w:w="1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8"/>
                <w:szCs w:val="18"/>
                <w:b w:val="1"/>
                <w:bCs w:val="1"/>
                <w:color w:val="auto"/>
              </w:rPr>
              <w:t>Balance as of January 4,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2,875,000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24,712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93" w:lineRule="auto"/>
        <w:tabs>
          <w:tab w:leader="none" w:pos="921"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number includes up to 375,000 shares of common stock subject to forfeiture if the over-allotment option is not exercised in full or in part by the underwriters (see Note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15, 2020 (INCEPTION) THROUGH JANUARY 4, 2021</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cash used in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360"/>
              <w:spacing w:after="0"/>
              <w:rPr>
                <w:sz w:val="20"/>
                <w:szCs w:val="20"/>
                <w:color w:val="auto"/>
              </w:rPr>
            </w:pPr>
            <w:r>
              <w:rPr>
                <w:rFonts w:ascii="Arial" w:cs="Arial" w:eastAsia="Arial" w:hAnsi="Arial"/>
                <w:sz w:val="18"/>
                <w:szCs w:val="18"/>
                <w:color w:val="auto"/>
              </w:rPr>
              <w:t>Formation cost paid by related party</w:t>
            </w:r>
          </w:p>
        </w:tc>
        <w:tc>
          <w:tcPr>
            <w:tcW w:w="3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September 15, 2020 (inception)</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end of the period</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 paid by Sponsor in exchange for issuance of common stock</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138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86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F-6</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and Business Operation</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None of the Company’s officers, directors, promoters and other affiliates has engaged in any substantive discussions on its behalf with representatives of other companies regarding the possibility of a potential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of January 4, 2021, the Company had not commenced any operations. All activity for the period from September 15, 2020 (inception) through January 4, 2021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w:t>
      </w:r>
    </w:p>
    <w:p>
      <w:pPr>
        <w:spacing w:after="0" w:line="11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Company’s Sponsor is Archimedes Tech SPAC Sponsors LLC, a Delaware limited liability company (the “Sponsor”). The Company’s ability to commence operations is contingent upon obtaining adequate financial resources through a proposed public offering of 10,000,000 units at $10.00 per unit (or 11,500,000 units if the underwriters’ over-allotment option is exercised in full) (the “Public Units”), which is discussed in Note 3 (the “Proposed Public Offering”), and the sale of 350,000 units (or 380,000 units if the underwriters’ over-allotment option is exercised in full) (the “Private Units”) at a price of $10.00 per Private Unit in a private placement to the Sponsor and EarlyBirdCapital, Inc., or EarlyBirdCapital, that will close simultaneously with the Proposed Public Offering. Each Public Unit consists of (i) one subunit (the “Public Subunit”), which consists of one share of common stock (the “Public Shares”) and one-quarter of one warrant (the “Public Warrants”), and (ii) one-half of one warrant (the “Public Warrants”); each whole warrant will be exercisable to purchase one share of common stock. Each Private Unit will also consist of (i) one subunit (the “Private Subunits”), which consists of one share of common stock (the “Private Shares”) and one-quarter of one warrant (the “Private Warrants”), and (ii) one-half of one warrant (the “Private Warrants”).</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Company must complete one or more initial Business Combinations having an aggregate fair market value of at least 80% of the value of the assets held in the Trust Account (as defined below)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the closing of the Proposed Public Offering, management has agreed that an aggregate of $10.00 per Public Unit sold in the Proposed Public Offering (regardless of whether or not the over-allotment option is exercised), will be placed in a U.S.-based Trust Account maintained by Continental Stock Transfer &amp; Trust Company, acting as trustee pursuant to an agreement to be signed on the date of the Proposed Public Offering,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shares of common stock subject to redemption will be recorded at a redemption value and classified as temporary equity upon the completion of the Proposed Public Offering,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8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Company will continue in existence only until 18 months from the closing of the Proposed Public Offering (or up to 21 months if a definitive agreement with respect to a proposed Business Combination has been executed within 18 months)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03"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the Company) only in the event of</w:t>
      </w:r>
    </w:p>
    <w:p>
      <w:pPr>
        <w:jc w:val="both"/>
        <w:ind w:left="460" w:right="459" w:hanging="6"/>
        <w:spacing w:after="0" w:line="285" w:lineRule="auto"/>
        <w:tabs>
          <w:tab w:leader="none" w:pos="691"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January 4, 2021, the Company had no cash and a working capital deficit of $716 (excluding deferred offering cost). The Company has incurred and expects to continue to incur significant costs in pursuit of its financing and acquisition plans. These conditions raise substantial doubt about the Company’s ability to continue as a going concern.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The accompanying financial statements are presented in conformity with accounting principles generally accepted in the United States of America (“US GAAP”) and pursuant to the rules and regulations of the SEC.</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58"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did not have any cash equivalents as of January 4, 2021.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Deferred offering costs consist of underwriting, legal, accounting and other expenses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Net loss per share is computed by dividing net loss by the weighted average number of common stock outstanding during the period, excluding common stocks subject to forfeiture by the Sponsor. Weighted average shares were reduced for the effect of an aggregate of 375,000 shares of common stock that are subject to forfeiture if the over-allotment option is not exercised by the underwriters (see Note 5). At January 4, 2021, the Company did not have any dilutive securities and other contracts that could, potentially, be exercised or converted into common stocks and then share in the earnings of the Company. As a result, diluted loss per share is the same as basic loss per share for the period presented.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January 4,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provision for income taxes was deemed to be immaterial for the period from September 15, 2020 (inception) through January 4, 2021. The Company’s deferred tax assets were deemed to be de minimis as of January 4, 2021.</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Pursuant to the Proposed Public Offering, the Company intends to offer for sale 10,000,000 Public Units, (or 11,500,000 Public Units if the underwriters’ over-allotment option is exercised in full) at a price of $10.00 per Public Unit. Each Public Unit consists of (i) one Public Subunit, which consists of one Public Share and one-quarter of one Public Warrant, and one-half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4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Sponsor and EarlyBirdCapital have committed to purchase an aggregate of 350,000 Private Units of which 300,000 units shall be purchased by the Sponsor the 50,000 units shall be purchased by EarlyBirdCapital and/or its designees at $10.00 per unit (for a total purchase price of $3,500,000). These purchases will take place on a private placement basis simultaneously with the consummation of the Proposed Public Offering. The Sponsor and EarlyBirdCapital have also agreed that, if the over-allotment option is exercised by the underwriters in full or in part, they and/or their designees will purchase from the Company additional Private Units (up to a maximum of 30,000 Private Units at a price of $10.00 per Private Unit, of which up to 22,500 units will be purchased by the Sponsor and 7,500 units will be purchased by EarlyBirdCapital) necessary to maintain in the Trust Account $10.00 per unit sold to the public in the Proposed Public Offering.</w:t>
      </w:r>
    </w:p>
    <w:p>
      <w:pPr>
        <w:spacing w:after="0" w:line="9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w:t>
      </w:r>
    </w:p>
    <w:p>
      <w:pPr>
        <w:spacing w:after="0" w:line="10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On the date of the Proposed Public Offering, the Founder Shares will be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the six-month anniversary of the date of the consummation of the initial Business Combination or earlier if, subsequent to the initial Business Combination, the Company consummates a liquidation, merger, stock exchange or other similar transaction which results in all of its stockholders having the right to exchange their shares of common stock for cash, securities or other property.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5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On January 4, 2021, the Sponsor agreed to loan the Company up to $300,000 to be used for a portion of the expenses of the Proposed Public Offering. These loans are non-interest bearing, unsecured and are due at the earlier of March 31, 2021 or the closing of the Proposed Public Offering. As of January 4, 2021, the Company had no borrowings under the promissory note. The Company intends to repay the loan from the proceeds of the Proposed Public Offering not being placed in trust upon consummation of the Proposed Public Offering.</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In order to meet the working capital needs following the consummation of the Proposed Public Offering if the funds not held in the Trust Account are insufficient, the Sponsor, initial stockholders, officers, directors and their affiliates may, but are not obligated to, loan the Company funds, from time to time or at any time, in whatever amount they deem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one-half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Commencing on the date of the Proposed Public Offering through the acquisition of a target business, the Company will pay an affiliate of the Chief Executive Officer, an aggregate fee of $10,000 per month for providing the Company with office space and certain office and secretarial services.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Proposed Public Offering, as well as the holders of the Private Units and any units the Sponsor, officers, directors or their affiliates may be issued in payment of Working Capital Loans made to the Company (and all underlying securities), will be entitled to registration rights pursuant to an agreement to be signed prior to or on the effective date of the Proposed Public Offering. The holders of a majority of these securities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the effective date of the registration statement.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Underwriters Agreement</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the Proposed Public Offering to purchase up to an additional 1,500,000 Public Units to cover over-allotments, if any.</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underwriters will be entitled to a cash underwriting discount of two percent (2%) of the gross proceeds of the Proposed Public Offering, or $2,000,000 (or up to $2,300,000 if the underwriters’ over-allotment is exercised in full).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&amp; Contingencies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Proposed Public Offering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On January 13, 2021, the Company has issued to EarlyBirdCapital and its designees an aggregate of 350,000 representative shares at $0.0001 per share (the “Representative Shares”).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pursuant to Rule 5110(g)(1) of the FINRA Manual. Pursuant to FINRA Rule 5110(g)(1),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4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b w:val="1"/>
          <w:bCs w:val="1"/>
          <w:i w:val="1"/>
          <w:iCs w:val="1"/>
          <w:color w:val="auto"/>
        </w:rPr>
        <w:t xml:space="preserve">Preferred stock </w:t>
      </w:r>
      <w:r>
        <w:rPr>
          <w:rFonts w:ascii="Arial" w:cs="Arial" w:eastAsia="Arial" w:hAnsi="Arial"/>
          <w:sz w:val="16"/>
          <w:szCs w:val="16"/>
          <w:color w:val="auto"/>
        </w:rPr>
        <w:t>— The Company is authorized to issue 1,000,000 shares of preferred stock with a par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$0.0001 and with such designations, rights and preferences as may be determined from time to time by the Company’s board of directors. As of January 4, 2021, there were no preferred stock issued or outstanding.</w:t>
      </w:r>
    </w:p>
    <w:p>
      <w:pPr>
        <w:spacing w:after="0" w:line="8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30,000,000 shares of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are entitled to one vote for each share of common stock. At January 4, 2021, there were 2,875,000 shares of common stock issued and outstanding. Of the 2,875,000 shares of common stock, an aggregate of up to 375,000 shares of common stock are subject to forfeiture to the Company for no consideration to the extent that the underwriters’ over-allotment option is not exercised in full or in part, so that the initial stockholders will collectively own 20% of the Company’s issued and outstanding common stocks after the Proposed Public Offering.</w:t>
      </w:r>
    </w:p>
    <w:p>
      <w:pPr>
        <w:spacing w:after="0" w:line="12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No warrants are currently outstanding. Each whole warrant entitles the holder to purchase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1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6" w:lineRule="exact"/>
        <w:rPr>
          <w:sz w:val="20"/>
          <w:szCs w:val="20"/>
          <w:color w:val="auto"/>
        </w:rPr>
      </w:pPr>
    </w:p>
    <w:p>
      <w:pPr>
        <w:ind w:left="1300" w:hanging="41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06"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January 15, 2021, the date that the financial statements were issued.</w:t>
      </w:r>
    </w:p>
    <w:p>
      <w:pPr>
        <w:spacing w:after="0" w:line="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January 13, 2021, the Sponsor sold 25,000 Founder Shares to each of Mr. Edwards, Mr. Julia and Mr. Pai, for an aggregate of 75,000 founder share, at approximately $0.009 per share, the same as the Sponsor’s original effective purchase price for the Founder Shares.</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On January 13, 2021, the Company issued to EarlyBirdCapital and its designees an aggregate of 350,000 representative shares at $0.0001 per share.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Archimedes Tech SPAC Partners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Sole Book-Running Manager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EarlyBirdCapital, Inc.</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Co-Manager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I-Bankers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color w:val="auto"/>
        </w:rPr>
        <w:t xml:space="preserve">Until </w:t>
      </w:r>
      <w:r>
        <w:rPr>
          <w:rFonts w:ascii="Arial" w:cs="Arial" w:eastAsia="Arial" w:hAnsi="Arial"/>
          <w:sz w:val="18"/>
          <w:szCs w:val="18"/>
          <w:b w:val="1"/>
          <w:bCs w:val="1"/>
          <w:color w:val="auto"/>
        </w:rPr>
        <w:t>[•]</w:t>
      </w:r>
      <w:r>
        <w:rPr>
          <w:rFonts w:ascii="Arial" w:cs="Arial" w:eastAsia="Arial" w:hAnsi="Arial"/>
          <w:sz w:val="18"/>
          <w:szCs w:val="18"/>
          <w:color w:val="auto"/>
        </w:rPr>
        <w:t>, 2021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674370</wp:posOffset>
            </wp:positionV>
            <wp:extent cx="514350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716915</wp:posOffset>
            </wp:positionV>
            <wp:extent cx="514350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991235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1" w:name="page132"/>
    <w:bookmarkEnd w:id="1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Nasdaq Listing Fees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23,370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D&amp;O Insurance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33,880</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14.</w:t>
        <w:tab/>
        <w:t>INDEMNIFICATION OF DIRECTORS AND OFFICERS.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68" w:lineRule="auto"/>
        <w:tabs>
          <w:tab w:leader="none" w:pos="13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2" w:lineRule="exact"/>
        <w:rPr>
          <w:rFonts w:ascii="Arial" w:cs="Arial" w:eastAsia="Arial" w:hAnsi="Arial"/>
          <w:sz w:val="17"/>
          <w:szCs w:val="17"/>
          <w:color w:val="auto"/>
        </w:rPr>
      </w:pPr>
    </w:p>
    <w:p>
      <w:pPr>
        <w:jc w:val="both"/>
        <w:ind w:left="1320" w:right="459" w:hanging="434"/>
        <w:spacing w:after="0" w:line="286" w:lineRule="auto"/>
        <w:tabs>
          <w:tab w:leader="none" w:pos="128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91" w:lineRule="auto"/>
        <w:tabs>
          <w:tab w:leader="none" w:pos="1333"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w:t>
      </w:r>
    </w:p>
    <w:p>
      <w:pPr>
        <w:jc w:val="both"/>
        <w:ind w:left="1320" w:right="459" w:hanging="2"/>
        <w:spacing w:after="0" w:line="255" w:lineRule="auto"/>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of this section, or in defense of any claim, issue or matter therein, such person shall be indemnified against expenses (including attorneys’ fees) actually and reasonably incurred by such person in connection therewith.</w:t>
      </w:r>
    </w:p>
    <w:p>
      <w:pPr>
        <w:spacing w:after="0" w:line="122" w:lineRule="exact"/>
        <w:rPr>
          <w:rFonts w:ascii="Arial" w:cs="Arial" w:eastAsia="Arial" w:hAnsi="Arial"/>
          <w:sz w:val="18"/>
          <w:szCs w:val="18"/>
          <w:color w:val="auto"/>
        </w:rPr>
      </w:pPr>
    </w:p>
    <w:p>
      <w:pPr>
        <w:jc w:val="both"/>
        <w:ind w:left="1320" w:right="459" w:hanging="434"/>
        <w:spacing w:after="0" w:line="305" w:lineRule="auto"/>
        <w:tabs>
          <w:tab w:leader="none" w:pos="1273"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jc w:val="both"/>
        <w:ind w:left="1320" w:right="479" w:hanging="2"/>
        <w:spacing w:after="0" w:line="281" w:lineRule="auto"/>
        <w:tabs>
          <w:tab w:leader="none" w:pos="1589"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2" w:lineRule="exact"/>
        <w:rPr>
          <w:rFonts w:ascii="Arial" w:cs="Arial" w:eastAsia="Arial" w:hAnsi="Arial"/>
          <w:sz w:val="16"/>
          <w:szCs w:val="16"/>
          <w:color w:val="auto"/>
        </w:rPr>
      </w:pPr>
    </w:p>
    <w:p>
      <w:pPr>
        <w:ind w:left="1320" w:right="479"/>
        <w:spacing w:after="0" w:line="260" w:lineRule="auto"/>
        <w:rPr>
          <w:rFonts w:ascii="Arial" w:cs="Arial" w:eastAsia="Arial" w:hAnsi="Arial"/>
          <w:sz w:val="16"/>
          <w:szCs w:val="16"/>
          <w:color w:val="auto"/>
        </w:rPr>
      </w:pPr>
      <w:r>
        <w:rPr>
          <w:rFonts w:ascii="Arial" w:cs="Arial" w:eastAsia="Arial" w:hAnsi="Arial"/>
          <w:sz w:val="18"/>
          <w:szCs w:val="18"/>
          <w:color w:val="auto"/>
        </w:rPr>
        <w:t>(3) if there are no such directors, or if such directors so direct, by independent legal counsel in a written opinion, or (4) by the stockholders.</w:t>
      </w:r>
    </w:p>
    <w:p>
      <w:pPr>
        <w:spacing w:after="0" w:line="117" w:lineRule="exact"/>
        <w:rPr>
          <w:rFonts w:ascii="Arial" w:cs="Arial" w:eastAsia="Arial" w:hAnsi="Arial"/>
          <w:sz w:val="16"/>
          <w:szCs w:val="16"/>
          <w:color w:val="auto"/>
        </w:rPr>
      </w:pPr>
    </w:p>
    <w:p>
      <w:pPr>
        <w:jc w:val="both"/>
        <w:ind w:left="1320" w:right="459" w:hanging="434"/>
        <w:spacing w:after="0" w:line="254" w:lineRule="auto"/>
        <w:tabs>
          <w:tab w:leader="none" w:pos="14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w:t>
      </w:r>
    </w:p>
    <w:p>
      <w:pPr>
        <w:spacing w:after="0" w:line="110" w:lineRule="exact"/>
        <w:rPr>
          <w:rFonts w:ascii="Arial" w:cs="Arial" w:eastAsia="Arial" w:hAnsi="Arial"/>
          <w:sz w:val="18"/>
          <w:szCs w:val="18"/>
          <w:color w:val="auto"/>
        </w:rPr>
      </w:pPr>
    </w:p>
    <w:p>
      <w:pPr>
        <w:jc w:val="both"/>
        <w:ind w:left="1320" w:right="479" w:hanging="434"/>
        <w:spacing w:after="0" w:line="275" w:lineRule="auto"/>
        <w:tabs>
          <w:tab w:leader="none" w:pos="137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08" w:lineRule="exact"/>
        <w:rPr>
          <w:rFonts w:ascii="Arial" w:cs="Arial" w:eastAsia="Arial" w:hAnsi="Arial"/>
          <w:sz w:val="17"/>
          <w:szCs w:val="17"/>
          <w:color w:val="auto"/>
        </w:rPr>
      </w:pPr>
    </w:p>
    <w:p>
      <w:pPr>
        <w:jc w:val="both"/>
        <w:ind w:left="1320" w:right="459" w:hanging="434"/>
        <w:spacing w:after="0" w:line="293"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96" w:lineRule="exact"/>
        <w:rPr>
          <w:rFonts w:ascii="Arial" w:cs="Arial" w:eastAsia="Arial" w:hAnsi="Arial"/>
          <w:sz w:val="16"/>
          <w:szCs w:val="16"/>
          <w:color w:val="auto"/>
        </w:rPr>
      </w:pPr>
    </w:p>
    <w:p>
      <w:pPr>
        <w:jc w:val="both"/>
        <w:ind w:left="1320" w:right="459" w:hanging="434"/>
        <w:spacing w:after="0" w:line="289" w:lineRule="auto"/>
        <w:tabs>
          <w:tab w:leader="none" w:pos="1283"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85" w:lineRule="exact"/>
        <w:rPr>
          <w:rFonts w:ascii="Arial" w:cs="Arial" w:eastAsia="Arial" w:hAnsi="Arial"/>
          <w:sz w:val="16"/>
          <w:szCs w:val="16"/>
          <w:color w:val="auto"/>
        </w:rPr>
      </w:pPr>
    </w:p>
    <w:p>
      <w:pPr>
        <w:jc w:val="both"/>
        <w:ind w:left="1320" w:right="459" w:hanging="434"/>
        <w:spacing w:after="0" w:line="270" w:lineRule="auto"/>
        <w:tabs>
          <w:tab w:leader="none" w:pos="13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59" w:lineRule="auto"/>
        <w:tabs>
          <w:tab w:leader="none" w:pos="131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9" w:lineRule="exact"/>
        <w:rPr>
          <w:rFonts w:ascii="Arial" w:cs="Arial" w:eastAsia="Arial" w:hAnsi="Arial"/>
          <w:sz w:val="18"/>
          <w:szCs w:val="18"/>
          <w:color w:val="auto"/>
        </w:rPr>
      </w:pPr>
    </w:p>
    <w:p>
      <w:pPr>
        <w:jc w:val="both"/>
        <w:ind w:left="1320" w:right="459" w:hanging="434"/>
        <w:spacing w:after="0" w:line="301" w:lineRule="auto"/>
        <w:tabs>
          <w:tab w:leader="none" w:pos="128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90" w:lineRule="exact"/>
        <w:rPr>
          <w:sz w:val="20"/>
          <w:szCs w:val="20"/>
          <w:color w:val="auto"/>
        </w:rPr>
      </w:pPr>
    </w:p>
    <w:p>
      <w:pPr>
        <w:jc w:val="both"/>
        <w:ind w:left="1320" w:right="459"/>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Paragraph B of Article Eighth of our certificate of incorporation provides: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10"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Pursuant to the Underwriting Agreement filed as Exhibit 1.1 to this Registration Statement, we have agreed to indemnify the Underwriter and the Underwriter has agreed to indemnify us against certain civil liabilities that may be incurred in connection with this offering, including certain liabilities under the Securities Act.</w:t>
      </w:r>
    </w:p>
    <w:p>
      <w:pPr>
        <w:spacing w:after="0" w:line="16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1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1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Company’s sponsor and EarlyBirdCapital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consists of one private subunit (consisting of one private share and one-quarter of a private warrant) and one-half of a private warrant. They have also agreed that if the over-allotment option is exercised by the underwriters in full or in part, they and/or their designees will purchase from us additional private units (up to a maximum of 30,000 private units at a price of $10.00 per private unit, of which up to 22,500 will be purchased by our sponsor and 7,500 will be purchased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by EarlyBirdCapital and/or its designees) in an amount that is necessary to maintain in the trust account $10.00 per unit sold to the public in this offering. This purchase will take place on a private placement basis simultaneously with the consummation of the initial public offering. These issuances will be made pursuant to the exemption from registration contained in Section 4(a)(2) of the Securities Act.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16.</w:t>
        <w:tab/>
        <w:t>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640"/>
        <w:spacing w:after="0"/>
        <w:tabs>
          <w:tab w:leader="none" w:pos="446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ectPr>
          <w:pgSz w:w="11900" w:h="16838" w:orient="portrait"/>
          <w:cols w:equalWidth="0" w:num="1">
            <w:col w:w="9019"/>
          </w:cols>
          <w:pgMar w:left="1440" w:top="274" w:right="1440" w:bottom="1440" w:gutter="0" w:footer="0" w:header="0"/>
        </w:sectPr>
      </w:pP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3.1.1</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-139065</wp:posOffset>
            </wp:positionV>
            <wp:extent cx="514350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Amendment to Certificate of Incorporation.*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Form of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Bylaws.*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Specimen Unit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Specimen Common Stock Certificate.*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Specimen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Specimen Subunit Certificate.*</w:t>
      </w:r>
    </w:p>
    <w:p>
      <w:pPr>
        <w:spacing w:after="0" w:line="50" w:lineRule="exact"/>
        <w:rPr>
          <w:sz w:val="20"/>
          <w:szCs w:val="20"/>
          <w:color w:val="auto"/>
        </w:rPr>
      </w:pPr>
    </w:p>
    <w:p>
      <w:pPr>
        <w:ind w:right="459"/>
        <w:spacing w:after="0" w:line="277" w:lineRule="auto"/>
        <w:rPr>
          <w:sz w:val="20"/>
          <w:szCs w:val="20"/>
          <w:color w:val="auto"/>
        </w:rPr>
      </w:pPr>
      <w:r>
        <w:rPr>
          <w:rFonts w:ascii="Arial" w:cs="Arial" w:eastAsia="Arial" w:hAnsi="Arial"/>
          <w:sz w:val="18"/>
          <w:szCs w:val="18"/>
          <w:color w:val="auto"/>
        </w:rPr>
        <w:t>Form of Warrant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5715</wp:posOffset>
            </wp:positionV>
            <wp:extent cx="514350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Opinion of Loeb &amp; Loeb LLP.*</w:t>
      </w:r>
    </w:p>
    <w:p>
      <w:pPr>
        <w:spacing w:after="0" w:line="50" w:lineRule="exact"/>
        <w:rPr>
          <w:sz w:val="20"/>
          <w:szCs w:val="20"/>
          <w:color w:val="auto"/>
        </w:rPr>
      </w:pPr>
    </w:p>
    <w:p>
      <w:pPr>
        <w:ind w:right="479"/>
        <w:spacing w:after="0" w:line="273" w:lineRule="auto"/>
        <w:rPr>
          <w:sz w:val="20"/>
          <w:szCs w:val="20"/>
          <w:color w:val="auto"/>
        </w:rPr>
      </w:pPr>
      <w:r>
        <w:rPr>
          <w:rFonts w:ascii="Arial" w:cs="Arial" w:eastAsia="Arial" w:hAnsi="Arial"/>
          <w:sz w:val="18"/>
          <w:szCs w:val="18"/>
          <w:color w:val="auto"/>
        </w:rPr>
        <w:t>Form of Letter Agreement from each of the Registrant’s sponsor, initial stockholders, officers and directors.*</w:t>
      </w:r>
    </w:p>
    <w:p>
      <w:pPr>
        <w:spacing w:after="0" w:line="2" w:lineRule="exact"/>
        <w:rPr>
          <w:sz w:val="20"/>
          <w:szCs w:val="20"/>
          <w:color w:val="auto"/>
        </w:rPr>
      </w:pPr>
    </w:p>
    <w:p>
      <w:pPr>
        <w:sectPr>
          <w:pgSz w:w="11900" w:h="16838" w:orient="portrait"/>
          <w:cols w:equalWidth="0" w:num="2">
            <w:col w:w="820" w:space="400"/>
            <w:col w:w="7799"/>
          </w:cols>
          <w:pgMar w:left="1440" w:top="274" w:right="1440" w:bottom="1440" w:gutter="0" w:footer="0" w:header="0"/>
          <w:type w:val="continuous"/>
        </w:sectPr>
      </w:pPr>
    </w:p>
    <w:p>
      <w:pPr>
        <w:ind w:left="1220" w:right="459" w:hanging="768"/>
        <w:spacing w:after="0" w:line="273" w:lineRule="auto"/>
        <w:tabs>
          <w:tab w:leader="none" w:pos="12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10.5.1</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10.5.2</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10.6</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10.6</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99.6</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Form of Registration Rights Agreement.*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Form of Subscription agreement for private units by Archimedes Tech SPAC Sponsors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55245</wp:posOffset>
            </wp:positionV>
            <wp:extent cx="5143500"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Form of Subscription agreement for private units by EarlyBirdCapital,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Form of Stock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Form of Administrative Services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Consent of Marcum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Consent of 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(included on signature page of this Registration Statement).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charter.*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Nominating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Consent of Eric R. Ball.*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Consent of Bryant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Consent of Luc Julia.*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Consent of Rajan P. Pai.*</w:t>
      </w:r>
    </w:p>
    <w:p>
      <w:pPr>
        <w:spacing w:after="0" w:line="108" w:lineRule="exact"/>
        <w:rPr>
          <w:sz w:val="20"/>
          <w:szCs w:val="20"/>
          <w:color w:val="auto"/>
        </w:rPr>
      </w:pPr>
    </w:p>
    <w:p>
      <w:pPr>
        <w:sectPr>
          <w:pgSz w:w="11900" w:h="16838" w:orient="portrait"/>
          <w:cols w:equalWidth="0" w:num="2">
            <w:col w:w="900" w:space="320"/>
            <w:col w:w="779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be filed.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5" w:name="page136"/>
    <w:bookmarkEnd w:id="1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17.</w:t>
        <w:tab/>
        <w:t>UNDERTAKINGS.</w:t>
      </w:r>
    </w:p>
    <w:p>
      <w:pPr>
        <w:spacing w:after="0" w:line="148" w:lineRule="exact"/>
        <w:rPr>
          <w:sz w:val="20"/>
          <w:szCs w:val="20"/>
          <w:color w:val="auto"/>
        </w:rPr>
      </w:pPr>
    </w:p>
    <w:p>
      <w:pPr>
        <w:ind w:left="1300" w:hanging="41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760" w:right="479" w:hanging="442"/>
        <w:spacing w:after="0" w:line="277" w:lineRule="auto"/>
        <w:tabs>
          <w:tab w:leader="none" w:pos="1726"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2140" w:hanging="390"/>
        <w:spacing w:after="0"/>
        <w:tabs>
          <w:tab w:leader="none" w:pos="2140" w:val="left"/>
        </w:tabs>
        <w:numPr>
          <w:ilvl w:val="2"/>
          <w:numId w:val="85"/>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55" w:lineRule="exact"/>
        <w:rPr>
          <w:rFonts w:ascii="Arial" w:cs="Arial" w:eastAsia="Arial" w:hAnsi="Arial"/>
          <w:sz w:val="17"/>
          <w:szCs w:val="17"/>
          <w:color w:val="auto"/>
        </w:rPr>
      </w:pPr>
    </w:p>
    <w:p>
      <w:pPr>
        <w:jc w:val="both"/>
        <w:ind w:left="2180" w:right="459" w:hanging="430"/>
        <w:spacing w:after="0" w:line="269" w:lineRule="auto"/>
        <w:tabs>
          <w:tab w:leader="none" w:pos="2284" w:val="left"/>
        </w:tabs>
        <w:numPr>
          <w:ilvl w:val="2"/>
          <w:numId w:val="8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14" w:lineRule="exact"/>
        <w:rPr>
          <w:rFonts w:ascii="Arial" w:cs="Arial" w:eastAsia="Arial" w:hAnsi="Arial"/>
          <w:sz w:val="17"/>
          <w:szCs w:val="17"/>
          <w:color w:val="auto"/>
        </w:rPr>
      </w:pPr>
    </w:p>
    <w:p>
      <w:pPr>
        <w:jc w:val="both"/>
        <w:ind w:left="2180" w:right="479" w:hanging="430"/>
        <w:spacing w:after="0" w:line="263" w:lineRule="auto"/>
        <w:tabs>
          <w:tab w:leader="none" w:pos="2367" w:val="left"/>
        </w:tabs>
        <w:numPr>
          <w:ilvl w:val="2"/>
          <w:numId w:val="8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jc w:val="both"/>
        <w:ind w:left="1760" w:right="459" w:hanging="442"/>
        <w:spacing w:after="0" w:line="259" w:lineRule="auto"/>
        <w:tabs>
          <w:tab w:leader="none" w:pos="1746"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5" w:lineRule="exact"/>
        <w:rPr>
          <w:rFonts w:ascii="Arial" w:cs="Arial" w:eastAsia="Arial" w:hAnsi="Arial"/>
          <w:sz w:val="18"/>
          <w:szCs w:val="18"/>
          <w:color w:val="auto"/>
        </w:rPr>
      </w:pPr>
    </w:p>
    <w:p>
      <w:pPr>
        <w:ind w:left="1760" w:right="479" w:hanging="442"/>
        <w:spacing w:after="0" w:line="277" w:lineRule="auto"/>
        <w:tabs>
          <w:tab w:leader="none" w:pos="1846"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jc w:val="both"/>
        <w:ind w:left="1760" w:right="479" w:hanging="442"/>
        <w:spacing w:after="0" w:line="273" w:lineRule="auto"/>
        <w:tabs>
          <w:tab w:leader="none" w:pos="1725"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7"/>
          <w:szCs w:val="17"/>
          <w:color w:val="auto"/>
        </w:rPr>
      </w:pPr>
    </w:p>
    <w:p>
      <w:pPr>
        <w:ind w:left="2180" w:right="479" w:hanging="430"/>
        <w:spacing w:after="0" w:line="277" w:lineRule="auto"/>
        <w:tabs>
          <w:tab w:leader="none" w:pos="221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180" w:right="459" w:hanging="430"/>
        <w:spacing w:after="0" w:line="277" w:lineRule="auto"/>
        <w:tabs>
          <w:tab w:leader="none" w:pos="2287"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jc w:val="both"/>
        <w:ind w:left="2180" w:right="479" w:hanging="430"/>
        <w:spacing w:after="0" w:line="263" w:lineRule="auto"/>
        <w:tabs>
          <w:tab w:leader="none" w:pos="2299"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479" w:hanging="430"/>
        <w:spacing w:after="0" w:line="277" w:lineRule="auto"/>
        <w:tabs>
          <w:tab w:leader="none" w:pos="2289"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16" w:lineRule="exact"/>
        <w:rPr>
          <w:rFonts w:ascii="Arial" w:cs="Arial" w:eastAsia="Arial" w:hAnsi="Arial"/>
          <w:sz w:val="18"/>
          <w:szCs w:val="18"/>
          <w:color w:val="auto"/>
        </w:rPr>
      </w:pPr>
    </w:p>
    <w:p>
      <w:pPr>
        <w:jc w:val="both"/>
        <w:ind w:left="1320" w:right="479" w:hanging="434"/>
        <w:spacing w:after="0" w:line="257" w:lineRule="auto"/>
        <w:tabs>
          <w:tab w:leader="none" w:pos="13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7" w:lineRule="exact"/>
        <w:rPr>
          <w:sz w:val="20"/>
          <w:szCs w:val="20"/>
          <w:color w:val="auto"/>
        </w:rPr>
      </w:pPr>
    </w:p>
    <w:p>
      <w:pPr>
        <w:ind w:left="1280" w:hanging="394"/>
        <w:spacing w:after="0"/>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jc w:val="both"/>
        <w:ind w:left="1760" w:right="459" w:hanging="442"/>
        <w:spacing w:after="0" w:line="275" w:lineRule="auto"/>
        <w:tabs>
          <w:tab w:leader="none" w:pos="1834" w:val="left"/>
        </w:tabs>
        <w:numPr>
          <w:ilvl w:val="1"/>
          <w:numId w:val="8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5" w:lineRule="exact"/>
        <w:rPr>
          <w:rFonts w:ascii="Arial" w:cs="Arial" w:eastAsia="Arial" w:hAnsi="Arial"/>
          <w:sz w:val="17"/>
          <w:szCs w:val="17"/>
          <w:color w:val="auto"/>
        </w:rPr>
      </w:pPr>
    </w:p>
    <w:p>
      <w:pPr>
        <w:jc w:val="both"/>
        <w:ind w:left="1760" w:right="459" w:hanging="442"/>
        <w:spacing w:after="0" w:line="279" w:lineRule="auto"/>
        <w:tabs>
          <w:tab w:leader="none" w:pos="1826"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Claymont, Delaware.</w:t>
      </w:r>
    </w:p>
    <w:p>
      <w:pPr>
        <w:spacing w:after="0" w:line="14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ARCHIMEDES TECH SPAC PARTNERS CO.</w:t>
      </w:r>
    </w:p>
    <w:p>
      <w:pPr>
        <w:spacing w:after="0" w:line="18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48895</wp:posOffset>
            </wp:positionV>
            <wp:extent cx="23145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7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  Stephen N. Cannon</w:t>
      </w:r>
    </w:p>
    <w:p>
      <w:pPr>
        <w:spacing w:after="0" w:line="77"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Stephen N. Cannon his 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4140" w:type="dxa"/>
            <w:vAlign w:val="bottom"/>
            <w:gridSpan w:val="2"/>
          </w:tcPr>
          <w:p>
            <w:pPr>
              <w:ind w:left="1740"/>
              <w:spacing w:after="0"/>
              <w:rPr>
                <w:sz w:val="20"/>
                <w:szCs w:val="20"/>
                <w:color w:val="auto"/>
              </w:rPr>
            </w:pPr>
            <w:r>
              <w:rPr>
                <w:rFonts w:ascii="Arial" w:cs="Arial" w:eastAsia="Arial" w:hAnsi="Arial"/>
                <w:sz w:val="16"/>
                <w:szCs w:val="16"/>
                <w:b w:val="1"/>
                <w:bCs w:val="1"/>
                <w:color w:val="auto"/>
              </w:rPr>
              <w:t>Position</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46"/>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120" w:type="dxa"/>
            <w:vAlign w:val="bottom"/>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President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42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Stephen N. Cannon</w:t>
            </w:r>
          </w:p>
        </w:tc>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120" w:type="dxa"/>
            <w:vAlign w:val="bottom"/>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42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Long Long</w:t>
            </w:r>
          </w:p>
        </w:tc>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II-7</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0"/>
      <w:numFmt w:val="bullet"/>
      <w:start w:val="1"/>
    </w:lvl>
  </w:abstractNum>
  <w:abstractNum w:abstractNumId="4">
    <w:nsid w:val="7A6D8D3C"/>
    <w:multiLevelType w:val="hybridMultilevel"/>
    <w:lvl w:ilvl="0">
      <w:lvlJc w:val="left"/>
      <w:lvlText w:val="0"/>
      <w:numFmt w:val="bullet"/>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1)"/>
      <w:numFmt w:val="lowerLetter"/>
      <w:start w:val="24"/>
    </w:lvl>
  </w:abstractNum>
  <w:abstractNum w:abstractNumId="7">
    <w:nsid w:val="6DE91B18"/>
    <w:multiLevelType w:val="hybridMultilevel"/>
    <w:lvl w:ilvl="0">
      <w:lvlJc w:val="left"/>
      <w:lvlText w:val="(%1)"/>
      <w:numFmt w:val="lowerLetter"/>
      <w:start w:val="26"/>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decimal"/>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1)"/>
      <w:numFmt w:val="upperLetter"/>
      <w:start w:val="3"/>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1)"/>
      <w:numFmt w:val="lowerRoman"/>
      <w:start w:val="2"/>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lvl w:ilvl="1">
      <w:lvlJc w:val="left"/>
      <w:lvlText w:val="(%2)"/>
      <w:numFmt w:val="decimal"/>
      <w:start w:val="2"/>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1)"/>
      <w:numFmt w:val="decimal"/>
      <w:start w:val="2"/>
    </w:lvl>
  </w:abstractNum>
  <w:abstractNum w:abstractNumId="37">
    <w:nsid w:val="61574095"/>
    <w:multiLevelType w:val="hybridMultilevel"/>
    <w:lvl w:ilvl="0">
      <w:lvlJc w:val="left"/>
      <w:lvlText w:val="(%1)"/>
      <w:numFmt w:val="lowerRoman"/>
      <w:start w:val="3"/>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2"/>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lowerRoman"/>
      <w:start w:val="3"/>
    </w:lvl>
  </w:abstractNum>
  <w:abstractNum w:abstractNumId="51">
    <w:nsid w:val="6590700B"/>
    <w:multiLevelType w:val="hybridMultilevel"/>
    <w:lvl w:ilvl="0">
      <w:lvlJc w:val="left"/>
      <w:lvlText w:val="(%1)"/>
      <w:numFmt w:val="upperLetter"/>
      <w:start w:val="2"/>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1)"/>
      <w:numFmt w:val="upperLetter"/>
      <w:start w:val="2"/>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1)"/>
      <w:numFmt w:val="lowerRoman"/>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lowerRoman"/>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Letter"/>
      <w:start w:val="3"/>
    </w:lvl>
    <w:lvl w:ilvl="1">
      <w:lvlJc w:val="left"/>
      <w:lvlText w:val="(%2)"/>
      <w:numFmt w:val="lowerLetter"/>
      <w:start w:val="2"/>
    </w:lvl>
  </w:abstractNum>
  <w:abstractNum w:abstractNumId="79">
    <w:nsid w:val="1A27709E"/>
    <w:multiLevelType w:val="hybridMultilevel"/>
    <w:lvl w:ilvl="0">
      <w:lvlJc w:val="left"/>
      <w:lvlText w:val="%1"/>
      <w:numFmt w:val="lowerLetter"/>
      <w:start w:val="1"/>
    </w:lvl>
    <w:lvl w:ilvl="1">
      <w:lvlJc w:val="left"/>
      <w:lvlText w:val="(%2)"/>
      <w:numFmt w:val="lowerLetter"/>
      <w:start w:val="1"/>
    </w:lvl>
  </w:abstractNum>
  <w:abstractNum w:abstractNumId="80">
    <w:nsid w:val="71EA1109"/>
    <w:multiLevelType w:val="hybridMultilevel"/>
    <w:lvl w:ilvl="0">
      <w:lvlJc w:val="left"/>
      <w:lvlText w:val="(%1)"/>
      <w:numFmt w:val="lowerLetter"/>
      <w:start w:val="5"/>
    </w:lvl>
    <w:lvl w:ilvl="1">
      <w:lvlJc w:val="left"/>
      <w:lvlText w:val="%2"/>
      <w:numFmt w:val="lowerLetter"/>
      <w:start w:val="1"/>
    </w:lvl>
  </w:abstractNum>
  <w:abstractNum w:abstractNumId="81">
    <w:nsid w:val="100F59DC"/>
    <w:multiLevelType w:val="hybridMultilevel"/>
    <w:lvl w:ilvl="0">
      <w:lvlJc w:val="left"/>
      <w:lvlText w:val="(%1)"/>
      <w:numFmt w:val="lowerLetter"/>
      <w:start w:val="10"/>
    </w:lvl>
  </w:abstractNum>
  <w:abstractNum w:abstractNumId="82">
    <w:nsid w:val="7FB7E0AA"/>
    <w:multiLevelType w:val="hybridMultilevel"/>
    <w:lvl w:ilvl="0">
      <w:lvlJc w:val="left"/>
      <w:lvlText w:val="(%1)"/>
      <w:numFmt w:val="lowerLetter"/>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5">
    <w:nsid w:val="94211F2"/>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2021-02-12T23:12:14Z</dcterms:created>
  <dcterms:modified xsi:type="dcterms:W3CDTF">2021-02-12T23:12:14Z</dcterms:modified>
</cp:coreProperties>
</file>