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EMAMI MAJID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SOUNDHOUND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5400 BETSY ROSS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SOUNDHOUND AI, INC.</w:t>
              </w:r>
            </w:hyperlink>
            <w:r>
              <w:rPr/>
              <w:t xml:space="preserve"> [ </w:t>
            </w:r>
            <w:r>
              <w:rPr>
                <w:rFonts w:ascii="Times;serif" w:hAnsi="Times;serif"/>
                <w:color w:val="0000FF"/>
                <w:sz w:val="24"/>
                <w:shd w:fill="FFFFFF" w:val="clear"/>
              </w:rPr>
              <w:t>SOUN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CSO &amp; SVP, Engineering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38,730</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6.3286</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834,253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herein was made to satisfy tax withholding obligations in connection with the vesting of shares of restricted stock units granted to the reporting person on August 3, 2023, August 1, 2024, July 31, 2025, and July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/Warren Heit, attorney-in-fact for EMAMI MAJID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0475" TargetMode="External"/><Relationship Id="rId5" Type="http://schemas.openxmlformats.org/officeDocument/2006/relationships/hyperlink" Target="http://www.sec.gov/cgi-bin/browse-edgar?action=getcompany&amp;CIK=0001840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3318</Characters>
  <CharactersWithSpaces>3865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