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Ball Eric 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5"/>
                <w:szCs w:val="15"/>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SOUNDHOUND 5400 BETSY ROSS DRIVE</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01/20/2023</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00" w:type="dxa"/>
            <w:vAlign w:val="bottom"/>
            <w:tcBorders>
              <w:bottom w:val="single" w:sz="8" w:color="2C2C2C"/>
            </w:tcBorders>
            <w:gridSpan w:val="4"/>
          </w:tcPr>
          <w:p>
            <w:pPr>
              <w:spacing w:after="0"/>
              <w:rPr>
                <w:sz w:val="12"/>
                <w:szCs w:val="12"/>
                <w:color w:val="auto"/>
              </w:rPr>
            </w:pPr>
          </w:p>
        </w:tc>
        <w:tc>
          <w:tcPr>
            <w:tcW w:w="800" w:type="dxa"/>
            <w:vAlign w:val="bottom"/>
            <w:tcBorders>
              <w:bottom w:val="single" w:sz="8" w:color="2C2C2C"/>
            </w:tcBorders>
            <w:gridSpan w:val="2"/>
          </w:tcPr>
          <w:p>
            <w:pPr>
              <w:spacing w:after="0"/>
              <w:rPr>
                <w:sz w:val="12"/>
                <w:szCs w:val="12"/>
                <w:color w:val="auto"/>
              </w:rPr>
            </w:pPr>
          </w:p>
        </w:tc>
        <w:tc>
          <w:tcPr>
            <w:tcW w:w="1120" w:type="dxa"/>
            <w:vAlign w:val="bottom"/>
            <w:tcBorders>
              <w:bottom w:val="single" w:sz="8" w:color="2C2C2C"/>
            </w:tcBorders>
            <w:gridSpan w:val="2"/>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8"/>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380" w:type="dxa"/>
            <w:vAlign w:val="bottom"/>
          </w:tcPr>
          <w:p>
            <w:pPr>
              <w:spacing w:after="0"/>
              <w:rPr>
                <w:sz w:val="18"/>
                <w:szCs w:val="18"/>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3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5"/>
                <w:szCs w:val="15"/>
                <w:color w:val="auto"/>
              </w:rPr>
            </w:pPr>
          </w:p>
        </w:tc>
        <w:tc>
          <w:tcPr>
            <w:tcW w:w="17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40" w:type="dxa"/>
            <w:vAlign w:val="bottom"/>
          </w:tcPr>
          <w:p>
            <w:pPr>
              <w:spacing w:after="0"/>
              <w:rPr>
                <w:sz w:val="11"/>
                <w:szCs w:val="11"/>
                <w:color w:val="auto"/>
              </w:rPr>
            </w:pPr>
          </w:p>
        </w:tc>
        <w:tc>
          <w:tcPr>
            <w:tcW w:w="19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Preferred Stock</w:t>
            </w:r>
            <w:r>
              <w:rPr>
                <w:rFonts w:ascii="Times New Roman" w:cs="Times New Roman" w:eastAsia="Times New Roman" w:hAnsi="Times New Roman"/>
                <w:sz w:val="22"/>
                <w:szCs w:val="22"/>
                <w:color w:val="008000"/>
                <w:vertAlign w:val="superscript"/>
              </w:rPr>
              <w:t>(1)(2)</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Times New Roman" w:cs="Times New Roman" w:eastAsia="Times New Roman" w:hAnsi="Times New Roman"/>
                <w:sz w:val="17"/>
                <w:szCs w:val="17"/>
                <w:color w:val="0000FF"/>
              </w:rPr>
              <w:t>01/20/2023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3,334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3,334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certain preferred stock purchase agreements (the "Purchase Agreements"), dated on or around January 20, 2023, the Issuer issued and sold an aggregate of 835,011 shares of its newly designated Series A Convertible Preferred Stock, par value $0.0001 per share (the "Series A Preferred Stock"), to certain investors (the "Transactions"). The Transactions were approved by the board of directors of the Issuer, including for Rule 16b-3 purposes.</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is entitled to dividends payable as an increase in the liquidation preference for such share at the rate of 14% per annum, accreting semi-annually to liquidation preference on January 1 and July 1 of each year. Each share of Series A Preferred Stock is convertible into shares of Class A common stock of the Issuer under certain circumstances.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01/24/2023</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885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2023-01-24T17:06:40Z</dcterms:created>
  <dcterms:modified xsi:type="dcterms:W3CDTF">2023-01-24T17:06:40Z</dcterms:modified>
</cp:coreProperties>
</file>