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jc w:val="center"/>
        <w:ind w:left="340" w:right="92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March 31, 2025</w:t>
      </w:r>
    </w:p>
    <w:p>
      <w:pPr>
        <w:spacing w:after="0" w:line="1"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001-40193</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86-1286799</w:t>
            </w:r>
          </w:p>
        </w:tc>
      </w:tr>
      <w:tr>
        <w:trPr>
          <w:trHeight w:val="225"/>
        </w:trPr>
        <w:tc>
          <w:tcPr>
            <w:tcW w:w="766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58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80" w:type="dxa"/>
            <w:vAlign w:val="bottom"/>
          </w:tcPr>
          <w:p>
            <w:pPr>
              <w:spacing w:after="0"/>
              <w:rPr>
                <w:sz w:val="21"/>
                <w:szCs w:val="21"/>
                <w:color w:val="auto"/>
              </w:rPr>
            </w:pP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(408) 441-3200</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1"/>
                <w:szCs w:val="21"/>
                <w:color w:val="auto"/>
              </w:rPr>
            </w:pPr>
          </w:p>
        </w:tc>
      </w:tr>
    </w:tbl>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25"/>
        </w:trPr>
        <w:tc>
          <w:tcPr>
            <w:tcW w:w="3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3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SOUN</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3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3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43"/>
        </w:trPr>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SOUNW</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5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3" w:right="339" w:bottom="0" w:gutter="0" w:footer="0" w:header="0"/>
        </w:sectPr>
      </w:pPr>
    </w:p>
    <w:p>
      <w:pPr>
        <w:spacing w:after="0" w:line="20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74" w:lineRule="exact"/>
        <w:rPr>
          <w:sz w:val="24"/>
          <w:szCs w:val="24"/>
          <w:color w:val="auto"/>
        </w:rPr>
      </w:pPr>
    </w:p>
    <w:p>
      <w:pPr>
        <w:sectPr>
          <w:pgSz w:w="11900" w:h="16838" w:orient="portrait"/>
          <w:cols w:equalWidth="0" w:num="4">
            <w:col w:w="220" w:space="140"/>
            <w:col w:w="4540" w:space="720"/>
            <w:col w:w="160" w:space="200"/>
            <w:col w:w="5260"/>
          </w:cols>
          <w:pgMar w:left="320" w:top="333" w:right="339" w:bottom="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74" w:lineRule="exact"/>
        <w:rPr>
          <w:sz w:val="24"/>
          <w:szCs w:val="24"/>
          <w:color w:val="auto"/>
        </w:rPr>
      </w:pPr>
    </w:p>
    <w:p>
      <w:pPr>
        <w:sectPr>
          <w:pgSz w:w="11900" w:h="16838" w:orient="portrait"/>
          <w:cols w:equalWidth="0" w:num="4">
            <w:col w:w="180" w:space="180"/>
            <w:col w:w="4540" w:space="720"/>
            <w:col w:w="160" w:space="200"/>
            <w:col w:w="5260"/>
          </w:cols>
          <w:pgMar w:left="320" w:top="333" w:right="339" w:bottom="0" w:gutter="0" w:footer="0" w:header="0"/>
          <w:type w:val="continuous"/>
        </w:sectPr>
      </w:pPr>
    </w:p>
    <w:p>
      <w:pPr>
        <w:spacing w:after="0" w:line="18" w:lineRule="exact"/>
        <w:rPr>
          <w:sz w:val="24"/>
          <w:szCs w:val="24"/>
          <w:color w:val="auto"/>
        </w:rPr>
      </w:pPr>
    </w:p>
    <w:p>
      <w:pPr>
        <w:ind w:left="56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11" w:lineRule="exact"/>
        <w:rPr>
          <w:sz w:val="24"/>
          <w:szCs w:val="24"/>
          <w:color w:val="auto"/>
        </w:rPr>
      </w:pPr>
    </w:p>
    <w:p>
      <w:pPr>
        <w:sectPr>
          <w:pgSz w:w="11900" w:h="16838" w:orient="portrait"/>
          <w:cols w:equalWidth="0" w:num="2">
            <w:col w:w="5780" w:space="200"/>
            <w:col w:w="5260"/>
          </w:cols>
          <w:pgMar w:left="320" w:top="333" w:right="339" w:bottom="0" w:gutter="0" w:footer="0" w:header="0"/>
          <w:type w:val="continuous"/>
        </w:sectPr>
      </w:pPr>
    </w:p>
    <w:p>
      <w:pPr>
        <w:spacing w:after="0" w:line="10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333" w:right="339" w:bottom="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May 8, 2025, there were 369,198,933 shares of the Company’s Class A Common Stock, $0.0001 par value per share, issued and outstanding, and 32,535,408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shd w:val="clear" w:color="auto" w:fill="CCEEFF"/>
          </w:tcPr>
          <w:p>
            <w:pPr>
              <w:spacing w:after="0"/>
              <w:rPr>
                <w:sz w:val="22"/>
                <w:szCs w:val="22"/>
                <w:color w:val="auto"/>
              </w:rPr>
            </w:pPr>
          </w:p>
        </w:tc>
        <w:tc>
          <w:tcPr>
            <w:tcW w:w="103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2025 (unaudited) and December 31, 2024</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ended March 31,</w:t>
            </w:r>
          </w:p>
        </w:tc>
        <w:tc>
          <w:tcPr>
            <w:tcW w:w="88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8900" w:type="dxa"/>
            <w:vAlign w:val="bottom"/>
            <w:tcBorders>
              <w:top w:val="single" w:sz="8" w:color="0000FF"/>
            </w:tcBorders>
            <w:gridSpan w:val="20"/>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FF"/>
              </w:rPr>
              <w:t>2025 and 2024 (unaudited)</w:t>
            </w:r>
          </w:p>
        </w:tc>
        <w:tc>
          <w:tcPr>
            <w:tcW w:w="3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02"/>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months ended March 31, 2025 and 2024</w:t>
            </w:r>
          </w:p>
        </w:tc>
        <w:tc>
          <w:tcPr>
            <w:tcW w:w="88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8840" w:type="dxa"/>
            <w:vAlign w:val="bottom"/>
            <w:tcBorders>
              <w:top w:val="single" w:sz="8" w:color="0000FF"/>
            </w:tcBorders>
            <w:gridSpan w:val="19"/>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400" w:type="dxa"/>
            <w:vAlign w:val="bottom"/>
            <w:tcBorders>
              <w:top w:val="single" w:sz="8" w:color="CCEEFF"/>
            </w:tcBorders>
            <w:gridSpan w:val="2"/>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 (unaudited)</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32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51</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1034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2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55</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034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56</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95" w:lineRule="exact"/>
        <w:rPr>
          <w:sz w:val="20"/>
          <w:szCs w:val="20"/>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including launching new product offerings and expanding information and technology capabilities;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patent infringements and/or other regulatory or legal proceedings, including with respect to our AI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herein and in our Annual Report on Form 10-K which was filed with the Securities and Exchange Commission on March 11,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245,809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198,240</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receivable, net of allowances of $1,538 and $726 as of March 31, 2025 and December 31, 2024, respectively</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23,159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Contract assets and unbilled receivable, net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21,419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26,645</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7,476</w:t>
            </w:r>
          </w:p>
        </w:tc>
        <w:tc>
          <w:tcPr>
            <w:tcW w:w="0" w:type="dxa"/>
            <w:vAlign w:val="bottom"/>
          </w:tcPr>
          <w:p>
            <w:pPr>
              <w:spacing w:after="0"/>
              <w:rPr>
                <w:sz w:val="1"/>
                <w:szCs w:val="1"/>
                <w:color w:val="auto"/>
              </w:rPr>
            </w:pPr>
          </w:p>
        </w:tc>
      </w:tr>
      <w:tr>
        <w:trPr>
          <w:trHeight w:val="36"/>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295,051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255,520</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4,692</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101,210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101,704</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167,446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174,943</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receivable, non-current, net</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12,879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4,766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w:t>
            </w:r>
          </w:p>
        </w:tc>
        <w:tc>
          <w:tcPr>
            <w:tcW w:w="0" w:type="dxa"/>
            <w:vAlign w:val="bottom"/>
          </w:tcPr>
          <w:p>
            <w:pPr>
              <w:spacing w:after="0"/>
              <w:rPr>
                <w:sz w:val="1"/>
                <w:szCs w:val="1"/>
                <w:color w:val="auto"/>
              </w:rPr>
            </w:pPr>
          </w:p>
        </w:tc>
      </w:tr>
      <w:tr>
        <w:trPr>
          <w:trHeight w:val="17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587,536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9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6,720</w:t>
            </w:r>
          </w:p>
        </w:tc>
        <w:tc>
          <w:tcPr>
            <w:tcW w:w="10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5,559</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18,076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26,291</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2,064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26,888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23,876</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3,978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7,319</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60,030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67,742</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7,517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6,862</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 (Note 16)</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113,147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286,898</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3,115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3,075</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4,320</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190,543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371,300</w:t>
            </w:r>
          </w:p>
        </w:tc>
        <w:tc>
          <w:tcPr>
            <w:tcW w:w="0" w:type="dxa"/>
            <w:vAlign w:val="bottom"/>
          </w:tcPr>
          <w:p>
            <w:pPr>
              <w:spacing w:after="0"/>
              <w:rPr>
                <w:sz w:val="1"/>
                <w:szCs w:val="1"/>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8"/>
              </w:rPr>
              <w:t>Series A Preferred Stock, $0.0001 par value; 1,000,000 shares authorized; 0 and 0 shares issued and outstanding, aggregate liquidation preference of $— and $— as of March 31, 2025</w:t>
            </w: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and December 31, 2024, respectively</w:t>
            </w:r>
          </w:p>
        </w:tc>
        <w:tc>
          <w:tcPr>
            <w:tcW w:w="26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$0.0001 par value; 455,000,000 shares authorized; 368,869,290 and 361,096,457 shares issued and outstanding as of March 31, 2025 and December 31, 2024,</w:t>
            </w:r>
          </w:p>
        </w:tc>
        <w:tc>
          <w:tcPr>
            <w:tcW w:w="260" w:type="dxa"/>
            <w:vAlign w:val="bottom"/>
          </w:tcPr>
          <w:p>
            <w:pPr>
              <w:spacing w:after="0"/>
              <w:rPr>
                <w:sz w:val="12"/>
                <w:szCs w:val="12"/>
                <w:color w:val="auto"/>
              </w:rPr>
            </w:pPr>
          </w:p>
        </w:tc>
        <w:tc>
          <w:tcPr>
            <w:tcW w:w="12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respectively</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B Common Stock, $0.0001 par value; 44,000,000 shares authorized; 32,535,408 and 32,535,408 shares issued and outstanding as of March 31, 2025 and December 31, 2024,</w:t>
            </w:r>
          </w:p>
        </w:tc>
        <w:tc>
          <w:tcPr>
            <w:tcW w:w="2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1,209,871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1,125,470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(813,128)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(943,060)</w:t>
            </w:r>
          </w:p>
        </w:tc>
        <w:tc>
          <w:tcPr>
            <w:tcW w:w="0" w:type="dxa"/>
            <w:vAlign w:val="bottom"/>
          </w:tcPr>
          <w:p>
            <w:pPr>
              <w:spacing w:after="0"/>
              <w:rPr>
                <w:sz w:val="1"/>
                <w:szCs w:val="1"/>
                <w:color w:val="auto"/>
              </w:rPr>
            </w:pPr>
          </w:p>
        </w:tc>
      </w:tr>
      <w:tr>
        <w:trPr>
          <w:trHeight w:val="15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396,993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182,653</w:t>
            </w:r>
          </w:p>
        </w:tc>
        <w:tc>
          <w:tcPr>
            <w:tcW w:w="0" w:type="dxa"/>
            <w:vAlign w:val="bottom"/>
          </w:tcPr>
          <w:p>
            <w:pPr>
              <w:spacing w:after="0"/>
              <w:rPr>
                <w:sz w:val="1"/>
                <w:szCs w:val="1"/>
                <w:color w:val="auto"/>
              </w:rPr>
            </w:pPr>
          </w:p>
        </w:tc>
      </w:tr>
      <w:tr>
        <w:trPr>
          <w:trHeight w:val="17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587,536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2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648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7"/>
        </w:trPr>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r>
      <w:tr>
        <w:trPr>
          <w:trHeight w:val="27"/>
        </w:trPr>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7"/>
        </w:trPr>
        <w:tc>
          <w:tcPr>
            <w:tcW w:w="5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w:t>
            </w:r>
          </w:p>
        </w:tc>
      </w:tr>
      <w:tr>
        <w:trPr>
          <w:trHeight w:val="23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(28,529)</w:t>
            </w:r>
          </w:p>
        </w:tc>
      </w:tr>
      <w:tr>
        <w:trPr>
          <w:trHeight w:val="27"/>
        </w:trPr>
        <w:tc>
          <w:tcPr>
            <w:tcW w:w="5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7"/>
        </w:trPr>
        <w:tc>
          <w:tcPr>
            <w:tcW w:w="5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3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w:t>
            </w:r>
          </w:p>
        </w:tc>
      </w:tr>
      <w:tr>
        <w:trPr>
          <w:trHeight w:val="27"/>
        </w:trPr>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(33,009)</w:t>
            </w:r>
          </w:p>
        </w:tc>
      </w:tr>
      <w:tr>
        <w:trPr>
          <w:trHeight w:val="27"/>
        </w:trPr>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attributable to participating Class A Common Shares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48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5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SoundHound common shareholders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5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(32,973)</w:t>
            </w:r>
          </w:p>
        </w:tc>
      </w:tr>
      <w:tr>
        <w:trPr>
          <w:trHeight w:val="270"/>
        </w:trPr>
        <w:tc>
          <w:tcPr>
            <w:tcW w:w="5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89"/>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393,893,313</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286,596,559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89"/>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414,156,455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286,596,559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0700"/>
          </w:cols>
          <w:pgMar w:left="320" w:top="333"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33" w:right="8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46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6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620" w:type="dxa"/>
            <w:vAlign w:val="bottom"/>
            <w:gridSpan w:val="7"/>
            <w:vMerge w:val="continue"/>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December 31, 2024</w:t>
            </w:r>
          </w:p>
        </w:tc>
        <w:tc>
          <w:tcPr>
            <w:tcW w:w="80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361,096,457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1,125,470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(943,060)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182,653</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Second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Distribution Agreement, net of issuance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costs</w:t>
            </w:r>
          </w:p>
        </w:tc>
        <w:tc>
          <w:tcPr>
            <w:tcW w:w="8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66,283</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for equity</w:t>
            </w: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incentive awards</w:t>
            </w:r>
          </w:p>
        </w:tc>
        <w:tc>
          <w:tcPr>
            <w:tcW w:w="80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3,522,823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Class A common stock in connection with</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exercise of warrants</w:t>
            </w:r>
          </w:p>
        </w:tc>
        <w:tc>
          <w:tcPr>
            <w:tcW w:w="80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17,440</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129,932</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March 31, 2025</w:t>
            </w:r>
          </w:p>
        </w:tc>
        <w:tc>
          <w:tcPr>
            <w:tcW w:w="7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gridSpan w:val="2"/>
          </w:tcPr>
          <w:p>
            <w:pPr>
              <w:spacing w:after="0"/>
              <w:rPr>
                <w:sz w:val="14"/>
                <w:szCs w:val="14"/>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368,869,290</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1,209,871</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(813,128)</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396,993</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6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620" w:type="dxa"/>
            <w:vAlign w:val="bottom"/>
            <w:gridSpan w:val="7"/>
            <w:vMerge w:val="continue"/>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of December 31, 2023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14,187</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216,943,349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37,485,408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606,135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(592,379)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28,168</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Sales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Agreement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37,907,219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133,839</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and deferred</w:t>
            </w: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consideration upon acquisition of SYNQ3</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5,755,910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10,295</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shares of Class A common</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subject to repurchase in connection with</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of SYNQ3</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for equity</w:t>
            </w: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incentive awards</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5,092,348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9,171</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conversion</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 Class B common shares</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conversion</w:t>
            </w: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 Series A Preferred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(404,764)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(12,090)</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14,070,854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Class A common stock in connection with</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cashless exercise of warrants</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2,269,982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(33,009)</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March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70,241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288,822,818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32,735,408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778,503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(625,388)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155,479</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(33,009)</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amortization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gain/loss from remeasurement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86"/>
        </w:trPr>
        <w:tc>
          <w:tcPr>
            <w:tcW w:w="8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(21,948)</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related to acquisition, net of cash acquired</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0" w:type="dxa"/>
            <w:vAlign w:val="bottom"/>
          </w:tcPr>
          <w:p>
            <w:pPr>
              <w:spacing w:after="0"/>
              <w:rPr>
                <w:sz w:val="1"/>
                <w:szCs w:val="1"/>
                <w:color w:val="auto"/>
              </w:rPr>
            </w:pPr>
          </w:p>
        </w:tc>
      </w:tr>
      <w:tr>
        <w:trPr>
          <w:trHeight w:val="183"/>
        </w:trPr>
        <w:tc>
          <w:tcPr>
            <w:tcW w:w="8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Sales Agreement and Second Equity Distribution Agreement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137,274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warrants exercised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financing costs associated with the Sales Agreement and Second Equity Distribution Agreement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142,698</w:t>
            </w:r>
          </w:p>
        </w:tc>
        <w:tc>
          <w:tcPr>
            <w:tcW w:w="0" w:type="dxa"/>
            <w:vAlign w:val="bottom"/>
          </w:tcPr>
          <w:p>
            <w:pPr>
              <w:spacing w:after="0"/>
              <w:rPr>
                <w:sz w:val="1"/>
                <w:szCs w:val="1"/>
                <w:color w:val="auto"/>
              </w:rPr>
            </w:pPr>
          </w:p>
        </w:tc>
      </w:tr>
      <w:tr>
        <w:trPr>
          <w:trHeight w:val="186"/>
        </w:trPr>
        <w:tc>
          <w:tcPr>
            <w:tcW w:w="8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equivalents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117,065</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245,809</w:t>
            </w:r>
          </w:p>
        </w:tc>
        <w:tc>
          <w:tcPr>
            <w:tcW w:w="1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211,744</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14,356</w:t>
            </w:r>
          </w:p>
        </w:tc>
        <w:tc>
          <w:tcPr>
            <w:tcW w:w="0" w:type="dxa"/>
            <w:vAlign w:val="bottom"/>
          </w:tcPr>
          <w:p>
            <w:pPr>
              <w:spacing w:after="0"/>
              <w:rPr>
                <w:sz w:val="1"/>
                <w:szCs w:val="1"/>
                <w:color w:val="auto"/>
              </w:rPr>
            </w:pPr>
          </w:p>
        </w:tc>
      </w:tr>
      <w:tr>
        <w:trPr>
          <w:trHeight w:val="182"/>
        </w:trPr>
        <w:tc>
          <w:tcPr>
            <w:tcW w:w="8180" w:type="dxa"/>
            <w:vAlign w:val="bottom"/>
          </w:tcPr>
          <w:p>
            <w:pPr>
              <w:ind w:left="520"/>
              <w:spacing w:after="0" w:line="182"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shown in the condensed consolidated statements of cash</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flows</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246,485</w:t>
            </w:r>
          </w:p>
        </w:tc>
        <w:tc>
          <w:tcPr>
            <w:tcW w:w="10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226,100</w:t>
            </w:r>
          </w:p>
        </w:tc>
        <w:tc>
          <w:tcPr>
            <w:tcW w:w="0" w:type="dxa"/>
            <w:vAlign w:val="bottom"/>
          </w:tcPr>
          <w:p>
            <w:pPr>
              <w:spacing w:after="0"/>
              <w:rPr>
                <w:sz w:val="1"/>
                <w:szCs w:val="1"/>
                <w:color w:val="auto"/>
              </w:rPr>
            </w:pPr>
          </w:p>
        </w:tc>
      </w:tr>
      <w:tr>
        <w:trPr>
          <w:trHeight w:val="72"/>
        </w:trPr>
        <w:tc>
          <w:tcPr>
            <w:tcW w:w="818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Conversion of Series A Preferred Stock to Class A common stock</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offering costs reclassified to additional paid-in capital</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acquired under accrued liabilities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Class A common stock and deferred equity consideration issued to acquire SYNQ3</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 to acquire SYNQ3</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contingent holdback consideration to acquire SYNQ3</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 under SYNQ3 acquisition</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Unpaid deferred offering cost</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Refer to Note 3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except for a net income of $129.9 million reported for the three months ended March 31, 2025, primarily due to the change in fair value of acquisition related liabilities. As of March 31, 2025, the Company had an accumulated deficit of $813.1 million. Management expects to continue to incur additional substantial losses in the foreseeable future. The Company has historically funded its operations primarily through equity or debt financings.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March 31, 2025 was $245.8 million. Although the Company has incurred recurring losses each year since its inception, the Company expects it will be able to fund its operations for at least the next twelve months from the date these condensed consolidated financial statements are issued. The Company may seek funding through additional debt or equity financing arrangements to continue financing its operations. Refer to Note 11 for information regarding the Company's equity financing activity.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 condensed consolidated balance sheet as of December 31, 2024, which has been derived from audited financial statements as filed in the Company’s Form 10-K, which was originally filed with the Securities and Exchange Commission ("SEC") on March 11, 2025 and (b) 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unaudited interim condensed consolidated financial statements have been prepared on a basis consistent with the audited annual consolidated financial statements and in the opinion of management, all adjustments, consisting of normal recurring adjustments, considered necessary for a fair statement of its financial position as of March 31, 2025, and its results of operations for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months ended March 31, 2025, and 2024, and cash flows for the three months ended March 31, 2025 and 2024 have been included. The results of operations for the three months ended March 31, 2025 are not necessarily indicative of the results for the fiscal year ending December 31, 2025 or any future interim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Amelia, no significant estimates were changed by management during the three months ended March 31, 2025.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Customer A and B accounted for 20% and 13% of the Company’s accounts receivable balance, respectively. As of December 31, 2024, accounts receivable balances due from Customer A accounted for 23% of the Company’s accounts receivable balance,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unbilled receivables from Customer C, D and E accounted for 39%, 29% and 11% of the Company’s unbilled receivables balance, respectively. As of December 31, 2024, unbilled receivables from Customer C and D accounted for 50% and 24% of the Company’s unbilled receivables balance,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there was no customer that accounted for more than 10% of the revenue. For the three months ended March 31, 2024, Customer C and D accounted for 26% and 22% of the revenue, respectively.</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in the period they are identified. Acquisition-related expenses are recognized separately from the business combination and expensed as incurred.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Adopted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The Company adopted the standard during the year ended December 31, 2024. See Note 17 to our consolidated financial statements included within this report for more information on the increased disclosure for the Company's single reportable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SYNQ3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2024 (the "SYNQ3 Acquisition Date"), the Company acquired all of the issued and outstanding equity of SYNQ3, a provider of voice AI and other technology solutions to the restaurant industry, for total purchase consideration of $15.8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Holdback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is being withheld for a period of 15 months (the "Holdback Amount"). The Company determined that there are two components to the Holdback Amount related to deferred consideration and contingent consideration, each comprised of cash and shares.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the Company's Class A Common Stock (collectively the "Deferred Consideration") were not recognized as of the SYNQ3 Acquisition Date as such amounts were offset by the indemnification obligations of SYNQ3's former stockholders.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Holdback Consideration as a liability on the condensed consolidated balance sheet. As of the SYNQ3 Acquisition Date, the Contingent Holdback Consideration was estimated to be $0.6 million in aggregate and to be settled in $0.1 million cash and the remainder in shares of the Company’s Class A Common Stock. During the year ended December 31, 2024, the Company issued 38,277 shares of the Company’s Class A Common Stock and paid an immaterial amount in cash from the Contingent Holdback Consideration to SYNQ3's former stockholders as a result of the net working capital adjustments settled during the year. The Contingent Holdback Consideration will be subsequently remeasured at each reporting date with changes in fair value recognized as a component of operating expense on the Company’s condensed consolidated statement of operations and comprehensive income (loss). See Note 16 to our unaudited condensed consolidated financial statements included within this report for more information on the fair value measurement of shares associated with the holdback.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SYNQ3 Earnout Consideration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As of the SYNQ3 Acquisition Date, the Contingent SYNQ3 Earnout Consideration was estimated to be $1.7 million in aggregate and to be settled in $0.2 million cash and the remainder in shares of the Company’s Class A Common Stock. See Note 16 to our unaudited condensed consolidated financial statements included within this report for more information on the fair value measurement of Contingent SYNQ3 Earnout Consideration. As of March 31, 2025, the 2024 revenue target was not met but the Company assessed the 2025 and 2026 revenue target were probable of being met, and no earnout consideration was issued as of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12 to our unaudited condensed consolidated financial statements included within this report for more information on stock-based awards issued in connection with the SYNQ3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purchase price allocation was performed as of January 3, 2024 and allocated to the assets acquired and liabilities assumed based on their respective fair values,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7"/>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7"/>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70"/>
        </w:trPr>
        <w:tc>
          <w:tcPr>
            <w:tcW w:w="8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37"/>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8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50"/>
        </w:trPr>
        <w:tc>
          <w:tcPr>
            <w:tcW w:w="89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264"/>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0"/>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has been finalized as of December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20"/>
                <w:szCs w:val="20"/>
                <w:color w:val="auto"/>
              </w:rPr>
            </w:pPr>
          </w:p>
        </w:tc>
        <w:tc>
          <w:tcPr>
            <w:tcW w:w="2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3"/>
                <w:szCs w:val="23"/>
                <w:color w:val="auto"/>
              </w:rPr>
            </w:pPr>
          </w:p>
        </w:tc>
        <w:tc>
          <w:tcPr>
            <w:tcW w:w="2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7"/>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2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7"/>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$2.2 million in acquisition related expenses, of which $0.1 million and $0.2 million were incurred during the three months ended March 31, 2025 and 2024, respectively, and recorded as general and administration expenses in its condensed consolidated statements of operations and comprehensive income (loss).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Amelia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energy and retail, expanding its market reach.</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total preliminary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and consequently there is a six-month holding period. The Company also paid $8.4 million of cash for seller transaction expenses in connection with the closing of the Amelia Acquisition. The Company agreed to issue up to 16,822,429 shares to the selling shareholders based on achievement of certain revenue targets in fiscal years 2025 and 2026 (the "Amelia Contingent Earnout Consideration). The fair value of the preliminary purchase consideration was $98.6 million.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(“Amelia Debt”). On December 3, 2024, the Company entered into a letter agreement (the “Amelia Debt Payoff Letter”) to prepay in full all indebtedness and other amounts outstanding and owing under the Amelia Debt Credit Agreement and the Amelia Debt was repaid in full.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Consideration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See Note 16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Amelia Earnout Consideration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income (loss). As of the Amelia Acquisition Date, the Contingent Amelia Earnout Consideration had an estimated fair value of $66.3 million. For the three months ended March 31, 2025, the Company recognized a $168.7 million gain related to the Contingent Amelia Earnout Consideration, reflected in the change in fair value of contingent acquisition liabilities in the condensed consolidated statement of operations and comprehensive income (loss). As of March 31, 2025, the Company assessed the 2025 and 2026 revenue targets were probable of being met.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August 6, 2024 and allocated to the assets acquired and liabilities assumed based on their respective fair values,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8"/>
        </w:trPr>
        <w:tc>
          <w:tcPr>
            <w:tcW w:w="8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Aug 6, 2024</w:t>
            </w:r>
          </w:p>
        </w:tc>
      </w:tr>
      <w:tr>
        <w:trPr>
          <w:trHeight w:val="27"/>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consideration in escrow</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66,269</w:t>
            </w:r>
          </w:p>
        </w:tc>
      </w:tr>
      <w:tr>
        <w:trPr>
          <w:trHeight w:val="27"/>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98,608</w:t>
            </w:r>
          </w:p>
        </w:tc>
      </w:tr>
      <w:tr>
        <w:trPr>
          <w:trHeight w:val="270"/>
        </w:trPr>
        <w:tc>
          <w:tcPr>
            <w:tcW w:w="8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 - 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37"/>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191,931</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portion of Amelia Debt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 of Amelia Debt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7"/>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188,533</w:t>
            </w:r>
          </w:p>
        </w:tc>
      </w:tr>
      <w:tr>
        <w:trPr>
          <w:trHeight w:val="250"/>
        </w:trPr>
        <w:tc>
          <w:tcPr>
            <w:tcW w:w="89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liabilities assumed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6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95,210</w:t>
            </w:r>
          </w:p>
        </w:tc>
      </w:tr>
      <w:tr>
        <w:trPr>
          <w:trHeight w:val="21"/>
        </w:trPr>
        <w:tc>
          <w:tcPr>
            <w:tcW w:w="8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the Company recorded a decrease of $0.5 million to the goodwill recognized. The measurement period adjustments were recorded in the condensed consolidated financial statements as of and for the three months ended March 31, 2025 and were made to reflect facts and circumstances that existed as of the Amelia Acquisition Date.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March 31, 2025 primarily due to the final assessment of the contingent tax liability assumed.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Amelia Acquisition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20"/>
                <w:szCs w:val="20"/>
                <w:color w:val="auto"/>
              </w:rPr>
            </w:pPr>
          </w:p>
        </w:tc>
        <w:tc>
          <w:tcPr>
            <w:tcW w:w="2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3"/>
                <w:szCs w:val="23"/>
                <w:color w:val="auto"/>
              </w:rPr>
            </w:pPr>
          </w:p>
        </w:tc>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7"/>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98,900</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7"/>
        </w:trPr>
        <w:tc>
          <w:tcPr>
            <w:tcW w:w="674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$6.3 million</w:t>
      </w:r>
      <w:r>
        <w:rPr>
          <w:rFonts w:ascii="Times New Roman" w:cs="Times New Roman" w:eastAsia="Times New Roman" w:hAnsi="Times New Roman"/>
          <w:sz w:val="18"/>
          <w:szCs w:val="18"/>
          <w:color w:val="232323"/>
        </w:rPr>
        <w:t xml:space="preserve"> in acquisition related expenses, of which </w:t>
      </w:r>
      <w:r>
        <w:rPr>
          <w:rFonts w:ascii="Times New Roman" w:cs="Times New Roman" w:eastAsia="Times New Roman" w:hAnsi="Times New Roman"/>
          <w:sz w:val="18"/>
          <w:szCs w:val="18"/>
          <w:color w:val="000000"/>
        </w:rPr>
        <w:t>$0.6 million was</w:t>
      </w:r>
      <w:r>
        <w:rPr>
          <w:rFonts w:ascii="Times New Roman" w:cs="Times New Roman" w:eastAsia="Times New Roman" w:hAnsi="Times New Roman"/>
          <w:sz w:val="18"/>
          <w:szCs w:val="18"/>
          <w:color w:val="232323"/>
        </w:rPr>
        <w:t xml:space="preserve"> incurred during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32323"/>
        </w:rPr>
        <w:t xml:space="preserve"> and recorded as general and administration expenses in its condensed consolidated statements of operations and comprehensive </w:t>
      </w:r>
      <w:r>
        <w:rPr>
          <w:rFonts w:ascii="Times New Roman" w:cs="Times New Roman" w:eastAsia="Times New Roman" w:hAnsi="Times New Roman"/>
          <w:sz w:val="18"/>
          <w:szCs w:val="18"/>
          <w:color w:val="000000"/>
        </w:rPr>
        <w:t>income (loss)</w:t>
      </w:r>
      <w:r>
        <w:rPr>
          <w:rFonts w:ascii="Times New Roman" w:cs="Times New Roman" w:eastAsia="Times New Roman" w:hAnsi="Times New Roman"/>
          <w:sz w:val="18"/>
          <w:szCs w:val="18"/>
          <w:color w:val="232323"/>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of SYNQ3 are included in these unaudited condensed consolidated financial statements from the date of the acquisition. SYNQ3 contributed revenue of $3.0 million, and net loss of $1.6 million to the Company for the three months ended March 31, 2024.</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business combination was completed on January 1, 2023, the beginning of the comparable prior annual reporting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7"/>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7"/>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6"/>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(42,494)</w:t>
            </w:r>
          </w:p>
        </w:tc>
      </w:tr>
    </w:tbl>
    <w:p>
      <w:pPr>
        <w:spacing w:after="0" w:line="3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unaudited pro forma financial information includes the combined historical operating results of the Company and Amelia prior to the acquisition, with adjustments to give effect for the acquisitions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transaction costs related to the acquisitions, adjustments to interest expense related to previously outstanding debt held by Amelia, and the related tax effects of pro forma adjustments for the period. These unaudited pro</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 Given the paydown of Amelia Debt occurred in December 2024, which was shortly after the Amelia Acquisition Date, the interest expenses from Amelia Debt were excluded from the unaudited pro forma financial information. The unaudited pro forma results are based on the preliminary purchase price allocation and will be updated to reflect the final amounts as the allocation is finalized during the measurement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14, 2024, the Company completed an immaterial acquisition for total preliminary purchase consideration of $1.0 million. As part of the acquisition, the Company acquired net assets of $2.2 million, including intangible assets of $2.6 million, and recognized a preliminary gain on bargain purchase of $1.2 million within other income, net in the condensed consolidated statements of operations and comprehensive income (loss) during the quarter of the acquisition,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price allocation has been finalized as of March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4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8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43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380" w:type="dxa"/>
            <w:vAlign w:val="bottom"/>
          </w:tcPr>
          <w:p>
            <w:pPr>
              <w:spacing w:after="0"/>
              <w:rPr>
                <w:sz w:val="23"/>
                <w:szCs w:val="23"/>
                <w:color w:val="auto"/>
              </w:rPr>
            </w:pPr>
          </w:p>
        </w:tc>
        <w:tc>
          <w:tcPr>
            <w:tcW w:w="19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7"/>
        </w:trPr>
        <w:tc>
          <w:tcPr>
            <w:tcW w:w="4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7"/>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4560" w:type="dxa"/>
            <w:vAlign w:val="bottom"/>
            <w:tcBorders>
              <w:top w:val="single" w:sz="8" w:color="auto"/>
            </w:tcBorders>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7"/>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
        </w:trPr>
        <w:tc>
          <w:tcPr>
            <w:tcW w:w="4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the acquired entity are included in these unaudited condensed consolidated financial statements from the date of the acquisition, and are immaterial. The Company has not separately presented unaudited pro forma results of operations reflecting the acquisition as the impacts were not material to the condensed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judgement in identifying and evaluating any terms and conditions in contracts which impact revenue recognition.</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and Amelia Software Platform over the contract period without taking possession of the software.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Hosted services may include up-front services to develop and/or customize the applications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are categorized as hosted services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w:t>
      </w:r>
    </w:p>
    <w:p>
      <w:pPr>
        <w:spacing w:after="0" w:line="1" w:lineRule="exact"/>
        <w:rPr>
          <w:sz w:val="20"/>
          <w:szCs w:val="20"/>
          <w:color w:val="auto"/>
        </w:rPr>
      </w:pPr>
    </w:p>
    <w:p>
      <w:pPr>
        <w:jc w:val="both"/>
        <w:ind w:firstLine="8"/>
        <w:spacing w:after="0" w:line="253"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and is based on either input or output measures. During the three months ended March 31, 2025, $3.1 million of professional service revenue was recognized over time, with the remaining $0.2 million recognized at a point in time when the performance obligation was fulfilled and control of the service was transferred to the customer. During the three months ended March 31, 2024, $1.5 million of professional service revenue was recognized over time, and there was no professional service revenue recognized at a point in time when the performance obligation was fulfilled and control of the service was transferred to the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it does not act as the principal in monetization arrangements because it does not control the transfer of the service and it does not set the price. Based on these factors, the Company reports revenue on a net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licenses voice and Amelia’s software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revenue under each performance obligation was as follows (in thousands):</w:t>
      </w:r>
    </w:p>
    <w:p>
      <w:pPr>
        <w:spacing w:after="0" w:line="275"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7"/>
        </w:trPr>
        <w:tc>
          <w:tcPr>
            <w:tcW w:w="6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disaggregated revenue by geographic location* was as follows (in thousands):</w:t>
      </w:r>
    </w:p>
    <w:p>
      <w:pPr>
        <w:spacing w:after="0" w:line="275"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7"/>
        </w:trPr>
        <w:tc>
          <w:tcPr>
            <w:tcW w:w="6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disaggregated revenue by recognition pattern was as follows (in thousands):</w:t>
      </w:r>
    </w:p>
    <w:p>
      <w:pPr>
        <w:spacing w:after="0" w:line="275"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and Amelia services,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and Amelia services may include professional services that develop and customize the Houndify platform and Amelia Software Platform to fit customers’ specific needs, and any post-contract support for on-premise solutions. Revenues from Monetization are generated from the SoundHound music identification app and are primarily attributable to user ad impression revenue.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disaggregated revenue by service type was as follows (in thousands):</w:t>
      </w:r>
    </w:p>
    <w:p>
      <w:pPr>
        <w:spacing w:after="0" w:line="275"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r>
      <w:tr>
        <w:trPr>
          <w:trHeight w:val="27"/>
        </w:trPr>
        <w:tc>
          <w:tcPr>
            <w:tcW w:w="6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1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1"/>
        </w:trPr>
        <w:tc>
          <w:tcPr>
            <w:tcW w:w="6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2024, accounts receivable, net of allowances, was $4.1 million, contract assets were $28.3 million and deferred revenue was $9.2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March 31, 2025 and December 31, 2024 consists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1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5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current</w:t>
            </w:r>
          </w:p>
        </w:tc>
        <w:tc>
          <w:tcPr>
            <w:tcW w:w="4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20" w:type="dxa"/>
            <w:vAlign w:val="bottom"/>
            <w:vMerge w:val="continue"/>
          </w:tcPr>
          <w:p>
            <w:pPr>
              <w:spacing w:after="0"/>
              <w:rPr>
                <w:sz w:val="18"/>
                <w:szCs w:val="18"/>
                <w:color w:val="auto"/>
              </w:rPr>
            </w:pPr>
          </w:p>
        </w:tc>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non-current</w:t>
            </w:r>
          </w:p>
        </w:tc>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allowance for credit losses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non-current</w:t>
            </w:r>
          </w:p>
        </w:tc>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allowance for credit losses</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Company's unbilled accounts receivable and contract assets during the current period was primarily the result of customer invoicing and the performance of the Company's contracts, respectively. The Company has not recorded any asset impairment charges related to contract assets during the periods presented in the condensed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were $10.3 million for the three months ended March 31, 2025 as compared to $1.9 million for the three months ended March 31, 2024.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 aggregate amount of the transaction price allocated to the remaining performance obligations related to customer contracts that were unsatisfied or partially unsatisfied was $71.1 million. Given the applicable contract terms, $41.9 million is expected to be recognized as revenue within one year, $27.1 million is expected to be recognized between 2 to 5 years and the remainder of $2.1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carrying value of goodwill including the effect of measurement period adjustments for the three months ended March 31, 2025,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101,704</w:t>
            </w:r>
          </w:p>
        </w:tc>
      </w:tr>
      <w:tr>
        <w:trPr>
          <w:trHeight w:val="243"/>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7"/>
        </w:trPr>
        <w:tc>
          <w:tcPr>
            <w:tcW w:w="94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and Amelia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Amelia Acquisition.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r>
      <w:tr>
        <w:trPr>
          <w:trHeight w:val="220"/>
        </w:trPr>
        <w:tc>
          <w:tcPr>
            <w:tcW w:w="2580" w:type="dxa"/>
            <w:vAlign w:val="bottom"/>
          </w:tcPr>
          <w:p>
            <w:pPr>
              <w:spacing w:after="0"/>
              <w:rPr>
                <w:sz w:val="19"/>
                <w:szCs w:val="19"/>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8"/>
        </w:trPr>
        <w:tc>
          <w:tcPr>
            <w:tcW w:w="2580" w:type="dxa"/>
            <w:vAlign w:val="bottom"/>
          </w:tcPr>
          <w:p>
            <w:pPr>
              <w:spacing w:after="0"/>
              <w:rPr>
                <w:sz w:val="20"/>
                <w:szCs w:val="20"/>
                <w:color w:val="auto"/>
              </w:rPr>
            </w:pP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40" w:type="dxa"/>
            <w:vAlign w:val="bottom"/>
          </w:tcPr>
          <w:p>
            <w:pPr>
              <w:spacing w:after="0"/>
              <w:rPr>
                <w:sz w:val="20"/>
                <w:szCs w:val="20"/>
                <w:color w:val="auto"/>
              </w:rPr>
            </w:pP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Carrying Value</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3.0 - 7.0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93,898</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3.0 - 7.0</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74,360</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66,242</w:t>
            </w:r>
          </w:p>
        </w:tc>
      </w:tr>
      <w:tr>
        <w:trPr>
          <w:trHeight w:val="27"/>
        </w:trPr>
        <w:tc>
          <w:tcPr>
            <w:tcW w:w="2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2.0 - 5.0</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189,755</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r>
      <w:tr>
        <w:trPr>
          <w:trHeight w:val="220"/>
        </w:trPr>
        <w:tc>
          <w:tcPr>
            <w:tcW w:w="258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8"/>
        </w:trPr>
        <w:tc>
          <w:tcPr>
            <w:tcW w:w="258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40" w:type="dxa"/>
            <w:vAlign w:val="bottom"/>
          </w:tcPr>
          <w:p>
            <w:pPr>
              <w:spacing w:after="0"/>
              <w:rPr>
                <w:sz w:val="20"/>
                <w:szCs w:val="20"/>
                <w:color w:val="auto"/>
              </w:rPr>
            </w:pP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Carrying Value</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3.0 - 7.0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97,944</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3.0 - 7.0</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74,360</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r>
      <w:tr>
        <w:trPr>
          <w:trHeight w:val="27"/>
        </w:trPr>
        <w:tc>
          <w:tcPr>
            <w:tcW w:w="2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2.0 - 5.0</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$7.5 million and $1.1 million for the three months ended March 31, 2025 and 2024, respectively. These expenses were recorded as $4.0 million and $0.5 million within cost of revenues for the three months ended March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March 31, 2025, is as follows (in thousands):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r>
      <w:tr>
        <w:trPr>
          <w:trHeight w:val="27"/>
        </w:trPr>
        <w:tc>
          <w:tcPr>
            <w:tcW w:w="9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r>
      <w:tr>
        <w:trPr>
          <w:trHeight w:val="27"/>
        </w:trPr>
        <w:tc>
          <w:tcPr>
            <w:tcW w:w="9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25,398</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24,761</w:t>
            </w:r>
          </w:p>
        </w:tc>
      </w:tr>
      <w:tr>
        <w:trPr>
          <w:trHeight w:val="27"/>
        </w:trPr>
        <w:tc>
          <w:tcPr>
            <w:tcW w:w="9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w:t>
            </w:r>
          </w:p>
        </w:tc>
      </w:tr>
      <w:tr>
        <w:trPr>
          <w:trHeight w:val="263"/>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167,446</w:t>
            </w:r>
          </w:p>
        </w:tc>
      </w:tr>
      <w:tr>
        <w:trPr>
          <w:trHeight w:val="21"/>
        </w:trPr>
        <w:tc>
          <w:tcPr>
            <w:tcW w:w="9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64"/>
        </w:trPr>
        <w:tc>
          <w:tcPr>
            <w:tcW w:w="68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6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1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27"/>
        </w:trPr>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68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9"/>
        </w:trPr>
        <w:tc>
          <w:tcPr>
            <w:tcW w:w="68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March 31, 2025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The Company's assessment may change over time as individual proceedings or claims progress.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SYNQ3 v. TEBO</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SYNQ3 Acquisition, SYNQ3 filed a litigation against its landlord, TEBO in the United States District Court of Colorado, and TEBO counterclaimed in May 2022. On June 2, 2022, the District Court entered a judgment that was in favor of SYNQ3. TEBO filed the notice of appeal in July, 2023. On June 27, 2024, the Colorado Court of Appeals reversed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judgment and remanded the case to the District Court to enter judgment in favor of TEBO on both SYNQ3’s claim and TEBO’s counterclaim and to conduct further proceedings as are necessary to determine the damages, attorney fees and costs, if any, to be awarded to TEBO. On January 15, 2025, the Company entered a Settlement Agreement with TEBO. The Settlement Agreement requires SYNQ3 to pay $1.8 million to TEBO in January 2025 to resolve all matters related to the litigation and dispute. Therefore, the Company paid $1.8 million to TEBO under the Settlement Agreement during the three months ended March 31, 2025, which was offset by the Deferred Consideration and Contingent Holdback Consideration under SYNQ3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Assets, LLC v. SoundHound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At the appropriate time, the Company will deny all infringement allegations and allege that VB Assets, LLC patents asserted against the Company are invalid and/or unenforceable. The Company intends to vigorously defend itself in all respects. As of March 31, 2025, no determination can be made as to the likelihood of a favorable or unfavorable outcome. In accordance with ASC 450, Contingencies, no reasonably possible loss or range of loss can be estimated and accrued as of March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 things, claims under Sections 10(b) and 20(a) of the Securities Exchange Act of 1934, as amended. Plaintiff seeks to represent a putative class of shareholders who purchased or otherwise acquired SoundHound securities between May 10, 2024 and March 3, 2025, both dates inclusive. The Company intends to vigorously defend the claims and believes the complaint lacks merit. As of March 31, 2025, no determination can be made as to the likelihood of a favorable or unfavorable outcome. In accordance with ASC 450, Contingencies, no reasonably possible loss or range of loss can be estimated and accrued as of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As of March 31, 2025, no determination can be made as to the likelihood of a favorable or unfavorable outcome. In accordance with ASC 450, Contingencies, no reasonably possible loss or range of loss can be estimated and accrued as of March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continues to analyze potential sales tax exposure using a state-by-state assessment. In accordance with ASC 450, Contingencies, the Company estimated and recorded a liability of $2.8 million as of March 31, 2025 and $3.1 million as of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9),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condensed consolidated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the Company issued 2,269,982 shares of the Company's Class A Common Stock resulting from the cashless exercise in full of the Term Loan Warrants that were outstanding. As of December 31, 2024, all of the Term Loan Warrants had been exercised and no Term Loan Warrants are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to be identical to its Public Warrants. Therefore, the Private Warrants met requirements for classification as equity instruments, as they are indexed to the Company’s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there were 3,662,845 and 3,663,955 Public Warrants and Private Warrants issued and outstanding, respectively. During the three months ended March 31, 2025, the Company issued 1,110 shares of the Company's Class A Common Stock resulting from the exercise of Public Warrants and Private Warrants that were outstanding and raised $12.8 thousand in cash proceeds. There was no exercise during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Guarantee and Collateral Agreement. In addition, the Company is obligated to pay incremental lender fees (the "Lender Fees"), beginning on the Term Loan closing date, initially at the rate of 3.50% of the principal amount of the Term Loans for the first 18 months paid semi-annually to provide a collateral protection insurance policy on behalf of the lenders. Such rate for the Lender Fees will decrease to 2.50%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ind w:firstLine="8"/>
        <w:spacing w:after="0" w:line="260"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 with respect to SOFR loans, and 7.50% per annum with respect to ABR loans. As of June 30, 2024, the contractual interest rate was approximately 14.0%. The Company was amortizing the discounts on an effective interest basis over the period from issuance through April 14, 2027 (the “Maturity Date”). The effective interest rate was 25.18% for the quarter ended June 30, 2024. The Company incurred and paid $3.5 million in stated interest in the condensed consolidated statements of operations and comprehensive income (loss) for the three months ended March 31, 2024. During the three months ended March 31, 2024, the Company recorded $1.1 million in interest expense related to the debt discount.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March 31, 2025 and December 31, 2024, all the Series A Preferred Stock have been converted to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December 31, 2024, the condition of automatic conversion was met and all the remaining Series A Preferred Stock were automatically converted.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some Investors optionally converted 404,764 shares of preferred stock into 14,070,854 shares of Class A Common Stock. The conversion was pursuant to the original terms of the agreement and therefore the carrying value of Series A Preferred Stock was converted into Class A Common Stock with no gain or loss upon conversion. There was no conversions during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certain holders of Class B Common Stock optionally converted zero and 4,750,000 shares, respectively, of Class B Common Stock into the same number of shares of Class A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also agreed to reimburse the Sales Agents for certain specified expenses, including the reasonable and documented fees and disbursements of its legal counsel in an amount of $75,000 in the aggregate in connection with the execution of the Sales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a total of 37,907,219 shares of our Class A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the Company, the net proceeds from sales of Class A common stock was $133.8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this program, the Company was able to offer and sell up to $150.0 million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 As of December 31, 2024, the Company had no remaining capacity to sell the Company's Class A common stock under the Equity Distribution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Execute Equity Distribution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2024, the Company entered into an Execute Equity Distribution Agreement (the “Execute Equity Distribution Agreement”) with Barclays Capital Inc., Piper Sandler &amp; Co., D.A. Davidson &amp; Co., H.C. Wainwright &amp; Co., LLC, and Joseph Gunnar &amp; Co., LLC, (each, an “Agent,” and, collectively, the “Agents”) with respect to an at-the-market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program. Under this program, the Company was able to offer and sell up to $120.0 million of shares of its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 As of December 31, 2024, the Company had no remaining capacity to sell the Company's Class A common stock under the Execute Equity Distribution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Equity Distribution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24, 2025, the Company entered into an Equity Distribution Agreement (the "Second Equity Distribution Agreement") with Cantor Fitzgerald &amp; Co., Guggenheim Securities, LLC, Oppenheimer &amp; Co. Inc., Wedbush Securities Inc., Ladenburg Thalmann &amp; Co. Inc. and Northland Securities, Inc. (each, an “Sales Manager,” and, collectively, the “Sales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 During the three months ended March 31, 2025, the Company sold 4,248,900 shares of our common stock under the Second Equity Distribution Agreement, at an average price of $15.94 per share and raised $67.7 million of gross proceeds. The commissions and offering costs borne by the Company were approximately $1.4 million. As of March 31, 2025, the Company had a remaining capacity to sell up to an additional $182.3 million of the Company's common stock under the Second Equity Distribution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Incentive Award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Company’s common stock outstanding immediately after the Closing and is subject to increase each year over a ten-year period. As of March 31, 2025, the Company had 1,452,924 shares remaining for issuance under the 2022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Employee Stock Purchase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price if the stock price on the purchase date is less than the stock price on the offering date. The first offering period under the ESPP began on November 1, 2022. As of March 31, 2025, 936,368 shares of Class A Common Stock were issued under the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Employment Inducement Incentive Award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2024 Employment Inducement Incentive Award Plan (the “2024 Inducement Plan”, collectively, with the 2016 Plan and the 2022 Incentive Plan, the “Plans”) effective August 6, 2024. The Company reserved 6,000,000 shares of Class A Common Stock for the issuance of awards under the 2024 Inducement Plan. As of March 31, 2025, the Company had 2,416,500 shares remaining for issuance under the 2024 Inducement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related to the unvested stock options was approximately $0.9 million, which we expect to recognize over a weighted-average period of 0.49 years. There were no options granted during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("RSUs")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March 31, 2025, performance level of 2024 revenue amount was not met and performance levels of 2025 and 2026 were probable of being met.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granted 3,533,500 RSUs that vest over a four-year requisite service period to Amelia employees under 2024 Inducement Plan during the three months ended March 31, 2025. Additionally, the Company granted 1,379,912 RSUs to other employees of the Company during the three months ended March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related to the unvested RSUs with service conditions was approximately $128.9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related to the unvested Market-Based RSUs was approximately $2.0 thousand. There were no Market-Based RSUs granted during the three months ended March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related to the unvested Performance-based RSUs was approximately $6.2 million. There were 50,000 Performance-Based RSUs granted under 2024 Inducement Plan during the three months ended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stock-based compensation related to unvested RSUs is $135.1 million as of March 31, 2025 and this will vest over a weighted average period of 2.82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SYNQ3 Acquisition, a total of 2,033,156 unvested restricted Class A Common Stock shares </w:t>
      </w:r>
      <w:r>
        <w:rPr>
          <w:rFonts w:ascii="Times New Roman" w:cs="Times New Roman" w:eastAsia="Times New Roman" w:hAnsi="Times New Roman"/>
          <w:sz w:val="18"/>
          <w:szCs w:val="18"/>
          <w:i w:val="1"/>
          <w:iCs w:val="1"/>
          <w:color w:val="auto"/>
        </w:rPr>
        <w:t>("RSAs")</w:t>
      </w:r>
      <w:r>
        <w:rPr>
          <w:rFonts w:ascii="Times New Roman" w:cs="Times New Roman" w:eastAsia="Times New Roman" w:hAnsi="Times New Roman"/>
          <w:sz w:val="18"/>
          <w:szCs w:val="18"/>
          <w:color w:val="auto"/>
        </w:rPr>
        <w:t xml:space="preserve"> were issued, 25% of which are subject to service conditions that vest at the end of each of the upcoming three fiscal years in three tranches, and 75% of which is subject to both service and performance-based vesting conditions in three tranches.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every reporting period. As of March 31, 2025, the performance level of the 2024 revenue amount was not met and performance levels of 2025 and 2026 were probable of being met.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related to the unvested RSAs subject to service-based vesting condition and unvested RSAs subject to performance-based vesting condition was approximately $0.6 million and $2.4 million, respectively, over a weighted average period of 1.54 years. Refer to Note 3 for further information on the SYNQ3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condensed consolidated statements of operations and comprehensive income (loss) for the three months ended March 31, 2025, and 2024 (in thousands):</w:t>
      </w:r>
    </w:p>
    <w:p>
      <w:pPr>
        <w:spacing w:after="0" w:line="21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4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44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INCOME,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net on the condensed consolidated statements of operations is comprised of the following for the three months ended March 31, 2025 and 2024 (in thousands):</w:t>
      </w:r>
    </w:p>
    <w:p>
      <w:pPr>
        <w:spacing w:after="0" w:line="21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1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6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attributable to common stockholders for the three months ended March 31, 2025 and 2024:</w:t>
      </w:r>
    </w:p>
    <w:p>
      <w:pPr>
        <w:spacing w:after="0" w:line="21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22860</wp:posOffset>
            </wp:positionV>
            <wp:extent cx="2665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0" w:type="dxa"/>
            <w:vAlign w:val="bottom"/>
          </w:tcPr>
          <w:p>
            <w:pPr>
              <w:spacing w:after="0"/>
              <w:rPr>
                <w:sz w:val="1"/>
                <w:szCs w:val="1"/>
                <w:color w:val="auto"/>
              </w:rPr>
            </w:pPr>
          </w:p>
        </w:tc>
      </w:tr>
      <w:tr>
        <w:trPr>
          <w:trHeight w:val="225"/>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attributable to participating Class A Common Shares held in escrow in connection</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Amelia acquisition</w:t>
            </w:r>
          </w:p>
        </w:tc>
        <w:tc>
          <w:tcPr>
            <w:tcW w:w="4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4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dilutive instruments classified as derivatives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393,893,313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286,596,559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4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20,263,142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6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414,156,455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286,596,559</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diluted net loss per share is equal to the basic net loss per share as the effect of potentially dilutive securities would have been antidilutive.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The following table summarizes the outstanding shares of potentially dilutive securities that were excluded from the calculation of diluted earnings per share because their inclusion would have been anti-dilutive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36830</wp:posOffset>
            </wp:positionV>
            <wp:extent cx="2665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gridSpan w:val="2"/>
          </w:tcPr>
          <w:p>
            <w:pPr>
              <w:ind w:left="77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30,614,247</w:t>
            </w:r>
          </w:p>
        </w:tc>
      </w:tr>
      <w:tr>
        <w:trPr>
          <w:trHeight w:val="243"/>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2,480,589</w:t>
            </w:r>
          </w:p>
        </w:tc>
      </w:tr>
      <w:tr>
        <w:trPr>
          <w:trHeight w:val="27"/>
        </w:trPr>
        <w:tc>
          <w:tcPr>
            <w:tcW w:w="6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3,665,996</w:t>
            </w:r>
          </w:p>
        </w:tc>
      </w:tr>
      <w:tr>
        <w:trPr>
          <w:trHeight w:val="243"/>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2,033,156</w:t>
            </w:r>
          </w:p>
        </w:tc>
      </w:tr>
      <w:tr>
        <w:trPr>
          <w:trHeight w:val="27"/>
        </w:trPr>
        <w:tc>
          <w:tcPr>
            <w:tcW w:w="6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1,906,746</w:t>
            </w:r>
          </w:p>
        </w:tc>
      </w:tr>
      <w:tr>
        <w:trPr>
          <w:trHeight w:val="26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40,700,734</w:t>
            </w:r>
          </w:p>
        </w:tc>
      </w:tr>
      <w:tr>
        <w:trPr>
          <w:trHeight w:val="20"/>
        </w:trPr>
        <w:tc>
          <w:tcPr>
            <w:tcW w:w="6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table above does not include: (i) 1,729,887 and zero shares of unvested stock-based awards and restricted stock awards, respectively, and (ii) 18,257,365 and zero shares of contingently issuable earnout and holdback shares, respectively; outstanding as of March 31, 2025 and 2024, as these awards are subject to performance conditions that were not met as of those dates.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and diluted net income per share attributable to common stockholders for the three months ended March 31, 2025 excludes the 2,149,530 shares and 205,365 shares, respectively, of the Company's Class A Common Stock held in escrow as they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considered contingently returnable shares until the indemnifications subject to escrow have been resolved.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expense (benefit) and the effective tax rate were as follows (in thousands):</w:t>
      </w:r>
    </w:p>
    <w:p>
      <w:pPr>
        <w:spacing w:after="0" w:line="275"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22860</wp:posOffset>
            </wp:positionV>
            <wp:extent cx="27946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130,751</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(32,714)</w:t>
            </w:r>
          </w:p>
        </w:tc>
      </w:tr>
      <w:tr>
        <w:trPr>
          <w:trHeight w:val="25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r>
      <w:tr>
        <w:trPr>
          <w:trHeight w:val="26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 and tax benefit resulting from an acquisition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1"/>
                <w:szCs w:val="21"/>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7"/>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113,147</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7"/>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57"/>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286,898</w:t>
            </w:r>
          </w:p>
        </w:tc>
        <w:tc>
          <w:tcPr>
            <w:tcW w:w="0" w:type="dxa"/>
            <w:vAlign w:val="bottom"/>
          </w:tcPr>
          <w:p>
            <w:pPr>
              <w:spacing w:after="0"/>
              <w:rPr>
                <w:sz w:val="1"/>
                <w:szCs w:val="1"/>
                <w:color w:val="auto"/>
              </w:rPr>
            </w:pPr>
          </w:p>
        </w:tc>
      </w:tr>
      <w:tr>
        <w:trPr>
          <w:trHeight w:val="276"/>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Escrow Consideration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derivative measured at fair value on a recurring basis using unobservable inputs (Level 3)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derivative</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7"/>
        </w:trPr>
        <w:tc>
          <w:tcPr>
            <w:tcW w:w="9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accounted for the Escrow Consideration under Amelia acquisition as equity-classified shares issued as part of the consideration transferred. Upon the settlement of any valid indemnification claims against the selling shareholders,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three months ended March 31, 2025, the Company recognized a $1.3 million gain related to the change in fair value of derivative under other income in the condensed consolidated statement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Acquisition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Holdback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Contingent Holdback Consideration measured at fair value, including the effect of measurement period adjustments, on a recurring basis using unobservable inputs (Level 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364"/>
        </w:trPr>
        <w:tc>
          <w:tcPr>
            <w:tcW w:w="9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SYNQ3</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7"/>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cash portion of the Contingent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Holdback Consideration was estimated based upon the value of the Company’s Class A Common Stock price. The fair value of the Contingent Holdback Consideration was initially measured on January 3, 2024, the date on which the Company completed the acquisition of SYNQ3. For the three months ended March 31, 2025 and March 31, 2024, the Company recognized a gain of $2.3 million and a loss of $1.6 million, respectively, related to the Contingent Holdback Consideration.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Holdback Consideration has been estimated as of the Closing Date, March 31, 2024 and March 31, 2025, under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00" w:type="dxa"/>
            <w:vAlign w:val="bottom"/>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8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4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4.6 %</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5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 years</w:t>
            </w: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 year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years</w:t>
            </w:r>
          </w:p>
        </w:tc>
      </w:tr>
      <w:tr>
        <w:trPr>
          <w:trHeight w:val="27"/>
        </w:trPr>
        <w:tc>
          <w:tcPr>
            <w:tcW w:w="57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contingent earnout consideration measured at fair value on a recurring basis using unobservable inputs (Level 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286,898</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Pr>
          <w:p>
            <w:pPr>
              <w:spacing w:after="0"/>
              <w:rPr>
                <w:sz w:val="21"/>
                <w:szCs w:val="21"/>
                <w:color w:val="auto"/>
              </w:rPr>
            </w:pPr>
          </w:p>
        </w:tc>
        <w:tc>
          <w:tcPr>
            <w:tcW w:w="11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(173,751)</w:t>
            </w:r>
          </w:p>
        </w:tc>
      </w:tr>
      <w:tr>
        <w:trPr>
          <w:trHeight w:val="27"/>
        </w:trPr>
        <w:tc>
          <w:tcPr>
            <w:tcW w:w="9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5"/>
              </w:rPr>
              <w:t>113,147</w:t>
            </w:r>
          </w:p>
        </w:tc>
      </w:tr>
      <w:tr>
        <w:trPr>
          <w:trHeight w:val="27"/>
        </w:trPr>
        <w:tc>
          <w:tcPr>
            <w:tcW w:w="9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SYNQ3</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the Company recognized a gain of $173.8 million and a loss of $2.6 million, respectively. related to the contingent earnout consideration, reflected in the change in fair value of contingent acquisition liabilities in the condensed consolidated statement of operations and comprehensive income (loss).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SYNQ3 Earnout Consideration acquired from SYNQ3 Acquisition has been estimated as of the Closing Date, March 31, 2024 and March 31, 2025, with the following assumptions for the unobservable inputs: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40" w:type="dxa"/>
            <w:vAlign w:val="bottom"/>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9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42"/>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12.6 %</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7"/>
        </w:trPr>
        <w:tc>
          <w:tcPr>
            <w:tcW w:w="5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115.3 %</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128.7 %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4.2 %</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5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0.0 %</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0.5 - 2.5 years</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0.4 - 2.3 years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0.38 - 1.25 years</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Amelia Earnout Consideration acquired from Amelia Acquisition has been estimated as of the Closing Date and March 31, 2025, with the following assumptions for the unobservable inputs: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20" w:type="dxa"/>
            <w:vAlign w:val="bottom"/>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6, 2024</w:t>
            </w:r>
          </w:p>
        </w:tc>
        <w:tc>
          <w:tcPr>
            <w:tcW w:w="17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7"/>
        </w:trPr>
        <w:tc>
          <w:tcPr>
            <w:tcW w:w="7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73.0 %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118.0 %</w:t>
            </w:r>
          </w:p>
        </w:tc>
      </w:tr>
      <w:tr>
        <w:trPr>
          <w:trHeight w:val="27"/>
        </w:trPr>
        <w:tc>
          <w:tcPr>
            <w:tcW w:w="7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7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stock price</w:t>
            </w: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7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1.4 - 2.4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0.75 - 1.75 years</w:t>
            </w:r>
          </w:p>
        </w:tc>
      </w:tr>
      <w:tr>
        <w:trPr>
          <w:trHeight w:val="27"/>
        </w:trPr>
        <w:tc>
          <w:tcPr>
            <w:tcW w:w="75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three months ended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organized its operations into a single reportable segment, managed on a consolidated basis. The Company has determined that the Chief Executive Officer is its chief operating decision maker ("CODM"). The CODM assesses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for the segment and decides how to allocate resources based on net loss that also is reported on the income statement as consolidated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compares net loss from budget to actual result to assess segment performance and adjust resource allocations as necessary.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adoption of ASU 2023-07 in 2024, the Company determined to disclose personnel costs which requires retrospective application to all prior periods presented in the financial statements. The personnel-related costs are the significant segment expenses included in the net loss that are regularly provided to the CODM. Personnel-related costs were $45.0 million and $22.7 million, respectively, and represented 64.6% and 65.0%, respectively, of total operating expenses during the three months ended March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11 to the unaudited condensed consolidated financial statements for more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brother of one of our Board of Directors is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three months ended March 31, 2025. the Company paid commissions of $0.3 million to Guggenheim Securities, LLC for the Class A Common Stock sold through it as a Sales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2024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2024 filed with the SEC on March 11, 2025 ("Form 10-K" or the "Annual Report). Some of the information contained in this discussion and analysis or set forth elsewhere in this report and in our Form 10-K,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196 patents granted and over 112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6, 2024, we completed the acquisition of Amelia, a privately-held conversational AI software company involved in the development and delivery of AI and automation solutions and related services to improve customer experience and optimize business outcomes. We expect Amelia will bring together decades of experience in conversational AI, and highly complementary product portfolios, to offer best-in-class, scalable customer service support to a vast spectrum of businesses. These include some of the very largest multinational enterprise brands, top 15 global banks, and Fortune 500 organizations, with the combined company spanning nearly 200 marquee customers. We believe the acquisition of Amelia is expected to strengthen SoundHound’s position in voice and conversational AI and allow us to enter new industries such as healthcare, insurance, financial services, energy and retail, expanding our market reach. Refer to the "Liquidity and Capital Resources" section for discussion on the purchase price and the Acquisition's impact on SoundHound's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8"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and Amelia which have synergistic businesses to ours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and Amelia, we may look to acquire other companies in the industry to develop synergies with our existing business.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to include 25 languages. We view opportunities for conversational Voice AI to be global in reach, and we expect our growth to be fueled across multiple geographies.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“Amelia Software Platform”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 services are also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offered and included within professional services revenue. The revenues from Amelia Software Platform are included within Service Subscriptions, and are recognized point in time or over time depending on the arrangement.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$71.1 million as of March 31, 2025. Given the applicable contract terms, $41.9 million is expected to be recognized as revenue within one year, $27.1 million is expected to be recognized between 2 to 5 years and the remainder of $2.1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report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and other acquisition as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SYNQ3 and Amelia acquisitions. The contingent consideration was determined to be liability classified and is remeasured as of each reporting period with a corresponding change in fair value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three months ended March 31, 2025 due to the repayment of Amelia Debt in December 2024 and the repayment of Term Loan in June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of the change in fair value related to our derivative liability, interest income and other income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2024, we had $548.4 million of U.S. federal and $208.1 million of state net operating loss carryforwards available to reduce future taxable income. The federal and state net operating loss carryforwards will start to expire in 2025 and 2028, respectively, with the exception of $403.3 million federal net operating loss carryforwards and $11.0 million state net operating loss carryforwards, which can be carried forward indefinitely.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$21.4 million and $13.3 million, respectively, as of December 31, 2024. The federal credits will expire starting in 2029 if not utilized. The state credits can be carried forward indefinitely. We also had Canadian SR&amp;ED tax credits of $1.6 million, which expire starting in 2038 if not utilized.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months ended March 31, 2025 and 2024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128,097</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156,626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7"/>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16 to our unaudited condensed consolidated financial statements included within this report for more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64"/>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Pr>
          <w:p>
            <w:pPr>
              <w:spacing w:after="0"/>
              <w:rPr>
                <w:sz w:val="24"/>
                <w:szCs w:val="24"/>
                <w:color w:val="auto"/>
              </w:rPr>
            </w:pPr>
          </w:p>
        </w:tc>
      </w:tr>
      <w:tr>
        <w:trPr>
          <w:trHeight w:val="238"/>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11,594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6,925</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6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months ended March 31, 2025 and 2024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revenues increased by $17.5 million, or 151%, in the three months ended March 31, 2025 compared to the same period in 2024. Service subscription increased by $21.0 million, primarily based in the Americas, and was driven by the contribution of revenue from Amelia acquisition. This was offset by a decrease in royalty revenue, primarily in the Asia region.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revenues increased by $13.8 million, or 296% in the three months ended March 31, 2025 compared to the same period in 2024. Gross margin decreased to 36% during the three months ended March 31, 2025 compared to 60% during the same period in 2024 primarily due to the acquisition of Amelia in 2024, which included a amortization of acquired intangible assets in the amount of $3.5 million. In the past, our gross margin has fluctuated and may continue to fluctuate from quarter to quarter due to revenue contributions from varying product mixes. However, we expect to gradually improve gross margins in the mid-term, especially as it relates the integration of Amelia and SYNQ3.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$6.5 million, or 117%, in the three months ended March 31, 2025 compared to the same period in 2024, primarily due to increases in 2025 of $5.6 million in personnel-related costs caused by Amelia acquisition, $0.5 million in office expense, $0.3 million in consulting fees, $0.3 million in advertising expenses, and $0.1 million in travel expenses, which were partially offset by a decrease of $0.4 million incurred for information technology and facility allocations.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sales and marketing expenses to remain stable in the short term. However, in the long term, we expect sales and marketing expenses to grow at a rate below that of our revenue, aligning with our strategic emphasis on cost effectiveness and sustainable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$9.9 million, or 66%, in the three months ended March 31, 2025 compared to the same period in 2024. The increase in research and development expenses was primarily due to increases in 2025 of $9.0 million in personnel-related costs caused by Amelia acquisition, $1.6 million in cloud computing services, $0.3 million in consulting fees, and $0.2 million in office expense, which were partially offset by a decrease of $1.3 million incurred for information technology and facility allocations.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remain stable in the short term. However, in the long term, we expect research and development expenses to grow at a rate below that of our revenue, aligning with our strategic emphasis on cost effectiveness and sustainable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$8.1 million, or 79%, in the three months ended March 31, 2025 compared to the same period in 2024. The increase in general and administrative expenses was primarily due to increases in 2025 of $4.6 million in personnel-related costs caused by Amelia acquisition, $1.7 million in information technology and facility allocations, $0.8 million in bad debt expense, $0.6 million in office expense, $0.2 million in legal and professional fees, $0.2 million in cloud computing services, and $0.1 million in insurance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which is driven by the movements in our stock price and changes in the assessed probability of achieving certain future revenue targets, was a gain of $176.1 million for the three months ended March 31, 2025. The Company's quarter-end stock price decrease resulted in an decrease in its fair value of contingent acquisition liabilities where future Contingent Earnout Consideration and Contingent Holdback Consideration are marked-to-market on a quarterly basis, significantly impacting net income (loss) and EPS during the reporting period. The fluctuation is non-operating and non-cash in nature. We will continue to review our estimates on the quarterly basis over the remaining earnout period until 2026. See Note 16 to our unaudited condensed consolidated financial statements included within this report for more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r>
      <w:tr>
        <w:trPr>
          <w:trHeight w:val="27"/>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decreased by $5.4 million, or 96% in the three months ended March 31, 2025 compared to the same period in 2024. The decrease in interest expense was primarily attributable to the early repayment of Term Loan in June, 2024, resulting in the decrease in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other income, net, by type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6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increased by $0.4 million, or 22% in the three months ended March 31, 2025 compared to the same period in 2024. The increase was primarily attributable to interest earned on greater money market and treasury bond balances during the three months ended March 31, 2025, as we engaged in significant transactions that increased our liquidity. Refer to "Liquidity and Capital Resources" for a discussion of the changes in our business that led to an increase in cash for the period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 in fair value of derivative increased by $1.3 million, or 100% in the three months ended March 31, 2025 compared to the same period in 2024. The increase was primarily attributable to the remeasurement gain from the change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fair value of a derivative assumed from Amelia acquisition. See Note 16 to our unaudited condensed consolidated financial statements included within this report for more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provision for income taxes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7"/>
        </w:trPr>
        <w:tc>
          <w:tcPr>
            <w:tcW w:w="4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by $0.5 million, or 178% in the three months ended March 31, 2025 compared to the same period in 2024. This increase was primarily attributable to increased withholding tax from foreign customers, increased foreign taxes and decreased tax benefit from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March 31, 2025 was $245.8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and, available cash balances and expected cash proceeds from the on-going at-the-market equity program. Our condensed consolidated financial statements have been prepared assuming that we will continue as a going concern, which contemplates, among other things, the realization of assets and satisfaction of liabilities in the normal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sale of marketable securities. The primary uses of cash include the funding of operating expenses. There were no material changes to our material cash requirements as disclosed in our audited consolidated financial statements for the fiscal year ended December 31, 2024 in our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Equity Distribution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at-the-market equity program. Under this program, we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our Class A Common Stock. During the three months ended March 31, 2025, we sold 4,248,900 shares of our common stock under the Second Equity Distribution Agreement, at an average price of $15.94 per share and raised $67.7 million of gross proceeds. The commissions and offering costs borne by us were approximately $1.4 million. As of March 31, 2025, the Company had a remaining capacity to sell up to an additional $182.3 million of our common stock under the Second Equity Distribution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$2.2 million in acquisition related expenses, of which $0.1 million and $0.2 million were incurred during the three months ended March 31, 2025 and 2024, respectively, and recorded as general and administration expenses in its condensed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is being withheld for a period of 15 months (the “Holdback Amount”). We determined that there are two components to the Holdback Amount related to deferred consideration and contingent consideration, each comprised of cash and shares.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Holdback Consideration as a liability on the condensed consolidated balance sheet. As of the SYNQ3 Acquisition Date, the Contingent Holdback Consideration was estimated to be $0.6 million in aggregate and to be settled in $0.1 million cash and the remainder in shares of our Class A Common Stock. During the year ended December 31, 2024, we issued 38,277 shares of our Class A Common Stock and paid an immaterial amount in cash from the Contingent Holdback Consideration to SYNQ3's former stockholders as a result of the net working capital adjustments settled during the year. The Contingent Holdback Consideration will be subsequently remeasured at each reporting date with changes in fair value recognized as a component of operating expense on our condensed consolidated statement of operations and comprehensive income (loss). See Note 16 to our unaudited condensed consolidated financial statements included within this report for more information on the fair value measurement of Contingent Holdback Consideration.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SYNQ3 Earnout Consideration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condensed consolidated balance sheets and will subsequently remeasure the liability at each reporting date with changes in fair value recognized as a component of operating expense in our condensed consolidated statement of operations and comprehensive income (loss). As of the SYNQ3 Acquisition Date, the Contingent SYNQ3 Earnout Consideration was estimated to be $1.7 million in aggregate and to be settled in $0.2 million cash and the remainder in shares of our Class A Common Stock. See Note 16 to our unaudited condensed consolidated financial statements included within this report for more information on the fair value measurement of Contingent SYNQ3 Earnout Consideration. As of March 31, 2025, the 2024 revenue target was not met but the Company assessed the 2025 and 2026 revenue targets were probable of being met, and no earnout consideration was issued as of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has been finalized as of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preliminary purchase consideration was $98.6 million.</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On December 3, 2024, we entered into a letter agreement (the “Amelia Debt Payoff Letter”) to prepay in full all indebtedness and other amounts outstanding and owing under the Amelia Debt Credit Agreement and the Amelia Debt was subsequently paid in full.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Consideration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Amelia Acquisition Date, we issued and deposited 2,149,530 shares of our Class A Common Stock into and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This derivative did not have a material impact to the financial statements for the three months ended March 31, 2025. Upon the expiration of the escrow period, any remaining shares in the escrow account will be released to the selling shareholders. See Note 16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Amelia Earnout Consideration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the our condensed consolidated balance sheet and will subsequently remeasure the liability at each reporting date with changes in fair value recognized as a component of operating expense in our condensed consolidated statement of operations and comprehensive income (loss). As of the Amelia Acquisition Date, the Contingent Amelia Earnout Consideration had an estimated fair value of $66.3 million and will be settled in shares of our Class A Common Stock. For the three months ended March 31, 2025, we recognized a $168.7 million gain related to the Contingent Amelia Earnout Consideration, reflected in the change in fair value of contingent acquisition liabilities in the condensed consolidated statement of operations and comprehensive income (loss). As of March 31, 2025, the Company assessed the 2025 and 2026 revenue targets were probable of being met.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recorded measurement period adjustments to decrease the accrued liabilities by $83.0 thousand and other current liabilities by $0.4 million due to true-up of the accrued payroll taxes and sales taxes subsequent to the acquisition. As a result of the adjusted acquisition-date fair value of liabilities assumed, we recorded a decrease of $0.5 million to the goodwill recognized. The measurement period adjustments were recorded in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condensed consolidated financial statements as of and for the three months ended March 31, 2025 and were made to reflect facts and circumstances that existed as of the Amelia Acquisition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March 31, 2025 primarily due to the final assessment of the contingent tax liability assumed.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Amelia Acquisition Date.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incurred $6.3 million in acquisition related expenses, of which $0.6 million was incurred during the three months ended March 31, 2025 and recorded as general and administration expenses in its condensed consolidated statements of operat</w:t>
      </w:r>
      <w:r>
        <w:rPr>
          <w:rFonts w:ascii="Times New Roman" w:cs="Times New Roman" w:eastAsia="Times New Roman" w:hAnsi="Times New Roman"/>
          <w:sz w:val="18"/>
          <w:szCs w:val="18"/>
          <w:color w:val="232323"/>
        </w:rPr>
        <w:t>ions and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14, 2024, we completed an immaterial acquisition for total preliminary purchase consideration of $1.0 million. As part of the acquisition, we acquired net assets of $2.2 million, including intangible assets of $2.6 million, and recognized a preliminary gain on bargain purchase of $1.2 million within other income, net in the condensed consolidated statements of operations and comprehensive income (loss) during the quarter of the acquisition,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price allocation has been finalized as of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9 to the unaudited condensed consolidated financial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 in thousands):</w:t>
      </w:r>
    </w:p>
    <w:p>
      <w:pPr>
        <w:spacing w:after="0" w:line="27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$19.2 million during the three months ended March 31, 2025 compared to $21.9 million during the three months ended March 31, 2024. The $2.8 million decrease in cash used in operating activities was primarily due to increases of $162.9 million in net income, $10.5 million in stock-based compensation, $6.3 million in depreciation and amortization, $4.9 million in changes in operating assets and liabilities, $1.3 million in change in fair value of derivative, $0.9 million in other non-cash loss, and $0.1 million in foreign currency gain from remeasurement,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were partially offset by decreases of $180.3 million in change in the fair value of contingent acquisition liabilities, $1.2 million in amortization of debt issuance cost, $0.3 million in deferred income taxes, and non-cash lease amortization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$0.2 million during the three months ended March 31, 2025 compared to $3.8 million during the three months ended March 31, 2024. The $3.6 million decrease in cash used in investing activities was primarily driven by the decrease of payments related to acquisitions of $3.7 million, which was partially offset by the increase in purchases of property and equipment of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$67.0 million during the three months ended March 31, 2025 compared to $142.7 million during the three months ended March 31, 2024. The $75.7 million decrease in cash provided by financing activities was primarily due to decreases of $69.6 million in net proceeds from sales of Class A Common Stock under the Sales Agreement and Second Equity Distribution Agreement, $8.2 million in proceeds from exercise of stock options and employee stock purchase plan, and $2.1 million in the payment of financing costs associated with the Sales Agreement and Second Equity Distribution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at-the-market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our critical accounting policies, see “Management’s discussion and analysis of financial condition and results of operations” and the notes to the condensed consolidated financial statements included in our Form 10-K, which was filed with the SEC on March 11,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risks from the information presented in Part II, Item 7A. “Quantitative and Qualitative Disclosures About Market Risk” in our Form 10-K, except as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approximately $0.5 million and $0.3 million during the three months ended March 31, 2025 and 2024, respectively. We do not believe that an immediate 10% increase or decrease in the relative value of the U.S. dollar to other currencies would have a material effect on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Quarterly Report on Form 10-Q. Based on this evaluation, our Chief Executive Officer and Chief Financial Officer have concluded that our disclosure controls and procedures were not effective as of March 31, 2025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Quarterly Report on Form 10-Q were prepared in accordance with U.S. GAAP, the Company’s management has concluded that its consolidated financial statements present fairly, in all material respects, its financial position, results of operations and cash flows for the periods presented in conformity with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As of March 31, 2025, the material weakness were as follows: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including the SYNQ3 and Amelia entities which were acquired during 2024, not designing and maintaining effective controls related to substantially all accounts and disclosures. These material weaknesses contributed to the following additional material weaknesses:</w:t>
      </w:r>
    </w:p>
    <w:p>
      <w:pPr>
        <w:spacing w:after="0" w:line="18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of and accounting for certain non-routine, unusual or complex transactions, including the accounting for complex financing transactions and acquisitions.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immaterial errors related to SYNQ3 and Amelia acquisitions during the year ended December 31, 2024 and immaterial errors in various accounts during the interim and annual periods during 2023, 2024 and Q1 2025.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remediation actions are currently being implemented and are in progress:</w:t>
      </w:r>
    </w:p>
    <w:p>
      <w:pPr>
        <w:spacing w:after="0" w:line="225"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perform a risk assessment that includes the identification and walkthrough of key business processes and conducting design and operational control testing to address key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segregation of duties assessment identifying key conflicts and mitigating controls.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a Segregation of Duties automated tool for our Enterprise Resource Planning (ERP) system. Additionally, we have initiated the design and implementation of similar controls for the remaining financially relevant applications. Improvements have been implemented in tool utilization to strengthen the segregation of duties.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policies and procedures for the quarterly user access review of all users with access to the financially relevant systems and then implemented the quarterly user access review for one design cycle.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the controls related to review and approval of complex financing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implementation of an automated month and quarter-end accounting close workflow tool to facilitate the review and support of key financial close process controls.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personnel with expertise in risk assessment and internal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implementation of technological enhancements including the consolidation of disparate ERP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internal compliance processes.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quarter ended March 31, 2025 that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condensed consolidated Financial Statements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below and those described in Part I, Item 1A, "Risk Factors" in our Annual Report on Form 10-K for the year ended December 31, 2024, which could adversely affect our business, financial condition, results of operations, cash flows, and the trading price of our stock. Other than as described below, there have been no material changes from these risk factors during the quarter ended March 31, 2025.</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SoundHound is not directly impacted by the tariffs as a software-as-a-service (SaaS) provider, SoundHound’s business or stock price may be adversely affected by the imposition of duties and tariffs and other trade barriers and retaliatory countermeasures on our customers implemented by the U.S. and other governments.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there have been significant changes to U.S. trade policies, sanctions, legislation, treaties and tariffs, including, but not limited to, trade policies and tariffs affecting products from outside of the U.S. For example, in early April, 2025, the current U.S. presidential administration announced significant new tariffs on foreign imports into the U.S. from about 90 nations. Although SoundHound is not directly impacted by the tariffs as a software-as-a-service (SaaS) provider, the extent and duration of increased tariffs and the resulting impact on general economic conditions and on our business partners are uncertain and depend on various factors, such as negotiations between the U.S. and affected countries, the responses of other countries or regions, and exemptions or exclusions that may be granted. Any new or additional tariffs on goods imported to the U.S. could also increase the cost of our business partners and reduce their margins, which may eventually impact the demand of our products and services or our pricing strategy, depending on our business partners' ability to mitigate tariffs through alternative sourcing or manufacturing or allocate tariff costs to counterparties. Additionally, U.S. policy changes and uncertainty about such changes could increase market volatility and currency exchange rate fluctuations. As a result of these dynamics, we cannot predict the impact to our business or stock price that may be caused by any future changes to the U.S.’s or other countries’ trading relationships or the impact of new laws or regulations adopted by the U.S. or other countries.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2024, the following Section 16 officers and directors adopted, modified or terminated a “Rule 10b5-1 trading arrangement” (as defined in Item 408 of Regulation S-K of the Exchange Act):</w:t>
      </w:r>
    </w:p>
    <w:p>
      <w:pPr>
        <w:spacing w:after="0" w:line="162"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Keyvan Mohajer, Chief Executive Officer and Director, adopted a new trading plan on March 17, 2025 (with the first trade under the new plan not to be made prior to June 16, 2025). The trading plan will be effective until August 14, 2025 and provides for the sale of up to 2,400,000 shares of Dr. Mohajer's 14,139,064 shares of Class B common stock, up to 737,500 shares of Class A common stock issuable upon vesting and settlement of certain RSUs and PSUs, provided that certain conditions are met.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Majid Emami, Chief Science Officer and Senior Vice President, adopted a new trading plan on March 11, 2025 (with the first trade under the new plan not to be made prior to June 10, 2025). The trading plan will be effective until December 31, 2025 and provides for the sale of up to 2,400,000 shares of Mr. Emami's 16,583,756 shares of Class B common stock, up to 562,850 shares of Class A common stock issuable upon vesting and settlement of certain RSUs and PSUs, provided that certain conditions are met.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Hom, Chief Product Officer and Director, adopted a new trading plan on March 19, 2025 (with the first trade under the new plan not to be made prior to July 1, 2025). The trading plan will be effective until September 30, 2025 and provides for the sale of up to 800,000 shares of Mr. Hom’s 1,812,588 shares of Class B common stock and up to 3,815 shares of Class A common stock, and up to 69,686 shares of Class A common stock issuable upon vesting and settlement of certain RSUs, provided that certain conditions are met.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Zagorsek, Chief Operating Officer, adopted a new trading plan on March 24, 2025 (with the first trade under the new plan not to be made prior to June 23, 2025). The trading plan will be effective until June 30, 2026 and provides for the sale of up to 179,888 shares of Class A common stock issuable upon vesting and exercise of certain stock options, provided that certain conditions are met.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March 31, 2025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No.</w:t>
            </w:r>
          </w:p>
        </w:tc>
        <w:tc>
          <w:tcPr>
            <w:tcW w:w="2060" w:type="dxa"/>
            <w:vAlign w:val="bottom"/>
          </w:tcPr>
          <w:p>
            <w:pPr>
              <w:spacing w:after="0"/>
              <w:rPr>
                <w:sz w:val="20"/>
                <w:szCs w:val="20"/>
                <w:color w:val="auto"/>
              </w:rPr>
            </w:pPr>
          </w:p>
        </w:tc>
        <w:tc>
          <w:tcPr>
            <w:tcW w:w="7420" w:type="dxa"/>
            <w:vAlign w:val="bottom"/>
            <w:gridSpan w:val="4"/>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4520" w:type="dxa"/>
            <w:vAlign w:val="bottom"/>
            <w:tcBorders>
              <w:bottom w:val="single" w:sz="8" w:color="0000FF"/>
            </w:tcBorders>
            <w:gridSpan w:val="3"/>
            <w:shd w:val="clear" w:color="auto" w:fill="CCEEFF"/>
          </w:tcPr>
          <w:p>
            <w:pPr>
              <w:spacing w:after="0" w:line="202"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 xml:space="preserve">Second Equity Distribution Agreement, filed January </w:t>
              </w:r>
            </w:hyperlink>
            <w:r>
              <w:rPr>
                <w:rFonts w:ascii="Times New Roman" w:cs="Times New Roman" w:eastAsia="Times New Roman" w:hAnsi="Times New Roman"/>
                <w:sz w:val="18"/>
                <w:szCs w:val="18"/>
                <w:color w:val="0000FF"/>
                <w:w w:val="99"/>
              </w:rPr>
              <w:t xml:space="preserve">27, </w:t>
            </w:r>
            <w:hyperlink r:id="rId89">
              <w:r>
                <w:rPr>
                  <w:rFonts w:ascii="Times New Roman" w:cs="Times New Roman" w:eastAsia="Times New Roman" w:hAnsi="Times New Roman"/>
                  <w:sz w:val="18"/>
                  <w:szCs w:val="18"/>
                  <w:color w:val="0000FF"/>
                  <w:w w:val="99"/>
                </w:rPr>
                <w:t>2025</w:t>
              </w:r>
            </w:hyperlink>
          </w:p>
        </w:tc>
        <w:tc>
          <w:tcPr>
            <w:tcW w:w="4960" w:type="dxa"/>
            <w:vAlign w:val="bottom"/>
            <w:tcBorders>
              <w:bottom w:val="single" w:sz="8" w:color="CCEEFF"/>
            </w:tcBorders>
            <w:gridSpan w:val="2"/>
            <w:shd w:val="clear" w:color="auto" w:fill="CCEEFF"/>
          </w:tcPr>
          <w:p>
            <w:pPr>
              <w:spacing w:after="0"/>
              <w:rPr>
                <w:sz w:val="21"/>
                <w:szCs w:val="21"/>
                <w:color w:val="auto"/>
              </w:rPr>
            </w:pPr>
          </w:p>
        </w:tc>
      </w:tr>
      <w:tr>
        <w:trPr>
          <w:trHeight w:val="202"/>
        </w:trPr>
        <w:tc>
          <w:tcPr>
            <w:tcW w:w="17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46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 Rules 13a-14(a) and 15(d)-14(a), as adopted</w:t>
            </w:r>
          </w:p>
        </w:tc>
        <w:tc>
          <w:tcPr>
            <w:tcW w:w="20" w:type="dxa"/>
            <w:vAlign w:val="bottom"/>
          </w:tcPr>
          <w:p>
            <w:pPr>
              <w:spacing w:after="0"/>
              <w:rPr>
                <w:sz w:val="17"/>
                <w:szCs w:val="17"/>
                <w:color w:val="auto"/>
              </w:rPr>
            </w:pPr>
          </w:p>
        </w:tc>
      </w:tr>
      <w:tr>
        <w:trPr>
          <w:trHeight w:val="196"/>
        </w:trPr>
        <w:tc>
          <w:tcPr>
            <w:tcW w:w="1760" w:type="dxa"/>
            <w:vAlign w:val="bottom"/>
          </w:tcPr>
          <w:p>
            <w:pPr>
              <w:spacing w:after="0"/>
              <w:rPr>
                <w:sz w:val="17"/>
                <w:szCs w:val="17"/>
                <w:color w:val="auto"/>
              </w:rPr>
            </w:pPr>
          </w:p>
        </w:tc>
        <w:tc>
          <w:tcPr>
            <w:tcW w:w="94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8"/>
        </w:trPr>
        <w:tc>
          <w:tcPr>
            <w:tcW w:w="176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76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94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 13a-14(a) and 15(d)-14(a), as adopted</w:t>
            </w:r>
          </w:p>
        </w:tc>
      </w:tr>
      <w:tr>
        <w:trPr>
          <w:trHeight w:val="244"/>
        </w:trPr>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428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18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7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46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20" w:type="dxa"/>
            <w:vAlign w:val="bottom"/>
          </w:tcPr>
          <w:p>
            <w:pPr>
              <w:spacing w:after="0"/>
              <w:rPr>
                <w:sz w:val="17"/>
                <w:szCs w:val="17"/>
                <w:color w:val="auto"/>
              </w:rPr>
            </w:pPr>
          </w:p>
        </w:tc>
      </w:tr>
      <w:tr>
        <w:trPr>
          <w:trHeight w:val="196"/>
        </w:trPr>
        <w:tc>
          <w:tcPr>
            <w:tcW w:w="1760" w:type="dxa"/>
            <w:vAlign w:val="bottom"/>
          </w:tcPr>
          <w:p>
            <w:pPr>
              <w:spacing w:after="0"/>
              <w:rPr>
                <w:sz w:val="17"/>
                <w:szCs w:val="17"/>
                <w:color w:val="auto"/>
              </w:rPr>
            </w:pPr>
          </w:p>
        </w:tc>
        <w:tc>
          <w:tcPr>
            <w:tcW w:w="94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48"/>
        </w:trPr>
        <w:tc>
          <w:tcPr>
            <w:tcW w:w="176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76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94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96"/>
        </w:trPr>
        <w:tc>
          <w:tcPr>
            <w:tcW w:w="1760" w:type="dxa"/>
            <w:vAlign w:val="bottom"/>
            <w:tcBorders>
              <w:top w:val="single" w:sz="8" w:color="CCEEFF"/>
            </w:tcBorders>
            <w:shd w:val="clear" w:color="auto" w:fill="CCEEFF"/>
          </w:tcPr>
          <w:p>
            <w:pPr>
              <w:spacing w:after="0"/>
              <w:rPr>
                <w:sz w:val="17"/>
                <w:szCs w:val="17"/>
                <w:color w:val="auto"/>
              </w:rPr>
            </w:pPr>
          </w:p>
        </w:tc>
        <w:tc>
          <w:tcPr>
            <w:tcW w:w="9460" w:type="dxa"/>
            <w:vAlign w:val="bottom"/>
            <w:tcBorders>
              <w:top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9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 w:lineRule="exact"/>
        <w:rPr>
          <w:sz w:val="20"/>
          <w:szCs w:val="20"/>
          <w:color w:val="auto"/>
        </w:rPr>
      </w:pPr>
    </w:p>
    <w:p>
      <w:pPr>
        <w:jc w:val="both"/>
        <w:ind w:left="1760" w:right="20" w:hanging="1064"/>
        <w:spacing w:after="0" w:line="258" w:lineRule="auto"/>
        <w:tabs>
          <w:tab w:leader="none" w:pos="1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SoundHound AI, Inc.'s Quarterly Report on Form 10-Q for the quarter ended September 30, 2024 formatted in Inline XBRL (Extensible Business Reporting Language) includes: (i) the condensed consolidated balance sheets, (ii) the condensed consolidated statements of operations and comprehensive income (loss), (iii) the condensed consolidated statements of stockholders' equity, (iv) the condensed consolidated statements of cash flows,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or filed in other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4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7"/>
        </w:trPr>
        <w:tc>
          <w:tcPr>
            <w:tcW w:w="34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70"/>
        </w:trPr>
        <w:tc>
          <w:tcPr>
            <w:tcW w:w="3480" w:type="dxa"/>
            <w:vAlign w:val="bottom"/>
          </w:tcPr>
          <w:p>
            <w:pPr>
              <w:spacing w:after="0"/>
              <w:rPr>
                <w:sz w:val="23"/>
                <w:szCs w:val="23"/>
                <w:color w:val="auto"/>
              </w:rPr>
            </w:pP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4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27"/>
        </w:trPr>
        <w:tc>
          <w:tcPr>
            <w:tcW w:w="34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r>
      <w:tr>
        <w:trPr>
          <w:trHeight w:val="270"/>
        </w:trPr>
        <w:tc>
          <w:tcPr>
            <w:tcW w:w="3480" w:type="dxa"/>
            <w:vAlign w:val="bottom"/>
          </w:tcPr>
          <w:p>
            <w:pPr>
              <w:spacing w:after="0"/>
              <w:rPr>
                <w:sz w:val="23"/>
                <w:szCs w:val="23"/>
                <w:color w:val="auto"/>
              </w:rPr>
            </w:pP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4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32"/>
        </w:trPr>
        <w:tc>
          <w:tcPr>
            <w:tcW w:w="3480" w:type="dxa"/>
            <w:vAlign w:val="bottom"/>
          </w:tcPr>
          <w:p>
            <w:pPr>
              <w:spacing w:after="0"/>
              <w:rPr>
                <w:sz w:val="24"/>
                <w:szCs w:val="24"/>
                <w:color w:val="auto"/>
              </w:rPr>
            </w:pPr>
          </w:p>
        </w:tc>
        <w:tc>
          <w:tcPr>
            <w:tcW w:w="32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56</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43"/>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7"/>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43"/>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7"/>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March 31, 2025,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26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March 31, 2025,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261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Roman"/>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89" Type="http://schemas.openxmlformats.org/officeDocument/2006/relationships/hyperlink" Target="https://www.sec.gov/Archives/edgar/data/1840856/000121390025007125/ea022848001ex10-1_s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2025-05-12T15:18:57Z</dcterms:created>
  <dcterms:modified xsi:type="dcterms:W3CDTF">2025-05-12T15:18:57Z</dcterms:modified>
</cp:coreProperties>
</file>