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140" w:type="dxa"/>
            <w:vAlign w:val="bottom"/>
            <w:gridSpan w:val="5"/>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9"/>
              </w:rPr>
              <w:t>FORM 8-K</w:t>
            </w:r>
          </w:p>
        </w:tc>
        <w:tc>
          <w:tcPr>
            <w:tcW w:w="3260" w:type="dxa"/>
            <w:vAlign w:val="bottom"/>
          </w:tcPr>
          <w:p>
            <w:pPr>
              <w:spacing w:after="0"/>
              <w:rPr>
                <w:sz w:val="20"/>
                <w:szCs w:val="20"/>
                <w:color w:val="auto"/>
              </w:rPr>
            </w:pPr>
          </w:p>
        </w:tc>
      </w:tr>
      <w:tr>
        <w:trPr>
          <w:trHeight w:val="432"/>
        </w:trPr>
        <w:tc>
          <w:tcPr>
            <w:tcW w:w="3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140" w:type="dxa"/>
            <w:vAlign w:val="bottom"/>
            <w:gridSpan w:val="5"/>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9"/>
              </w:rPr>
              <w:t>CURRENT REPORT</w:t>
            </w:r>
          </w:p>
        </w:tc>
        <w:tc>
          <w:tcPr>
            <w:tcW w:w="3260" w:type="dxa"/>
            <w:vAlign w:val="bottom"/>
          </w:tcPr>
          <w:p>
            <w:pPr>
              <w:spacing w:after="0"/>
              <w:rPr>
                <w:sz w:val="24"/>
                <w:szCs w:val="24"/>
                <w:color w:val="auto"/>
              </w:rPr>
            </w:pPr>
          </w:p>
        </w:tc>
      </w:tr>
      <w:tr>
        <w:trPr>
          <w:trHeight w:val="410"/>
        </w:trPr>
        <w:tc>
          <w:tcPr>
            <w:tcW w:w="3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140" w:type="dxa"/>
            <w:vAlign w:val="bottom"/>
            <w:gridSpan w:val="5"/>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tc>
        <w:tc>
          <w:tcPr>
            <w:tcW w:w="3260" w:type="dxa"/>
            <w:vAlign w:val="bottom"/>
          </w:tcPr>
          <w:p>
            <w:pPr>
              <w:spacing w:after="0"/>
              <w:rPr>
                <w:sz w:val="24"/>
                <w:szCs w:val="24"/>
                <w:color w:val="auto"/>
              </w:rPr>
            </w:pPr>
          </w:p>
        </w:tc>
      </w:tr>
      <w:tr>
        <w:trPr>
          <w:trHeight w:val="238"/>
        </w:trPr>
        <w:tc>
          <w:tcPr>
            <w:tcW w:w="3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140" w:type="dxa"/>
            <w:vAlign w:val="bottom"/>
            <w:gridSpan w:val="5"/>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9"/>
              </w:rPr>
              <w:t>of the Securities Exchange Act of 1934</w:t>
            </w:r>
          </w:p>
        </w:tc>
        <w:tc>
          <w:tcPr>
            <w:tcW w:w="3260" w:type="dxa"/>
            <w:vAlign w:val="bottom"/>
          </w:tcPr>
          <w:p>
            <w:pPr>
              <w:spacing w:after="0"/>
              <w:rPr>
                <w:sz w:val="20"/>
                <w:szCs w:val="20"/>
                <w:color w:val="auto"/>
              </w:rPr>
            </w:pPr>
          </w:p>
        </w:tc>
      </w:tr>
      <w:tr>
        <w:trPr>
          <w:trHeight w:val="432"/>
        </w:trPr>
        <w:tc>
          <w:tcPr>
            <w:tcW w:w="3400" w:type="dxa"/>
            <w:vAlign w:val="bottom"/>
          </w:tcPr>
          <w:p>
            <w:pPr>
              <w:spacing w:after="0"/>
              <w:rPr>
                <w:sz w:val="24"/>
                <w:szCs w:val="24"/>
                <w:color w:val="auto"/>
              </w:rPr>
            </w:pPr>
          </w:p>
        </w:tc>
        <w:tc>
          <w:tcPr>
            <w:tcW w:w="4580" w:type="dxa"/>
            <w:vAlign w:val="bottom"/>
            <w:gridSpan w:val="7"/>
          </w:tcPr>
          <w:p>
            <w:pPr>
              <w:jc w:val="center"/>
              <w:ind w:right="140"/>
              <w:spacing w:after="0"/>
              <w:rPr>
                <w:sz w:val="20"/>
                <w:szCs w:val="20"/>
                <w:color w:val="auto"/>
              </w:rPr>
            </w:pPr>
            <w:r>
              <w:rPr>
                <w:rFonts w:ascii="Times New Roman" w:cs="Times New Roman" w:eastAsia="Times New Roman" w:hAnsi="Times New Roman"/>
                <w:sz w:val="18"/>
                <w:szCs w:val="18"/>
                <w:color w:val="auto"/>
                <w:w w:val="99"/>
              </w:rPr>
              <w:t xml:space="preserve">Date of Report (Date of earliest event reported): </w:t>
            </w:r>
            <w:r>
              <w:rPr>
                <w:rFonts w:ascii="Times New Roman" w:cs="Times New Roman" w:eastAsia="Times New Roman" w:hAnsi="Times New Roman"/>
                <w:sz w:val="18"/>
                <w:szCs w:val="18"/>
                <w:b w:val="1"/>
                <w:bCs w:val="1"/>
                <w:color w:val="auto"/>
                <w:w w:val="99"/>
              </w:rPr>
              <w:t>May 9, 2024</w:t>
            </w:r>
          </w:p>
        </w:tc>
        <w:tc>
          <w:tcPr>
            <w:tcW w:w="3260" w:type="dxa"/>
            <w:vAlign w:val="bottom"/>
          </w:tcPr>
          <w:p>
            <w:pPr>
              <w:spacing w:after="0"/>
              <w:rPr>
                <w:sz w:val="24"/>
                <w:szCs w:val="24"/>
                <w:color w:val="auto"/>
              </w:rPr>
            </w:pPr>
          </w:p>
        </w:tc>
      </w:tr>
      <w:tr>
        <w:trPr>
          <w:trHeight w:val="414"/>
        </w:trPr>
        <w:tc>
          <w:tcPr>
            <w:tcW w:w="3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140" w:type="dxa"/>
            <w:vAlign w:val="bottom"/>
            <w:gridSpan w:val="5"/>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9"/>
              </w:rPr>
              <w:t>SOUNDHOUND AI, INC.</w:t>
            </w:r>
          </w:p>
        </w:tc>
        <w:tc>
          <w:tcPr>
            <w:tcW w:w="3260" w:type="dxa"/>
            <w:vAlign w:val="bottom"/>
          </w:tcPr>
          <w:p>
            <w:pPr>
              <w:spacing w:after="0"/>
              <w:rPr>
                <w:sz w:val="24"/>
                <w:szCs w:val="24"/>
                <w:color w:val="auto"/>
              </w:rPr>
            </w:pPr>
          </w:p>
        </w:tc>
      </w:tr>
      <w:tr>
        <w:trPr>
          <w:trHeight w:val="234"/>
        </w:trPr>
        <w:tc>
          <w:tcPr>
            <w:tcW w:w="3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360" w:type="dxa"/>
            <w:vAlign w:val="bottom"/>
            <w:gridSpan w:val="6"/>
          </w:tcPr>
          <w:p>
            <w:pPr>
              <w:jc w:val="center"/>
              <w:ind w:right="36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3260" w:type="dxa"/>
            <w:vAlign w:val="bottom"/>
          </w:tcPr>
          <w:p>
            <w:pPr>
              <w:spacing w:after="0"/>
              <w:rPr>
                <w:sz w:val="20"/>
                <w:szCs w:val="20"/>
                <w:color w:val="auto"/>
              </w:rPr>
            </w:pPr>
          </w:p>
        </w:tc>
      </w:tr>
      <w:tr>
        <w:trPr>
          <w:trHeight w:val="452"/>
        </w:trPr>
        <w:tc>
          <w:tcPr>
            <w:tcW w:w="3400" w:type="dxa"/>
            <w:vAlign w:val="bottom"/>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040" w:type="dxa"/>
            <w:vAlign w:val="bottom"/>
            <w:gridSpan w:val="5"/>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9"/>
              </w:rPr>
              <w:t>001-40193</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6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rPr>
              <w:t>85-1286799</w:t>
            </w:r>
          </w:p>
        </w:tc>
      </w:tr>
      <w:tr>
        <w:trPr>
          <w:trHeight w:val="198"/>
        </w:trPr>
        <w:tc>
          <w:tcPr>
            <w:tcW w:w="3400" w:type="dxa"/>
            <w:vAlign w:val="bottom"/>
            <w:tcBorders>
              <w:top w:val="single" w:sz="8" w:color="auto"/>
            </w:tcBorders>
          </w:tcPr>
          <w:p>
            <w:pPr>
              <w:jc w:val="center"/>
              <w:ind w:left="130"/>
              <w:spacing w:after="0" w:line="198" w:lineRule="exact"/>
              <w:rPr>
                <w:sz w:val="20"/>
                <w:szCs w:val="20"/>
                <w:color w:val="auto"/>
              </w:rPr>
            </w:pPr>
            <w:r>
              <w:rPr>
                <w:rFonts w:ascii="Times New Roman" w:cs="Times New Roman" w:eastAsia="Times New Roman" w:hAnsi="Times New Roman"/>
                <w:sz w:val="18"/>
                <w:szCs w:val="18"/>
                <w:color w:val="auto"/>
              </w:rPr>
              <w:t>(State or other jurisdiction</w:t>
            </w:r>
          </w:p>
        </w:tc>
        <w:tc>
          <w:tcPr>
            <w:tcW w:w="2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600" w:type="dxa"/>
            <w:vAlign w:val="bottom"/>
            <w:tcBorders>
              <w:top w:val="single" w:sz="8" w:color="auto"/>
            </w:tcBorders>
            <w:gridSpan w:val="3"/>
          </w:tcPr>
          <w:p>
            <w:pPr>
              <w:jc w:val="center"/>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3260" w:type="dxa"/>
            <w:vAlign w:val="bottom"/>
            <w:tcBorders>
              <w:top w:val="single" w:sz="8" w:color="auto"/>
            </w:tcBorders>
          </w:tcPr>
          <w:p>
            <w:pPr>
              <w:jc w:val="center"/>
              <w:ind w:right="250"/>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40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6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7980" w:type="dxa"/>
            <w:vAlign w:val="bottom"/>
            <w:gridSpan w:val="8"/>
          </w:tcPr>
          <w:p>
            <w:pPr>
              <w:jc w:val="center"/>
              <w:ind w:right="2440"/>
              <w:spacing w:after="0"/>
              <w:rPr>
                <w:sz w:val="20"/>
                <w:szCs w:val="20"/>
                <w:color w:val="auto"/>
              </w:rPr>
            </w:pPr>
            <w:r>
              <w:rPr>
                <w:rFonts w:ascii="Times New Roman" w:cs="Times New Roman" w:eastAsia="Times New Roman" w:hAnsi="Times New Roman"/>
                <w:sz w:val="18"/>
                <w:szCs w:val="18"/>
                <w:b w:val="1"/>
                <w:bCs w:val="1"/>
                <w:color w:val="auto"/>
                <w:w w:val="99"/>
              </w:rPr>
              <w:t>5400 Betsy Ross Drive</w:t>
            </w:r>
          </w:p>
        </w:tc>
        <w:tc>
          <w:tcPr>
            <w:tcW w:w="3260" w:type="dxa"/>
            <w:vAlign w:val="bottom"/>
          </w:tcPr>
          <w:p>
            <w:pPr>
              <w:spacing w:after="0"/>
              <w:rPr>
                <w:sz w:val="24"/>
                <w:szCs w:val="24"/>
                <w:color w:val="auto"/>
              </w:rPr>
            </w:pPr>
          </w:p>
        </w:tc>
      </w:tr>
      <w:tr>
        <w:trPr>
          <w:trHeight w:val="245"/>
        </w:trPr>
        <w:tc>
          <w:tcPr>
            <w:tcW w:w="3400" w:type="dxa"/>
            <w:vAlign w:val="bottom"/>
            <w:tcBorders>
              <w:bottom w:val="single" w:sz="8" w:color="auto"/>
            </w:tcBorders>
          </w:tcPr>
          <w:p>
            <w:pPr>
              <w:jc w:val="center"/>
              <w:ind w:left="2030"/>
              <w:spacing w:after="0"/>
              <w:rPr>
                <w:sz w:val="20"/>
                <w:szCs w:val="20"/>
                <w:color w:val="auto"/>
              </w:rPr>
            </w:pPr>
            <w:r>
              <w:rPr>
                <w:rFonts w:ascii="Times New Roman" w:cs="Times New Roman" w:eastAsia="Times New Roman" w:hAnsi="Times New Roman"/>
                <w:sz w:val="18"/>
                <w:szCs w:val="18"/>
                <w:b w:val="1"/>
                <w:bCs w:val="1"/>
                <w:color w:val="auto"/>
              </w:rPr>
              <w:t>Santa Clara, CA</w:t>
            </w:r>
          </w:p>
        </w:tc>
        <w:tc>
          <w:tcPr>
            <w:tcW w:w="2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3260" w:type="dxa"/>
            <w:vAlign w:val="bottom"/>
            <w:tcBorders>
              <w:bottom w:val="single" w:sz="8" w:color="auto"/>
            </w:tcBorders>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95054</w:t>
            </w:r>
          </w:p>
        </w:tc>
      </w:tr>
      <w:tr>
        <w:trPr>
          <w:trHeight w:val="234"/>
        </w:trPr>
        <w:tc>
          <w:tcPr>
            <w:tcW w:w="552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20" w:type="dxa"/>
            <w:vAlign w:val="bottom"/>
          </w:tcPr>
          <w:p>
            <w:pPr>
              <w:spacing w:after="0"/>
              <w:rPr>
                <w:sz w:val="20"/>
                <w:szCs w:val="20"/>
                <w:color w:val="auto"/>
              </w:rPr>
            </w:pPr>
          </w:p>
        </w:tc>
        <w:tc>
          <w:tcPr>
            <w:tcW w:w="2240" w:type="dxa"/>
            <w:vAlign w:val="bottom"/>
            <w:gridSpan w:val="3"/>
          </w:tcPr>
          <w:p>
            <w:pPr>
              <w:spacing w:after="0"/>
              <w:rPr>
                <w:sz w:val="20"/>
                <w:szCs w:val="20"/>
                <w:color w:val="auto"/>
              </w:rPr>
            </w:pPr>
          </w:p>
        </w:tc>
        <w:tc>
          <w:tcPr>
            <w:tcW w:w="3260" w:type="dxa"/>
            <w:vAlign w:val="bottom"/>
          </w:tcPr>
          <w:p>
            <w:pPr>
              <w:jc w:val="center"/>
              <w:ind w:right="213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(408) 441-3200</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35"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5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4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44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 $0.0001 par value per share</w:t>
            </w:r>
          </w:p>
        </w:tc>
        <w:tc>
          <w:tcPr>
            <w:tcW w:w="12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SOUN</w:t>
            </w:r>
          </w:p>
        </w:tc>
        <w:tc>
          <w:tcPr>
            <w:tcW w:w="100" w:type="dxa"/>
            <w:vAlign w:val="bottom"/>
            <w:tcBorders>
              <w:top w:val="single" w:sz="8" w:color="CCEEFF"/>
            </w:tcBorders>
            <w:shd w:val="clear" w:color="auto" w:fill="CCEEFF"/>
          </w:tcPr>
          <w:p>
            <w:pPr>
              <w:spacing w:after="0"/>
              <w:rPr>
                <w:sz w:val="18"/>
                <w:szCs w:val="18"/>
                <w:color w:val="auto"/>
              </w:rPr>
            </w:pPr>
          </w:p>
        </w:tc>
        <w:tc>
          <w:tcPr>
            <w:tcW w:w="43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198"/>
        </w:trPr>
        <w:tc>
          <w:tcPr>
            <w:tcW w:w="4520" w:type="dxa"/>
            <w:vAlign w:val="bottom"/>
            <w:gridSpan w:val="2"/>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w w:val="99"/>
              </w:rPr>
              <w:t>Warrants, each exercisable for one share of Class A</w:t>
            </w:r>
          </w:p>
        </w:tc>
        <w:tc>
          <w:tcPr>
            <w:tcW w:w="2340" w:type="dxa"/>
            <w:vAlign w:val="bottom"/>
            <w:gridSpan w:val="2"/>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w w:val="99"/>
              </w:rPr>
              <w:t>SOUNW</w:t>
            </w:r>
          </w:p>
        </w:tc>
        <w:tc>
          <w:tcPr>
            <w:tcW w:w="43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45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Common Stock at an exercise price of $11.50 per share,</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380" w:type="dxa"/>
            <w:vAlign w:val="bottom"/>
          </w:tcPr>
          <w:p>
            <w:pPr>
              <w:spacing w:after="0"/>
              <w:rPr>
                <w:sz w:val="18"/>
                <w:szCs w:val="18"/>
                <w:color w:val="auto"/>
              </w:rPr>
            </w:pPr>
          </w:p>
        </w:tc>
      </w:tr>
      <w:tr>
        <w:trPr>
          <w:trHeight w:val="234"/>
        </w:trPr>
        <w:tc>
          <w:tcPr>
            <w:tcW w:w="45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subject to adjustment</w:t>
            </w:r>
          </w:p>
        </w:tc>
        <w:tc>
          <w:tcPr>
            <w:tcW w:w="2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380" w:type="dxa"/>
            <w:vAlign w:val="bottom"/>
          </w:tcPr>
          <w:p>
            <w:pPr>
              <w:spacing w:after="0"/>
              <w:rPr>
                <w:sz w:val="20"/>
                <w:szCs w:val="20"/>
                <w:color w:val="auto"/>
              </w:rPr>
            </w:pP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27"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May 9, 2024, SoundHound AI, Inc. (the “Company”) issued a press release announcing financial results and operational highlights for the first quarter ended March 31, 2024. A copy of the press release is furnished as Exhibit 99.1 to this current report on Form 8-K. The Company is also furnishing as Exhibit 99.2 to this current report on Form 8-K the consolidated balance sheets of the Company as of March 31, 2024, and the related consolidated statements of operations and comprehensive loss and consolidated statements of cash flows for the period ended March 31,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6020" w:type="dxa"/>
            <w:vAlign w:val="bottom"/>
          </w:tcPr>
          <w:p>
            <w:pPr>
              <w:spacing w:after="0"/>
              <w:rPr>
                <w:sz w:val="18"/>
                <w:szCs w:val="18"/>
                <w:color w:val="auto"/>
              </w:rPr>
            </w:pPr>
          </w:p>
        </w:tc>
      </w:tr>
      <w:tr>
        <w:trPr>
          <w:trHeight w:val="245"/>
        </w:trPr>
        <w:tc>
          <w:tcPr>
            <w:tcW w:w="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32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6"/>
        </w:trPr>
        <w:tc>
          <w:tcPr>
            <w:tcW w:w="920" w:type="dxa"/>
            <w:vAlign w:val="bottom"/>
            <w:tcBorders>
              <w:top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00" w:type="dxa"/>
            <w:vAlign w:val="bottom"/>
            <w:tcBorders>
              <w:top w:val="single" w:sz="8" w:color="CCEEFF"/>
            </w:tcBorders>
            <w:shd w:val="clear" w:color="auto" w:fill="CCEEFF"/>
          </w:tcPr>
          <w:p>
            <w:pPr>
              <w:spacing w:after="0"/>
              <w:rPr>
                <w:sz w:val="15"/>
                <w:szCs w:val="15"/>
                <w:color w:val="auto"/>
              </w:rPr>
            </w:pPr>
          </w:p>
        </w:tc>
        <w:tc>
          <w:tcPr>
            <w:tcW w:w="10220" w:type="dxa"/>
            <w:vAlign w:val="bottom"/>
            <w:tcBorders>
              <w:top w:val="single" w:sz="8" w:color="auto"/>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Press Release, dated May 9, 2024</w:t>
            </w:r>
          </w:p>
        </w:tc>
      </w:tr>
      <w:tr>
        <w:trPr>
          <w:trHeight w:val="20"/>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20" w:type="dxa"/>
            <w:vAlign w:val="bottom"/>
            <w:tcBorders>
              <w:top w:val="single" w:sz="8" w:color="0000EE"/>
            </w:tcBorders>
            <w:shd w:val="clear" w:color="auto" w:fill="CCEEFF"/>
          </w:tcPr>
          <w:p>
            <w:pPr>
              <w:spacing w:after="0" w:line="20" w:lineRule="exact"/>
              <w:rPr>
                <w:sz w:val="1"/>
                <w:szCs w:val="1"/>
                <w:color w:val="auto"/>
              </w:rPr>
            </w:pPr>
          </w:p>
        </w:tc>
        <w:tc>
          <w:tcPr>
            <w:tcW w:w="1780" w:type="dxa"/>
            <w:vAlign w:val="bottom"/>
            <w:tcBorders>
              <w:top w:val="single" w:sz="8" w:color="CCEEFF"/>
            </w:tcBorders>
            <w:shd w:val="clear" w:color="auto" w:fill="CCEEFF"/>
          </w:tcPr>
          <w:p>
            <w:pPr>
              <w:spacing w:after="0" w:line="20" w:lineRule="exact"/>
              <w:rPr>
                <w:sz w:val="1"/>
                <w:szCs w:val="1"/>
                <w:color w:val="auto"/>
              </w:rPr>
            </w:pPr>
          </w:p>
        </w:tc>
        <w:tc>
          <w:tcPr>
            <w:tcW w:w="60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99.2</w:t>
            </w:r>
          </w:p>
        </w:tc>
        <w:tc>
          <w:tcPr>
            <w:tcW w:w="100" w:type="dxa"/>
            <w:vAlign w:val="bottom"/>
          </w:tcPr>
          <w:p>
            <w:pPr>
              <w:spacing w:after="0"/>
              <w:rPr>
                <w:sz w:val="15"/>
                <w:szCs w:val="15"/>
                <w:color w:val="auto"/>
              </w:rPr>
            </w:pPr>
          </w:p>
        </w:tc>
        <w:tc>
          <w:tcPr>
            <w:tcW w:w="1022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0000EE"/>
              </w:rPr>
              <w:t>Financial Statements for the period ended March 31, 2024</w:t>
            </w: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20" w:type="dxa"/>
            <w:vAlign w:val="bottom"/>
            <w:tcBorders>
              <w:top w:val="single" w:sz="8" w:color="0000EE"/>
            </w:tcBorders>
          </w:tcPr>
          <w:p>
            <w:pPr>
              <w:spacing w:after="0" w:line="20" w:lineRule="exact"/>
              <w:rPr>
                <w:sz w:val="1"/>
                <w:szCs w:val="1"/>
                <w:color w:val="auto"/>
              </w:rPr>
            </w:pPr>
          </w:p>
        </w:tc>
        <w:tc>
          <w:tcPr>
            <w:tcW w:w="1780" w:type="dxa"/>
            <w:vAlign w:val="bottom"/>
            <w:tcBorders>
              <w:top w:val="single" w:sz="8" w:color="0000EE"/>
            </w:tcBorders>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r>
      <w:tr>
        <w:trPr>
          <w:trHeight w:val="216"/>
        </w:trPr>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104</w:t>
            </w:r>
          </w:p>
        </w:tc>
        <w:tc>
          <w:tcPr>
            <w:tcW w:w="1032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w:t>
            </w:r>
          </w:p>
        </w:tc>
      </w:tr>
      <w:tr>
        <w:trPr>
          <w:trHeight w:val="682"/>
        </w:trPr>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60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Current Report on Form 8-K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00" w:type="dxa"/>
            <w:vAlign w:val="bottom"/>
          </w:tcPr>
          <w:p>
            <w:pPr>
              <w:spacing w:after="0"/>
              <w:rPr>
                <w:sz w:val="20"/>
                <w:szCs w:val="20"/>
                <w:color w:val="auto"/>
              </w:rPr>
            </w:pPr>
          </w:p>
        </w:tc>
        <w:tc>
          <w:tcPr>
            <w:tcW w:w="7140" w:type="dxa"/>
            <w:vAlign w:val="bottom"/>
            <w:gridSpan w:val="2"/>
          </w:tcPr>
          <w:p>
            <w:pPr>
              <w:ind w:left="2660"/>
              <w:spacing w:after="0"/>
              <w:rPr>
                <w:sz w:val="20"/>
                <w:szCs w:val="20"/>
                <w:color w:val="auto"/>
              </w:rPr>
            </w:pPr>
            <w:r>
              <w:rPr>
                <w:rFonts w:ascii="Times New Roman" w:cs="Times New Roman" w:eastAsia="Times New Roman" w:hAnsi="Times New Roman"/>
                <w:sz w:val="18"/>
                <w:szCs w:val="18"/>
                <w:b w:val="1"/>
                <w:bCs w:val="1"/>
                <w:color w:val="auto"/>
              </w:rPr>
              <w:t>SoundHound AI, Inc.</w:t>
            </w:r>
          </w:p>
        </w:tc>
      </w:tr>
      <w:tr>
        <w:trPr>
          <w:trHeight w:val="439"/>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Dated: May 9, 2024</w:t>
            </w:r>
          </w:p>
        </w:tc>
        <w:tc>
          <w:tcPr>
            <w:tcW w:w="3220" w:type="dxa"/>
            <w:vAlign w:val="bottom"/>
          </w:tcPr>
          <w:p>
            <w:pPr>
              <w:ind w:left="266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Keyvan Mohajer</w:t>
            </w:r>
          </w:p>
        </w:tc>
      </w:tr>
      <w:tr>
        <w:trPr>
          <w:trHeight w:val="198"/>
        </w:trPr>
        <w:tc>
          <w:tcPr>
            <w:tcW w:w="4100" w:type="dxa"/>
            <w:vAlign w:val="bottom"/>
          </w:tcPr>
          <w:p>
            <w:pPr>
              <w:spacing w:after="0"/>
              <w:rPr>
                <w:sz w:val="17"/>
                <w:szCs w:val="17"/>
                <w:color w:val="auto"/>
              </w:rPr>
            </w:pPr>
          </w:p>
        </w:tc>
        <w:tc>
          <w:tcPr>
            <w:tcW w:w="3220" w:type="dxa"/>
            <w:vAlign w:val="bottom"/>
          </w:tcPr>
          <w:p>
            <w:pPr>
              <w:ind w:left="266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Keyvan Mohajer</w:t>
            </w:r>
          </w:p>
        </w:tc>
      </w:tr>
      <w:tr>
        <w:trPr>
          <w:trHeight w:val="234"/>
        </w:trPr>
        <w:tc>
          <w:tcPr>
            <w:tcW w:w="4100" w:type="dxa"/>
            <w:vAlign w:val="bottom"/>
          </w:tcPr>
          <w:p>
            <w:pPr>
              <w:spacing w:after="0"/>
              <w:rPr>
                <w:sz w:val="20"/>
                <w:szCs w:val="20"/>
                <w:color w:val="auto"/>
              </w:rPr>
            </w:pPr>
          </w:p>
        </w:tc>
        <w:tc>
          <w:tcPr>
            <w:tcW w:w="3220" w:type="dxa"/>
            <w:vAlign w:val="bottom"/>
          </w:tcPr>
          <w:p>
            <w:pPr>
              <w:ind w:left="266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790"/>
        </w:trPr>
        <w:tc>
          <w:tcPr>
            <w:tcW w:w="410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482"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2057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205740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SoundHound AI Reports 73% Q1 Revenue Growth to $11.6 Million; First Quarter Closes With $226 Million in Cash</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Company Raises Full Year Revenue Outlook</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SANTA CLARA, Calif.--(</w:t>
      </w:r>
      <w:r>
        <w:rPr>
          <w:rFonts w:ascii="Times New Roman" w:cs="Times New Roman" w:eastAsia="Times New Roman" w:hAnsi="Times New Roman"/>
          <w:sz w:val="18"/>
          <w:szCs w:val="18"/>
          <w:u w:val="single" w:color="auto"/>
          <w:color w:val="auto"/>
        </w:rPr>
        <w:t>BUSINESS WIRE</w:t>
      </w:r>
      <w:r>
        <w:rPr>
          <w:rFonts w:ascii="Times New Roman" w:cs="Times New Roman" w:eastAsia="Times New Roman" w:hAnsi="Times New Roman"/>
          <w:sz w:val="18"/>
          <w:szCs w:val="18"/>
          <w:color w:val="auto"/>
        </w:rPr>
        <w:t>)--SoundHound AI, Inc. (Nasdaq: SOUN), a global leader in voice artificial intelligence, today reported its financial results for the first quarter 2024.</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“Our first quarter sets the tone for 2024 as another year of strong growth for SoundHound. Voice AI is fast becoming a must-have tool for customer service, and that’s reflected in the demand we’re seeing for subscriptions,” </w:t>
      </w:r>
      <w:r>
        <w:rPr>
          <w:rFonts w:ascii="Times New Roman" w:cs="Times New Roman" w:eastAsia="Times New Roman" w:hAnsi="Times New Roman"/>
          <w:sz w:val="18"/>
          <w:szCs w:val="18"/>
          <w:color w:val="auto"/>
        </w:rPr>
        <w:t>said Keyvan Mohajer, CEO and Co-Founder of SoundHound AI.</w:t>
      </w:r>
      <w:r>
        <w:rPr>
          <w:rFonts w:ascii="Times New Roman" w:cs="Times New Roman" w:eastAsia="Times New Roman" w:hAnsi="Times New Roman"/>
          <w:sz w:val="18"/>
          <w:szCs w:val="18"/>
          <w:i w:val="1"/>
          <w:iCs w:val="1"/>
          <w:color w:val="auto"/>
        </w:rPr>
        <w:t xml:space="preserve"> “As an AI company, we combine our 20+ years of technology innovation and billions of customer interactions to create the best voice AI technology on the market. Across automotive and customer service, global brands are increasingly looking to us to provide an exceptional experience”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Financial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19685</wp:posOffset>
            </wp:positionV>
            <wp:extent cx="672084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20840" cy="137160"/>
                    </a:xfrm>
                    <a:prstGeom prst="rect">
                      <a:avLst/>
                    </a:prstGeom>
                    <a:noFill/>
                  </pic:spPr>
                </pic:pic>
              </a:graphicData>
            </a:graphic>
          </wp:anchor>
        </w:drawing>
      </w:r>
    </w:p>
    <w:p>
      <w:pPr>
        <w:spacing w:after="0" w:line="209"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Reported revenue was $11.6 million, an increase of 73% year-over-year</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gross margin was 60%; non-GAAP gross margin was 66%</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earnings per share was a loss of ($0.12); non-GAAP earnings per share was a loss of ($0.07)</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net loss was ($33.0) million; non-GAAP net loss was ($19.9) million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was ($15.4) million</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21"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consolidated results include the operational and transactional impacts from the acquisition of SYNQ3, which closed in the first quarter; non-GAAP metrics</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exclude certain one-time transaction expenses, amortization of intangibles and fair value of contingent liabilities as described in more detail below.</w:t>
      </w:r>
    </w:p>
    <w:p>
      <w:pPr>
        <w:ind w:left="660" w:hanging="328"/>
        <w:spacing w:after="0" w:line="192" w:lineRule="auto"/>
        <w:tabs>
          <w:tab w:leader="none" w:pos="660" w:val="left"/>
        </w:tabs>
        <w:numPr>
          <w:ilvl w:val="0"/>
          <w:numId w:val="2"/>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5"/>
          <w:szCs w:val="15"/>
          <w:color w:val="auto"/>
        </w:rPr>
        <w:t>Cumulative subscriptions &amp; bookings backlog</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5"/>
          <w:szCs w:val="15"/>
          <w:color w:val="auto"/>
        </w:rPr>
        <w:t xml:space="preserve"> customer metric was $682 million and grew by approximately 80% year over year</w:t>
      </w: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run rate of over 4 billion queries, first quarter up more than 60% year-over-year</w:t>
      </w:r>
    </w:p>
    <w:p>
      <w:pPr>
        <w:spacing w:after="0" w:line="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Strong cash balance of $226 million at the end of the first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-1553845</wp:posOffset>
            </wp:positionV>
            <wp:extent cx="7132320" cy="22459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245995"/>
                    </a:xfrm>
                    <a:prstGeom prst="rect">
                      <a:avLst/>
                    </a:prstGeom>
                    <a:noFill/>
                  </pic:spPr>
                </pic:pic>
              </a:graphicData>
            </a:graphic>
          </wp:anchor>
        </w:drawing>
      </w:r>
    </w:p>
    <w:p>
      <w:pPr>
        <w:spacing w:after="0" w:line="185"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“We were pleased to start the year with a robust top line performance, in our strongest Q1 ever,” said Nitesh Sharan, CFO of SoundHound AI. “Our business momentum continues to accelerate with a growing pipeline across all businesses.”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Business Highlights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Customer Service</w:t>
      </w:r>
    </w:p>
    <w:p>
      <w:pPr>
        <w:spacing w:after="0" w:line="227" w:lineRule="exact"/>
        <w:rPr>
          <w:sz w:val="20"/>
          <w:szCs w:val="20"/>
          <w:color w:val="auto"/>
        </w:rPr>
      </w:pPr>
    </w:p>
    <w:p>
      <w:pPr>
        <w:ind w:left="660" w:right="20" w:hanging="328"/>
        <w:spacing w:after="0" w:line="261"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closed the acquisition of SYNQ3 in the quarter. The combination creates the largest voice AI provider for restaurants with over 10,000 active locations.</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Dynamic Interaction, SoundHound’s next generation drive thru AI interface, is now live with a top global QSR brand.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Agreements have also been executed with a number of other large QSR brands, including Church’s Chicken.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Applebee’s has expanded its use of voice AI ordering across multiple franchisees resulting in an additional 500 live locations.</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Another major QSR with over 2,000 locations uses SoundHound’s AI for drive thru and continues to expand this to more locations as they add drive-thru capabilities.</w:t>
      </w:r>
    </w:p>
    <w:p>
      <w:pPr>
        <w:ind w:left="660" w:hanging="328"/>
        <w:spacing w:after="0" w:line="26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SoundHound’s Smart Answering has extended the company’s customer service offering beyond restaurants, with new multi-location customers including a major Planet Fitness franchisee.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-969645</wp:posOffset>
            </wp:positionV>
            <wp:extent cx="7132320" cy="10972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0972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418465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4114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411480"/>
                    </a:xfrm>
                    <a:prstGeom prst="rect">
                      <a:avLst/>
                    </a:prstGeom>
                    <a:noFill/>
                  </pic:spPr>
                </pic:pic>
              </a:graphicData>
            </a:graphic>
          </wp:anchor>
        </w:drawing>
        <w:t>Automotive+</w:t>
      </w:r>
    </w:p>
    <w:p>
      <w:pPr>
        <w:spacing w:after="0" w:line="227" w:lineRule="exact"/>
        <w:rPr>
          <w:sz w:val="20"/>
          <w:szCs w:val="20"/>
          <w:color w:val="auto"/>
        </w:rPr>
      </w:pPr>
    </w:p>
    <w:p>
      <w:pPr>
        <w:ind w:left="660" w:hanging="328"/>
        <w:spacing w:after="0" w:line="261"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SoundHound partnered with NVIDIA to deliver in-vehicle voice-enabled generative AI responses that don’t require connectivity, with large language models running on NVIDIA DRIVE.</w:t>
      </w:r>
    </w:p>
    <w:p>
      <w:pPr>
        <w:ind w:left="66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SoundHound Chat AI, the world’s first voice assistant with integrated generative AI continues to ramp with Stellantis. In addition to Opel, Peugeot, Vauxhall and DS Automobiles, announcements were made by Alfa Romeo, and Lancia.</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Stellantis’s DS Automobiles became the first vehicle on the road in Japan with voice-enabled generative AI, via SoundHound Chat AI.</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Signed a multi-year agreement to license our software with a large broadcaster and telecommunications company that provides television, internet, fixed line and mobile telephone services to consumers and businesses in Austria, Germany, Ireland, Italy and the UK.</w:t>
      </w:r>
    </w:p>
    <w:p>
      <w:pPr>
        <w:ind w:left="66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Later this summer another prominent US-based EV maker will go live into production with SoundHound voice assistants across its full fleet of market-leading vehicles.</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deal with a leading Asian electric car manufacturer to embed SoundHound’s software into its expanding lineup of affordable luxury cars.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132320" cy="548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548640"/>
                    </a:xfrm>
                    <a:prstGeom prst="rect">
                      <a:avLst/>
                    </a:prstGeom>
                    <a:noFill/>
                  </pic:spPr>
                </pic:pic>
              </a:graphicData>
            </a:graphic>
          </wp:anchor>
        </w:drawing>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partnerships</w:t>
      </w:r>
    </w:p>
    <w:p>
      <w:pPr>
        <w:spacing w:after="0" w:line="227" w:lineRule="exact"/>
        <w:rPr>
          <w:sz w:val="20"/>
          <w:szCs w:val="20"/>
          <w:color w:val="auto"/>
        </w:rPr>
      </w:pPr>
    </w:p>
    <w:p>
      <w:pPr>
        <w:ind w:left="660" w:hanging="328"/>
        <w:spacing w:after="0" w:line="261" w:lineRule="auto"/>
        <w:tabs>
          <w:tab w:leader="none" w:pos="6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SoundHound partnered with Perplexity to bring cutting-edge online LLMs to SoundHound Chat AI. This will expand the type and complexity of the questions the assistant is able to answer across phones, cars, and IoT devices.</w:t>
      </w:r>
    </w:p>
    <w:p>
      <w:pPr>
        <w:ind w:left="660" w:hanging="328"/>
        <w:spacing w:after="0"/>
        <w:tabs>
          <w:tab w:leader="none" w:pos="6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joined ARM’s partner program where it anticipates being able to showcase new advancements of its leading voice AI platform.</w:t>
      </w:r>
    </w:p>
    <w:p>
      <w:pPr>
        <w:spacing w:after="0" w:line="206"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see table below for a reconciliation from GAAP to non-GAAP.</w:t>
      </w:r>
    </w:p>
    <w:p>
      <w:pPr>
        <w:spacing w:after="0" w:line="25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section ‘Certain Defined Terms’ at the end of this press release 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-548005</wp:posOffset>
            </wp:positionV>
            <wp:extent cx="7132320" cy="2743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55"/>
        </w:trPr>
        <w:tc>
          <w:tcPr>
            <w:tcW w:w="3000" w:type="dxa"/>
            <w:vAlign w:val="bottom"/>
          </w:tcPr>
          <w:p>
            <w:pPr>
              <w:spacing w:after="0"/>
              <w:rPr>
                <w:sz w:val="4"/>
                <w:szCs w:val="4"/>
                <w:color w:val="auto"/>
              </w:rPr>
            </w:pPr>
          </w:p>
        </w:tc>
        <w:tc>
          <w:tcPr>
            <w:tcW w:w="4220" w:type="dxa"/>
            <w:vAlign w:val="bottom"/>
            <w:gridSpan w:val="2"/>
            <w:vMerge w:val="restart"/>
          </w:tcPr>
          <w:p>
            <w:pPr>
              <w:jc w:val="right"/>
              <w:ind w:right="4140"/>
              <w:spacing w:after="0"/>
              <w:rPr>
                <w:sz w:val="20"/>
                <w:szCs w:val="20"/>
                <w:color w:val="auto"/>
              </w:rPr>
            </w:pPr>
            <w:r>
              <w:rPr>
                <w:rFonts w:ascii="Times New Roman" w:cs="Times New Roman" w:eastAsia="Times New Roman" w:hAnsi="Times New Roman"/>
                <w:sz w:val="15"/>
                <w:szCs w:val="15"/>
                <w:color w:val="auto"/>
                <w:w w:val="79"/>
              </w:rPr>
              <w:t>1</w:t>
            </w:r>
          </w:p>
        </w:tc>
        <w:tc>
          <w:tcPr>
            <w:tcW w:w="120" w:type="dxa"/>
            <w:vAlign w:val="bottom"/>
          </w:tcPr>
          <w:p>
            <w:pPr>
              <w:spacing w:after="0"/>
              <w:rPr>
                <w:sz w:val="4"/>
                <w:szCs w:val="4"/>
                <w:color w:val="auto"/>
              </w:rPr>
            </w:pPr>
          </w:p>
        </w:tc>
        <w:tc>
          <w:tcPr>
            <w:tcW w:w="9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9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3000" w:type="dxa"/>
            <w:vAlign w:val="bottom"/>
            <w:shd w:val="clear" w:color="auto" w:fill="FEFEFE"/>
          </w:tcPr>
          <w:p>
            <w:pPr>
              <w:spacing w:after="0" w:line="202" w:lineRule="exact"/>
              <w:rPr>
                <w:sz w:val="20"/>
                <w:szCs w:val="20"/>
                <w:color w:val="auto"/>
              </w:rPr>
            </w:pPr>
            <w:r>
              <w:rPr>
                <w:rFonts w:ascii="Times New Roman" w:cs="Times New Roman" w:eastAsia="Times New Roman" w:hAnsi="Times New Roman"/>
                <w:sz w:val="18"/>
                <w:szCs w:val="18"/>
                <w:b w:val="1"/>
                <w:bCs w:val="1"/>
                <w:color w:val="auto"/>
                <w:highlight w:val="white"/>
                <w:w w:val="99"/>
              </w:rPr>
              <w:t>First Quarter 2024 Financial Measures</w:t>
            </w:r>
          </w:p>
        </w:tc>
        <w:tc>
          <w:tcPr>
            <w:tcW w:w="42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72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0" w:type="dxa"/>
            <w:vAlign w:val="bottom"/>
          </w:tcPr>
          <w:p>
            <w:pPr>
              <w:spacing w:after="0"/>
              <w:rPr>
                <w:sz w:val="24"/>
                <w:szCs w:val="24"/>
                <w:color w:val="auto"/>
              </w:rPr>
            </w:pPr>
          </w:p>
        </w:tc>
        <w:tc>
          <w:tcPr>
            <w:tcW w:w="12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0" w:type="dxa"/>
            <w:vAlign w:val="bottom"/>
          </w:tcPr>
          <w:p>
            <w:pPr>
              <w:spacing w:after="0"/>
              <w:rPr>
                <w:sz w:val="24"/>
                <w:szCs w:val="24"/>
                <w:color w:val="auto"/>
              </w:rPr>
            </w:pPr>
          </w:p>
        </w:tc>
        <w:tc>
          <w:tcPr>
            <w:tcW w:w="12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71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(thousands, except per share data)</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30"/>
              <w:spacing w:after="0" w:line="270" w:lineRule="exact"/>
              <w:rPr>
                <w:sz w:val="20"/>
                <w:szCs w:val="20"/>
                <w:color w:val="auto"/>
              </w:rPr>
            </w:pPr>
            <w:r>
              <w:rPr>
                <w:rFonts w:ascii="Times New Roman" w:cs="Times New Roman" w:eastAsia="Times New Roman" w:hAnsi="Times New Roman"/>
                <w:sz w:val="18"/>
                <w:szCs w:val="18"/>
                <w:b w:val="1"/>
                <w:bCs w:val="1"/>
                <w:color w:val="auto"/>
              </w:rPr>
              <w:t>2023</w:t>
            </w:r>
            <w:r>
              <w:rPr>
                <w:rFonts w:ascii="Times New Roman" w:cs="Times New Roman" w:eastAsia="Times New Roman" w:hAnsi="Times New Roman"/>
                <w:sz w:val="29"/>
                <w:szCs w:val="29"/>
                <w:b w:val="1"/>
                <w:bCs w:val="1"/>
                <w:color w:val="auto"/>
                <w:vertAlign w:val="superscript"/>
              </w:rPr>
              <w:t>2</w:t>
            </w:r>
          </w:p>
        </w:tc>
        <w:tc>
          <w:tcPr>
            <w:tcW w:w="280" w:type="dxa"/>
            <w:vAlign w:val="bottom"/>
            <w:tcBorders>
              <w:bottom w:val="single" w:sz="8" w:color="CCEEFF"/>
            </w:tcBorders>
          </w:tcPr>
          <w:p>
            <w:pPr>
              <w:spacing w:after="0"/>
              <w:rPr>
                <w:sz w:val="24"/>
                <w:szCs w:val="24"/>
                <w:color w:val="auto"/>
              </w:rPr>
            </w:pPr>
          </w:p>
        </w:tc>
        <w:tc>
          <w:tcPr>
            <w:tcW w:w="11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6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11,594</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6,707</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16"/>
        </w:trPr>
        <w:tc>
          <w:tcPr>
            <w:tcW w:w="7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GAAP gross profit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6,925</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4,731</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6"/>
        </w:trPr>
        <w:tc>
          <w:tcPr>
            <w:tcW w:w="7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gross profit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7,598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4,846</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16"/>
        </w:trPr>
        <w:tc>
          <w:tcPr>
            <w:tcW w:w="7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GAAP gross margin</w:t>
            </w:r>
          </w:p>
        </w:tc>
        <w:tc>
          <w:tcPr>
            <w:tcW w:w="1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59.7%</w:t>
            </w:r>
          </w:p>
        </w:tc>
        <w:tc>
          <w:tcPr>
            <w:tcW w:w="1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70.5%</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-10.8 pp</w:t>
            </w:r>
          </w:p>
        </w:tc>
        <w:tc>
          <w:tcPr>
            <w:tcW w:w="0" w:type="dxa"/>
            <w:vAlign w:val="bottom"/>
          </w:tcPr>
          <w:p>
            <w:pPr>
              <w:spacing w:after="0"/>
              <w:rPr>
                <w:sz w:val="1"/>
                <w:szCs w:val="1"/>
                <w:color w:val="auto"/>
              </w:rPr>
            </w:pPr>
          </w:p>
        </w:tc>
      </w:tr>
      <w:tr>
        <w:trPr>
          <w:trHeight w:val="216"/>
        </w:trPr>
        <w:tc>
          <w:tcPr>
            <w:tcW w:w="7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gross margin</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65.5%</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72.3%</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-6.8 pp</w:t>
            </w:r>
          </w:p>
        </w:tc>
        <w:tc>
          <w:tcPr>
            <w:tcW w:w="0" w:type="dxa"/>
            <w:vAlign w:val="bottom"/>
          </w:tcPr>
          <w:p>
            <w:pPr>
              <w:spacing w:after="0"/>
              <w:rPr>
                <w:sz w:val="1"/>
                <w:szCs w:val="1"/>
                <w:color w:val="auto"/>
              </w:rPr>
            </w:pPr>
          </w:p>
        </w:tc>
      </w:tr>
      <w:tr>
        <w:trPr>
          <w:trHeight w:val="216"/>
        </w:trPr>
        <w:tc>
          <w:tcPr>
            <w:tcW w:w="7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GAAP operating loss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(28,529)</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(25,203)</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7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adjusted EBITDA</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(15,404)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(14,914)</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7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GAAP net loss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(33,009)</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(27,430)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7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net loss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(19,884)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(17,141)</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7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GAAP net loss per share</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(0.12)</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(0.14)</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216"/>
        </w:trPr>
        <w:tc>
          <w:tcPr>
            <w:tcW w:w="7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net loss per share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(0.07)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(0.08)</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see table below for a reconciliation from GAAP to non-GAAP.</w:t>
      </w:r>
    </w:p>
    <w:p>
      <w:pPr>
        <w:spacing w:after="0" w:line="252"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 the Company identified corrections related to historical financial transactions for certain prior periods, which have been revised. These amounts were primarily related to other income and expenses. Specifically, general and admin was adjusted by $165 and net loss, which further included the result of changes to other income and expenses by $896, was impacted by $1,061 for the period ending March 31, 2023. Further details will be provided when the company’s 10-Q is filed.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58"/>
        </w:trPr>
        <w:tc>
          <w:tcPr>
            <w:tcW w:w="8680" w:type="dxa"/>
            <w:vAlign w:val="bottom"/>
            <w:gridSpan w:val="2"/>
            <w:shd w:val="clear" w:color="auto" w:fill="FEFEFE"/>
          </w:tcPr>
          <w:p>
            <w:pPr>
              <w:spacing w:after="0"/>
              <w:rPr>
                <w:sz w:val="20"/>
                <w:szCs w:val="20"/>
                <w:color w:val="auto"/>
              </w:rPr>
            </w:pPr>
            <w:r>
              <w:rPr>
                <w:rFonts w:ascii="Times New Roman" w:cs="Times New Roman" w:eastAsia="Times New Roman" w:hAnsi="Times New Roman"/>
                <w:sz w:val="18"/>
                <w:szCs w:val="18"/>
                <w:b w:val="1"/>
                <w:bCs w:val="1"/>
                <w:color w:val="auto"/>
              </w:rPr>
              <w:t>Liquidity and Cash Flows</w:t>
            </w:r>
          </w:p>
        </w:tc>
        <w:tc>
          <w:tcPr>
            <w:tcW w:w="120" w:type="dxa"/>
            <w:vAlign w:val="bottom"/>
            <w:shd w:val="clear" w:color="auto" w:fill="FEFEFE"/>
          </w:tcPr>
          <w:p>
            <w:pPr>
              <w:spacing w:after="0"/>
              <w:rPr>
                <w:sz w:val="22"/>
                <w:szCs w:val="22"/>
                <w:color w:val="auto"/>
              </w:rPr>
            </w:pPr>
          </w:p>
        </w:tc>
        <w:tc>
          <w:tcPr>
            <w:tcW w:w="1000" w:type="dxa"/>
            <w:vAlign w:val="bottom"/>
            <w:shd w:val="clear" w:color="auto" w:fill="FEFEFE"/>
          </w:tcPr>
          <w:p>
            <w:pPr>
              <w:spacing w:after="0"/>
              <w:rPr>
                <w:sz w:val="22"/>
                <w:szCs w:val="22"/>
                <w:color w:val="auto"/>
              </w:rPr>
            </w:pPr>
          </w:p>
        </w:tc>
        <w:tc>
          <w:tcPr>
            <w:tcW w:w="220" w:type="dxa"/>
            <w:vAlign w:val="bottom"/>
            <w:shd w:val="clear" w:color="auto" w:fill="FEFEFE"/>
          </w:tcPr>
          <w:p>
            <w:pPr>
              <w:spacing w:after="0"/>
              <w:rPr>
                <w:sz w:val="22"/>
                <w:szCs w:val="22"/>
                <w:color w:val="auto"/>
              </w:rPr>
            </w:pPr>
          </w:p>
        </w:tc>
        <w:tc>
          <w:tcPr>
            <w:tcW w:w="140" w:type="dxa"/>
            <w:vAlign w:val="bottom"/>
            <w:shd w:val="clear" w:color="auto" w:fill="FEFEFE"/>
          </w:tcPr>
          <w:p>
            <w:pPr>
              <w:spacing w:after="0"/>
              <w:rPr>
                <w:sz w:val="22"/>
                <w:szCs w:val="22"/>
                <w:color w:val="auto"/>
              </w:rPr>
            </w:pPr>
          </w:p>
        </w:tc>
        <w:tc>
          <w:tcPr>
            <w:tcW w:w="980" w:type="dxa"/>
            <w:vAlign w:val="bottom"/>
            <w:shd w:val="clear" w:color="auto" w:fill="FEFEFE"/>
          </w:tcPr>
          <w:p>
            <w:pPr>
              <w:spacing w:after="0"/>
              <w:rPr>
                <w:sz w:val="22"/>
                <w:szCs w:val="22"/>
                <w:color w:val="auto"/>
              </w:rPr>
            </w:pPr>
          </w:p>
        </w:tc>
        <w:tc>
          <w:tcPr>
            <w:tcW w:w="100" w:type="dxa"/>
            <w:vAlign w:val="bottom"/>
            <w:shd w:val="clear" w:color="auto" w:fill="FEFEFE"/>
          </w:tcPr>
          <w:p>
            <w:pPr>
              <w:spacing w:after="0"/>
              <w:rPr>
                <w:sz w:val="22"/>
                <w:szCs w:val="22"/>
                <w:color w:val="auto"/>
              </w:rPr>
            </w:pPr>
          </w:p>
        </w:tc>
        <w:tc>
          <w:tcPr>
            <w:tcW w:w="0" w:type="dxa"/>
            <w:vAlign w:val="bottom"/>
          </w:tcPr>
          <w:p>
            <w:pPr>
              <w:spacing w:after="0"/>
              <w:rPr>
                <w:sz w:val="1"/>
                <w:szCs w:val="1"/>
                <w:color w:val="auto"/>
              </w:rPr>
            </w:pPr>
          </w:p>
        </w:tc>
      </w:tr>
      <w:tr>
        <w:trPr>
          <w:trHeight w:val="390"/>
        </w:trPr>
        <w:tc>
          <w:tcPr>
            <w:tcW w:w="8680" w:type="dxa"/>
            <w:vAlign w:val="bottom"/>
            <w:gridSpan w:val="2"/>
            <w:shd w:val="clear" w:color="auto" w:fill="FEFEFE"/>
          </w:tcPr>
          <w:p>
            <w:pPr>
              <w:spacing w:after="0"/>
              <w:rPr>
                <w:sz w:val="20"/>
                <w:szCs w:val="20"/>
                <w:color w:val="auto"/>
              </w:rPr>
            </w:pPr>
            <w:r>
              <w:rPr>
                <w:rFonts w:ascii="Times New Roman" w:cs="Times New Roman" w:eastAsia="Times New Roman" w:hAnsi="Times New Roman"/>
                <w:sz w:val="18"/>
                <w:szCs w:val="18"/>
                <w:color w:val="auto"/>
              </w:rPr>
              <w:t>The company’s total cash was $226 million at March 31, 2024.</w:t>
            </w:r>
          </w:p>
        </w:tc>
        <w:tc>
          <w:tcPr>
            <w:tcW w:w="120" w:type="dxa"/>
            <w:vAlign w:val="bottom"/>
            <w:shd w:val="clear" w:color="auto" w:fill="FEFEFE"/>
          </w:tcPr>
          <w:p>
            <w:pPr>
              <w:spacing w:after="0"/>
              <w:rPr>
                <w:sz w:val="24"/>
                <w:szCs w:val="24"/>
                <w:color w:val="auto"/>
              </w:rPr>
            </w:pPr>
          </w:p>
        </w:tc>
        <w:tc>
          <w:tcPr>
            <w:tcW w:w="1000" w:type="dxa"/>
            <w:vAlign w:val="bottom"/>
            <w:shd w:val="clear" w:color="auto" w:fill="FEFEFE"/>
          </w:tcPr>
          <w:p>
            <w:pPr>
              <w:spacing w:after="0"/>
              <w:rPr>
                <w:sz w:val="24"/>
                <w:szCs w:val="24"/>
                <w:color w:val="auto"/>
              </w:rPr>
            </w:pPr>
          </w:p>
        </w:tc>
        <w:tc>
          <w:tcPr>
            <w:tcW w:w="220" w:type="dxa"/>
            <w:vAlign w:val="bottom"/>
            <w:shd w:val="clear" w:color="auto" w:fill="FEFEFE"/>
          </w:tcPr>
          <w:p>
            <w:pPr>
              <w:spacing w:after="0"/>
              <w:rPr>
                <w:sz w:val="24"/>
                <w:szCs w:val="24"/>
                <w:color w:val="auto"/>
              </w:rPr>
            </w:pPr>
          </w:p>
        </w:tc>
        <w:tc>
          <w:tcPr>
            <w:tcW w:w="140" w:type="dxa"/>
            <w:vAlign w:val="bottom"/>
            <w:shd w:val="clear" w:color="auto" w:fill="FEFEFE"/>
          </w:tcPr>
          <w:p>
            <w:pPr>
              <w:spacing w:after="0"/>
              <w:rPr>
                <w:sz w:val="24"/>
                <w:szCs w:val="24"/>
                <w:color w:val="auto"/>
              </w:rPr>
            </w:pPr>
          </w:p>
        </w:tc>
        <w:tc>
          <w:tcPr>
            <w:tcW w:w="980" w:type="dxa"/>
            <w:vAlign w:val="bottom"/>
            <w:shd w:val="clear" w:color="auto" w:fill="FEFEFE"/>
          </w:tcPr>
          <w:p>
            <w:pPr>
              <w:spacing w:after="0"/>
              <w:rPr>
                <w:sz w:val="24"/>
                <w:szCs w:val="24"/>
                <w:color w:val="auto"/>
              </w:rPr>
            </w:pPr>
          </w:p>
        </w:tc>
        <w:tc>
          <w:tcPr>
            <w:tcW w:w="100" w:type="dxa"/>
            <w:vAlign w:val="bottom"/>
            <w:shd w:val="clear" w:color="auto" w:fill="FEFEFE"/>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80" w:type="dxa"/>
            <w:vAlign w:val="bottom"/>
            <w:gridSpan w:val="2"/>
            <w:shd w:val="clear" w:color="auto" w:fill="FEFEFE"/>
          </w:tcPr>
          <w:p>
            <w:pPr>
              <w:spacing w:after="0"/>
              <w:rPr>
                <w:sz w:val="20"/>
                <w:szCs w:val="20"/>
                <w:color w:val="auto"/>
              </w:rPr>
            </w:pPr>
            <w:r>
              <w:rPr>
                <w:rFonts w:ascii="Times New Roman" w:cs="Times New Roman" w:eastAsia="Times New Roman" w:hAnsi="Times New Roman"/>
                <w:sz w:val="18"/>
                <w:szCs w:val="18"/>
                <w:b w:val="1"/>
                <w:bCs w:val="1"/>
                <w:color w:val="auto"/>
              </w:rPr>
              <w:t>Condensed Cash Flow Statement</w:t>
            </w:r>
          </w:p>
        </w:tc>
        <w:tc>
          <w:tcPr>
            <w:tcW w:w="120" w:type="dxa"/>
            <w:vAlign w:val="bottom"/>
            <w:shd w:val="clear" w:color="auto" w:fill="FEFEFE"/>
          </w:tcPr>
          <w:p>
            <w:pPr>
              <w:spacing w:after="0"/>
              <w:rPr>
                <w:sz w:val="24"/>
                <w:szCs w:val="24"/>
                <w:color w:val="auto"/>
              </w:rPr>
            </w:pPr>
          </w:p>
        </w:tc>
        <w:tc>
          <w:tcPr>
            <w:tcW w:w="1000" w:type="dxa"/>
            <w:vAlign w:val="bottom"/>
            <w:shd w:val="clear" w:color="auto" w:fill="FEFEFE"/>
          </w:tcPr>
          <w:p>
            <w:pPr>
              <w:spacing w:after="0"/>
              <w:rPr>
                <w:sz w:val="24"/>
                <w:szCs w:val="24"/>
                <w:color w:val="auto"/>
              </w:rPr>
            </w:pPr>
          </w:p>
        </w:tc>
        <w:tc>
          <w:tcPr>
            <w:tcW w:w="220" w:type="dxa"/>
            <w:vAlign w:val="bottom"/>
            <w:shd w:val="clear" w:color="auto" w:fill="FEFEFE"/>
          </w:tcPr>
          <w:p>
            <w:pPr>
              <w:spacing w:after="0"/>
              <w:rPr>
                <w:sz w:val="24"/>
                <w:szCs w:val="24"/>
                <w:color w:val="auto"/>
              </w:rPr>
            </w:pPr>
          </w:p>
        </w:tc>
        <w:tc>
          <w:tcPr>
            <w:tcW w:w="140" w:type="dxa"/>
            <w:vAlign w:val="bottom"/>
            <w:shd w:val="clear" w:color="auto" w:fill="FEFEFE"/>
          </w:tcPr>
          <w:p>
            <w:pPr>
              <w:spacing w:after="0"/>
              <w:rPr>
                <w:sz w:val="24"/>
                <w:szCs w:val="24"/>
                <w:color w:val="auto"/>
              </w:rPr>
            </w:pPr>
          </w:p>
        </w:tc>
        <w:tc>
          <w:tcPr>
            <w:tcW w:w="980" w:type="dxa"/>
            <w:vAlign w:val="bottom"/>
            <w:shd w:val="clear" w:color="auto" w:fill="FEFEFE"/>
          </w:tcPr>
          <w:p>
            <w:pPr>
              <w:spacing w:after="0"/>
              <w:rPr>
                <w:sz w:val="24"/>
                <w:szCs w:val="24"/>
                <w:color w:val="auto"/>
              </w:rPr>
            </w:pPr>
          </w:p>
        </w:tc>
        <w:tc>
          <w:tcPr>
            <w:tcW w:w="100" w:type="dxa"/>
            <w:vAlign w:val="bottom"/>
            <w:shd w:val="clear" w:color="auto" w:fill="FEFEFE"/>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560" w:type="dxa"/>
            <w:vAlign w:val="bottom"/>
            <w:shd w:val="clear" w:color="auto" w:fill="FEFEFE"/>
          </w:tcPr>
          <w:p>
            <w:pPr>
              <w:spacing w:after="0"/>
              <w:rPr>
                <w:sz w:val="18"/>
                <w:szCs w:val="18"/>
                <w:color w:val="auto"/>
              </w:rPr>
            </w:pPr>
          </w:p>
        </w:tc>
        <w:tc>
          <w:tcPr>
            <w:tcW w:w="120" w:type="dxa"/>
            <w:vAlign w:val="bottom"/>
            <w:shd w:val="clear" w:color="auto" w:fill="FEFEFE"/>
          </w:tcPr>
          <w:p>
            <w:pPr>
              <w:spacing w:after="0"/>
              <w:rPr>
                <w:sz w:val="18"/>
                <w:szCs w:val="18"/>
                <w:color w:val="auto"/>
              </w:rPr>
            </w:pPr>
          </w:p>
        </w:tc>
        <w:tc>
          <w:tcPr>
            <w:tcW w:w="120" w:type="dxa"/>
            <w:vAlign w:val="bottom"/>
            <w:shd w:val="clear" w:color="auto" w:fill="FEFEFE"/>
          </w:tcPr>
          <w:p>
            <w:pPr>
              <w:spacing w:after="0"/>
              <w:rPr>
                <w:sz w:val="18"/>
                <w:szCs w:val="18"/>
                <w:color w:val="auto"/>
              </w:rPr>
            </w:pPr>
          </w:p>
        </w:tc>
        <w:tc>
          <w:tcPr>
            <w:tcW w:w="1000" w:type="dxa"/>
            <w:vAlign w:val="bottom"/>
            <w:shd w:val="clear" w:color="auto" w:fill="FEFEFE"/>
          </w:tcPr>
          <w:p>
            <w:pPr>
              <w:spacing w:after="0"/>
              <w:rPr>
                <w:sz w:val="18"/>
                <w:szCs w:val="18"/>
                <w:color w:val="auto"/>
              </w:rPr>
            </w:pPr>
          </w:p>
        </w:tc>
        <w:tc>
          <w:tcPr>
            <w:tcW w:w="220" w:type="dxa"/>
            <w:vAlign w:val="bottom"/>
            <w:shd w:val="clear" w:color="auto" w:fill="FEFEFE"/>
          </w:tcPr>
          <w:p>
            <w:pPr>
              <w:spacing w:after="0"/>
              <w:rPr>
                <w:sz w:val="18"/>
                <w:szCs w:val="18"/>
                <w:color w:val="auto"/>
              </w:rPr>
            </w:pPr>
          </w:p>
        </w:tc>
        <w:tc>
          <w:tcPr>
            <w:tcW w:w="140" w:type="dxa"/>
            <w:vAlign w:val="bottom"/>
            <w:shd w:val="clear" w:color="auto" w:fill="FEFEFE"/>
          </w:tcPr>
          <w:p>
            <w:pPr>
              <w:spacing w:after="0"/>
              <w:rPr>
                <w:sz w:val="18"/>
                <w:szCs w:val="18"/>
                <w:color w:val="auto"/>
              </w:rPr>
            </w:pPr>
          </w:p>
        </w:tc>
        <w:tc>
          <w:tcPr>
            <w:tcW w:w="980" w:type="dxa"/>
            <w:vAlign w:val="bottom"/>
            <w:shd w:val="clear" w:color="auto" w:fill="FEFEFE"/>
          </w:tcPr>
          <w:p>
            <w:pPr>
              <w:spacing w:after="0"/>
              <w:rPr>
                <w:sz w:val="18"/>
                <w:szCs w:val="18"/>
                <w:color w:val="auto"/>
              </w:rPr>
            </w:pPr>
          </w:p>
        </w:tc>
        <w:tc>
          <w:tcPr>
            <w:tcW w:w="100" w:type="dxa"/>
            <w:vAlign w:val="bottom"/>
            <w:shd w:val="clear" w:color="auto" w:fill="FEFEFE"/>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868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Three Months Ended</w:t>
            </w:r>
          </w:p>
        </w:tc>
        <w:tc>
          <w:tcPr>
            <w:tcW w:w="120" w:type="dxa"/>
            <w:vAlign w:val="bottom"/>
          </w:tcPr>
          <w:p>
            <w:pPr>
              <w:spacing w:after="0"/>
              <w:rPr>
                <w:sz w:val="16"/>
                <w:szCs w:val="16"/>
                <w:color w:val="auto"/>
              </w:rPr>
            </w:pPr>
          </w:p>
        </w:tc>
        <w:tc>
          <w:tcPr>
            <w:tcW w:w="1220" w:type="dxa"/>
            <w:vAlign w:val="bottom"/>
            <w:gridSpan w:val="2"/>
          </w:tcPr>
          <w:p>
            <w:pPr>
              <w:jc w:val="center"/>
              <w:ind w:right="340"/>
              <w:spacing w:after="0" w:line="194"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140" w:type="dxa"/>
            <w:vAlign w:val="bottom"/>
          </w:tcPr>
          <w:p>
            <w:pPr>
              <w:spacing w:after="0"/>
              <w:rPr>
                <w:sz w:val="16"/>
                <w:szCs w:val="16"/>
                <w:color w:val="auto"/>
              </w:rPr>
            </w:pPr>
          </w:p>
        </w:tc>
        <w:tc>
          <w:tcPr>
            <w:tcW w:w="1080" w:type="dxa"/>
            <w:vAlign w:val="bottom"/>
            <w:gridSpan w:val="2"/>
          </w:tcPr>
          <w:p>
            <w:pPr>
              <w:jc w:val="right"/>
              <w:ind w:right="260"/>
              <w:spacing w:after="0" w:line="194"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0" w:type="dxa"/>
            <w:vAlign w:val="bottom"/>
          </w:tcPr>
          <w:p>
            <w:pPr>
              <w:spacing w:after="0"/>
              <w:rPr>
                <w:sz w:val="1"/>
                <w:szCs w:val="1"/>
                <w:color w:val="auto"/>
              </w:rPr>
            </w:pPr>
          </w:p>
        </w:tc>
      </w:tr>
      <w:tr>
        <w:trPr>
          <w:trHeight w:val="24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(thousands)</w:t>
            </w:r>
          </w:p>
        </w:tc>
        <w:tc>
          <w:tcPr>
            <w:tcW w:w="120" w:type="dxa"/>
            <w:vAlign w:val="bottom"/>
          </w:tcPr>
          <w:p>
            <w:pPr>
              <w:spacing w:after="0"/>
              <w:rPr>
                <w:sz w:val="21"/>
                <w:szCs w:val="21"/>
                <w:color w:val="auto"/>
              </w:rPr>
            </w:pPr>
          </w:p>
        </w:tc>
        <w:tc>
          <w:tcPr>
            <w:tcW w:w="10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5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Cash flows:</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(21,948)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(14,540)</w:t>
            </w:r>
          </w:p>
        </w:tc>
        <w:tc>
          <w:tcPr>
            <w:tcW w:w="0" w:type="dxa"/>
            <w:vAlign w:val="bottom"/>
          </w:tcPr>
          <w:p>
            <w:pPr>
              <w:spacing w:after="0"/>
              <w:rPr>
                <w:sz w:val="1"/>
                <w:szCs w:val="1"/>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(3,788)</w:t>
            </w:r>
          </w:p>
        </w:tc>
        <w:tc>
          <w:tcPr>
            <w:tcW w:w="1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142,698</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51,641</w:t>
            </w:r>
          </w:p>
        </w:tc>
        <w:tc>
          <w:tcPr>
            <w:tcW w:w="0" w:type="dxa"/>
            <w:vAlign w:val="bottom"/>
          </w:tcPr>
          <w:p>
            <w:pPr>
              <w:spacing w:after="0"/>
              <w:rPr>
                <w:sz w:val="1"/>
                <w:szCs w:val="1"/>
                <w:color w:val="auto"/>
              </w:rPr>
            </w:pPr>
          </w:p>
        </w:tc>
      </w:tr>
      <w:tr>
        <w:trPr>
          <w:trHeight w:val="229"/>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Effects of exchange rate changes on cash</w:t>
            </w: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103</w:t>
            </w: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6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change in cash and cash equivalents</w:t>
            </w: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gridSpan w:val="2"/>
            <w:vMerge w:val="continue"/>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117,065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37,086</w:t>
            </w:r>
          </w:p>
        </w:tc>
        <w:tc>
          <w:tcPr>
            <w:tcW w:w="0" w:type="dxa"/>
            <w:vAlign w:val="bottom"/>
          </w:tcPr>
          <w:p>
            <w:pPr>
              <w:spacing w:after="0"/>
              <w:rPr>
                <w:sz w:val="1"/>
                <w:szCs w:val="1"/>
                <w:color w:val="auto"/>
              </w:rPr>
            </w:pPr>
          </w:p>
        </w:tc>
      </w:tr>
      <w:tr>
        <w:trPr>
          <w:trHeight w:val="21"/>
        </w:trPr>
        <w:tc>
          <w:tcPr>
            <w:tcW w:w="8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9202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92024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Outlook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SoundHound updates full year 2024 revenue outlook to be in a range of $65 to $77 million.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For more information please see the company’s SEC filings which can be obtained on the company’s website at </w:t>
      </w:r>
      <w:r>
        <w:rPr>
          <w:rFonts w:ascii="Times New Roman" w:cs="Times New Roman" w:eastAsia="Times New Roman" w:hAnsi="Times New Roman"/>
          <w:sz w:val="18"/>
          <w:szCs w:val="18"/>
          <w:color w:val="auto"/>
          <w:highlight w:val="white"/>
        </w:rPr>
        <w:t>investors.soundhound.com.</w:t>
      </w:r>
      <w:r>
        <w:rPr>
          <w:rFonts w:ascii="Times New Roman" w:cs="Times New Roman" w:eastAsia="Times New Roman" w:hAnsi="Times New Roman"/>
          <w:sz w:val="18"/>
          <w:szCs w:val="18"/>
          <w:color w:val="auto"/>
        </w:rPr>
        <w:t xml:space="preserve"> The financial statements will be posted on the website, and will be included when we file our 10-Q. The financial data presented in this press release should be considered preliminary until the company files its 10-Q.</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company will hold its Annual Shareholder Meeting on June 12, 2024 and more information can be found here: </w:t>
      </w:r>
      <w:r>
        <w:rPr>
          <w:rFonts w:ascii="Times New Roman" w:cs="Times New Roman" w:eastAsia="Times New Roman" w:hAnsi="Times New Roman"/>
          <w:sz w:val="18"/>
          <w:szCs w:val="18"/>
          <w:u w:val="single" w:color="auto"/>
          <w:color w:val="auto"/>
          <w:highlight w:val="white"/>
        </w:rPr>
        <w:t>Annual Meeting</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 and Webcast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Keyvan Mohajer, Co-Founder and CEO, and Nitesh Sharan, CFO will host a live audio conference call and webcast today at 2:00 p.m. Pacific Time/5:00 p.m. Eastern Time. A live webcast and replay will also be accessible at investors.soundhound.com.</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3"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About SoundHound AI</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SoundHound (Nasdaq: SOUN), a global leader in conversational intelligence, offers voice AI solutions that let businesses offer incredible conversational experiences to their customers. Built on proprietary technology, SoundHound’s voice AI delivers best-in-class speed and accuracy in numerous languages to product creators across automotive, TV, and IoT, and to customer service industries via groundbreaking AI-driven products like Smart Answering, Smart Ordering, and Dynamic Drive-Thru, an AI-powered multimodal food ordering solution. Along with SoundHound Chat AI, a powerful voice assistant with integrated Generative AI, SoundHound powers millions of products and services, and processes billions of interactions each year for world class businesses. www.soundhound.com</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 and Other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32918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3291840"/>
                    </a:xfrm>
                    <a:prstGeom prst="rect">
                      <a:avLst/>
                    </a:prstGeom>
                    <a:noFill/>
                  </pic:spPr>
                </pic:pic>
              </a:graphicData>
            </a:graphic>
          </wp:anchor>
        </w:drawing>
      </w:r>
    </w:p>
    <w:p>
      <w:pPr>
        <w:spacing w:after="0" w:line="20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press release contains forward-looking statements, which are not historical facts, within the meaning of Section 27A of the Securities Act of 1933, as amended, and Section 21E of the Securities Exchange Act of 1934, as amended. In some cases, you can identify forward-looking statements by the use of words such as “may,” “could,” “expect,” “intend,” “plan,” “seek,” “anticipate,” “believe,” “estimate,” “predict,” “potential,” “continue,” “likely,” “will,” “would” and variations of these terms and similar expressions, or the negative of these terms or similar expressions. These forward-looking statements include, but are not limited to, statements concerning our expected financial performance, our ability to implement our business strategy and anticipated business and operations, the potential utility of and market for our products and services, our ability to achieve revenue from our cumulative bookings backlog and subscription bookings backlog, and guidance for financial results for 2024. Such forward-looking statements are necessarily based upon estimates and assumptions that, while considered reasonable by us and our management, are inherently uncertain. As a result, readers are cautioned not to place undue reliance on these forward-looking statements. Our actual results may differ materially from those expressed or implied by these forward-looking statements as a result of risks and uncertainties impacting SoundHound’s business including, our ability to successfully launch and commercialize new products and services and derive significant revenue, our ability to develop the bespoke products and services required under the contracts included in our bookings backlog and subscription backlog, including, but not limited to, our ability to convert customer adoption of Smart Ordering into realized revenue, our ability to predict or measure supply chain disruptions at our customers, our market opportunity and our ability to acquire new customers and retain existing customers, unexpected costs, charges or expenses resulting from the acquisition of SYNQ3, the ability of the SYNQ3 acquisition to be accretive on the company’s financial results, the timing and impact of our growth initiatives, level of product service failures that could lead our customers to use competitors’ services, our ability to predict direct and indirect customer demand for our existing and future products, our ability to hire, retain and motivate employees, the effects of competition, including price competition within our industry segment, technological, regulatory and legal developments that uniquely or disproportionately impact our industry segment, developments in the economy and financial markets and those other factors described in our risk factors set forth in our filings with the Securities and Exchange Commission from time to time, including our Annual Report on Form 10-K, Quarterly Reports on Form 10-Q and Current Reports on Form 8-K. We do not intend to update or alter our forward-looking statements, whether as a result of new information, future events or otherwise, except as required by applicable law.</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2344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234440"/>
                    </a:xfrm>
                    <a:prstGeom prst="rect">
                      <a:avLst/>
                    </a:prstGeom>
                    <a:noFill/>
                  </pic:spPr>
                </pic:pic>
              </a:graphicData>
            </a:graphic>
          </wp:anchor>
        </w:drawing>
        <w:t>Certain Defined Terms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Cumulative Subscriptions &amp; Bookings Backlog, includes our bookings backlog and subscriptions backlog in one holistic metric. Cumulative bookings backlog is derived from committed customer contracts and takes into account the prior quarter end balance of bookings backlog plus new bookings in the current quarter minus associated revenue recognized from bookings from prior periods. Subscriptions backlog refers to potential revenue achievable for the company with current customers where the company is the leading or exclusive provider, and assuming a 4-year ramp up during which time our technologies are being implemented and assuming a successful full roll out of our technologies over a total 5-year duration. Reasonable assumptions about adoption percentages are included, with lower percentages applied to pilot and proof-of-concept customers.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Measures of Financial Performance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supplement the company’s financial statements, which are presented on the basis of U.S. generally accepted accounting principles (GAAP), the following non-GAAP measures of financial performance are included in this release: non-GAAP gross profit, non-GAAP gross margin, adjusted EBITDA, non-GAAP net loss and non-GAAP earnings per share.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believes that providing this non-GAAP information in addition to the GAAP financial information, allows investors to view the financial results in the way the company views its operating results. The company also believes that providing this information allows investors to not only better understand the company’s financial performance, but also, better evaluate the information used by management to evaluate and measure such performance.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such, the company believes that disclosing non-GAAP financial measures to the readers of its financial statements provides the reader with useful supplemental information that allows for greater transparency in the review of the company’s financial and operational performance.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define the company’s non-GAAP measures by excluding certain items: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arrive at non-GAAP gross profit and non-GAAP gross margin by excluding (i) amortization of intangibles (including acquired intangible assets) and (ii) stock-based compensation.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arrive at adjusted EBITDA by excluding (i) total interest and other income/(expense), net, (ii) income taxes, (iii) depreciation and amortization expense (including acquired intangible assets), (iv) stock-based compensation, (v) restructuring expense, (vi) change in fair value of contingent consideration for business acquisition, and (vii) acquisition-related costs.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arrive at non-GAAP net loss and non-GAAP net loss per share by excluding (i) depreciation and amortization expense (including acquired intangible assets), (ii) stock-based compensation, (iii) restructuring expense, (iv) change in fair value of contingent consideration for business acquisition, and (v) acquisition-related costs.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Reconciliations of GAAP to these adjusted non-GAAP financial measures are included in the tables below. When analyzing the company’s operating results, investors should not consider non-GAAP measures as substitutes for the comparable financial measures prepared in accordance with GAAP.</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the extent that the Company presents any forward-looking non-GAAP financial measures, the Company does not present a quantitative reconciliation of such measures to the most directly comparable GAAP financial measure (or otherwise present such forward-looking GAAP measures) because it is impractical to do 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4114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411480"/>
                    </a:xfrm>
                    <a:prstGeom prst="rect">
                      <a:avLst/>
                    </a:prstGeom>
                    <a:noFill/>
                  </pic:spPr>
                </pic:pic>
              </a:graphicData>
            </a:graphic>
          </wp:anchor>
        </w:drawing>
        <w:t>First Quarter Reconciliation of GAAP Gross Profit to Non-GAAP Gross Profit and GAAP Gross Margin to Non-GAAP Gross Margin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80" w:type="dxa"/>
            <w:vAlign w:val="bottom"/>
          </w:tcPr>
          <w:p>
            <w:pPr>
              <w:spacing w:after="0"/>
              <w:rPr>
                <w:sz w:val="18"/>
                <w:szCs w:val="18"/>
                <w:color w:val="auto"/>
              </w:rPr>
            </w:pPr>
          </w:p>
        </w:tc>
        <w:tc>
          <w:tcPr>
            <w:tcW w:w="1300" w:type="dxa"/>
            <w:vAlign w:val="bottom"/>
            <w:gridSpan w:val="4"/>
          </w:tcPr>
          <w:p>
            <w:pPr>
              <w:jc w:val="right"/>
              <w:ind w:right="361"/>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0" w:type="dxa"/>
            <w:vAlign w:val="bottom"/>
          </w:tcPr>
          <w:p>
            <w:pPr>
              <w:spacing w:after="0"/>
              <w:rPr>
                <w:sz w:val="1"/>
                <w:szCs w:val="1"/>
                <w:color w:val="auto"/>
              </w:rPr>
            </w:pPr>
          </w:p>
        </w:tc>
      </w:tr>
      <w:tr>
        <w:trPr>
          <w:trHeight w:val="245"/>
        </w:trPr>
        <w:tc>
          <w:tcPr>
            <w:tcW w:w="84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(thousands)</w:t>
            </w:r>
          </w:p>
        </w:tc>
        <w:tc>
          <w:tcPr>
            <w:tcW w:w="120" w:type="dxa"/>
            <w:vAlign w:val="bottom"/>
            <w:tcBorders>
              <w:bottom w:val="single" w:sz="8" w:color="CCEEFF"/>
            </w:tcBorders>
            <w:gridSpan w:val="2"/>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84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b w:val="1"/>
                <w:bCs w:val="1"/>
                <w:color w:val="auto"/>
              </w:rPr>
              <w:t>GAAP gross profit</w:t>
            </w:r>
            <w:r>
              <w:rPr>
                <w:rFonts w:ascii="Times New Roman" w:cs="Times New Roman" w:eastAsia="Times New Roman" w:hAnsi="Times New Roman"/>
                <w:sz w:val="29"/>
                <w:szCs w:val="29"/>
                <w:b w:val="1"/>
                <w:bCs w:val="1"/>
                <w:color w:val="auto"/>
                <w:vertAlign w:val="superscript"/>
              </w:rPr>
              <w:t>1</w:t>
            </w: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00" w:type="dxa"/>
            <w:vAlign w:val="bottom"/>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6,925</w:t>
            </w:r>
          </w:p>
        </w:tc>
        <w:tc>
          <w:tcPr>
            <w:tcW w:w="180" w:type="dxa"/>
            <w:vAlign w:val="bottom"/>
            <w:shd w:val="clear" w:color="auto" w:fill="CCEEFF"/>
          </w:tcPr>
          <w:p>
            <w:pPr>
              <w:spacing w:after="0"/>
              <w:rPr>
                <w:sz w:val="22"/>
                <w:szCs w:val="22"/>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4,731</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86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Adjustments: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521</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0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152</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8600" w:type="dxa"/>
            <w:vAlign w:val="bottom"/>
            <w:tcBorders>
              <w:top w:val="single" w:sz="8" w:color="CCEEFF"/>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Non-GAAP gross profit</w:t>
            </w:r>
          </w:p>
        </w:tc>
        <w:tc>
          <w:tcPr>
            <w:tcW w:w="200" w:type="dxa"/>
            <w:vAlign w:val="bottom"/>
            <w:tcBorders>
              <w:top w:val="single" w:sz="8" w:color="auto"/>
              <w:bottom w:val="single" w:sz="8" w:color="auto"/>
            </w:tcBorders>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7,598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4,846</w:t>
            </w: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600" w:type="dxa"/>
            <w:vAlign w:val="bottom"/>
            <w:tcBorders>
              <w:bottom w:val="single" w:sz="8" w:color="CCEEFF"/>
            </w:tcBorders>
            <w:gridSpan w:val="4"/>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GAAP gross margin</w:t>
            </w: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59.7</w:t>
            </w:r>
          </w:p>
        </w:tc>
        <w:tc>
          <w:tcPr>
            <w:tcW w:w="280" w:type="dxa"/>
            <w:vAlign w:val="bottom"/>
            <w:tcBorders>
              <w:bottom w:val="single" w:sz="8" w:color="CCEEFF"/>
            </w:tcBorders>
            <w:gridSpan w:val="2"/>
          </w:tcPr>
          <w:p>
            <w:pPr>
              <w:jc w:val="right"/>
              <w:ind w:right="41"/>
              <w:spacing w:after="0" w:line="203" w:lineRule="exact"/>
              <w:rPr>
                <w:sz w:val="20"/>
                <w:szCs w:val="20"/>
                <w:color w:val="auto"/>
              </w:rPr>
            </w:pPr>
            <w:r>
              <w:rPr>
                <w:rFonts w:ascii="Times New Roman" w:cs="Times New Roman" w:eastAsia="Times New Roman" w:hAnsi="Times New Roman"/>
                <w:sz w:val="18"/>
                <w:szCs w:val="18"/>
                <w:color w:val="auto"/>
                <w:w w:val="93"/>
              </w:rPr>
              <w:t>%</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70.5</w:t>
            </w:r>
          </w:p>
        </w:tc>
        <w:tc>
          <w:tcPr>
            <w:tcW w:w="160" w:type="dxa"/>
            <w:vAlign w:val="bottom"/>
            <w:tcBorders>
              <w:bottom w:val="single" w:sz="8" w:color="CCEEFF"/>
            </w:tcBorders>
            <w:gridSpan w:val="3"/>
          </w:tcPr>
          <w:p>
            <w:pPr>
              <w:jc w:val="center"/>
              <w:ind w:right="20"/>
              <w:spacing w:after="0" w:line="203" w:lineRule="exact"/>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23"/>
        </w:trPr>
        <w:tc>
          <w:tcPr>
            <w:tcW w:w="860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Non-GAAP gross margin</w:t>
            </w:r>
          </w:p>
        </w:tc>
        <w:tc>
          <w:tcPr>
            <w:tcW w:w="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280" w:type="dxa"/>
            <w:vAlign w:val="bottom"/>
            <w:tcBorders>
              <w:bottom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w w:val="93"/>
              </w:rPr>
              <w:t>%</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160" w:type="dxa"/>
            <w:vAlign w:val="bottom"/>
            <w:tcBorders>
              <w:bottom w:val="single" w:sz="8" w:color="CCEEFF"/>
            </w:tcBorders>
            <w:gridSpan w:val="3"/>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980" w:type="dxa"/>
            <w:vAlign w:val="bottom"/>
            <w:gridSpan w:val="2"/>
            <w:shd w:val="clear" w:color="auto" w:fill="FEFEFE"/>
          </w:tcPr>
          <w:p>
            <w:pPr>
              <w:spacing w:after="0"/>
              <w:rPr>
                <w:sz w:val="18"/>
                <w:szCs w:val="18"/>
                <w:color w:val="auto"/>
              </w:rPr>
            </w:pPr>
          </w:p>
        </w:tc>
        <w:tc>
          <w:tcPr>
            <w:tcW w:w="40" w:type="dxa"/>
            <w:vAlign w:val="bottom"/>
            <w:shd w:val="clear" w:color="auto" w:fill="FEFEFE"/>
          </w:tcPr>
          <w:p>
            <w:pPr>
              <w:spacing w:after="0"/>
              <w:rPr>
                <w:sz w:val="18"/>
                <w:szCs w:val="18"/>
                <w:color w:val="auto"/>
              </w:rPr>
            </w:pPr>
          </w:p>
        </w:tc>
        <w:tc>
          <w:tcPr>
            <w:tcW w:w="80" w:type="dxa"/>
            <w:vAlign w:val="bottom"/>
            <w:shd w:val="clear" w:color="auto" w:fill="FEFEFE"/>
          </w:tcPr>
          <w:p>
            <w:pPr>
              <w:spacing w:after="0"/>
              <w:rPr>
                <w:sz w:val="18"/>
                <w:szCs w:val="18"/>
                <w:color w:val="auto"/>
              </w:rPr>
            </w:pPr>
          </w:p>
        </w:tc>
        <w:tc>
          <w:tcPr>
            <w:tcW w:w="120" w:type="dxa"/>
            <w:vAlign w:val="bottom"/>
            <w:shd w:val="clear" w:color="auto" w:fill="FEFEFE"/>
          </w:tcPr>
          <w:p>
            <w:pPr>
              <w:spacing w:after="0"/>
              <w:rPr>
                <w:sz w:val="18"/>
                <w:szCs w:val="18"/>
                <w:color w:val="auto"/>
              </w:rPr>
            </w:pPr>
          </w:p>
        </w:tc>
        <w:tc>
          <w:tcPr>
            <w:tcW w:w="900" w:type="dxa"/>
            <w:vAlign w:val="bottom"/>
            <w:shd w:val="clear" w:color="auto" w:fill="FEFEFE"/>
          </w:tcPr>
          <w:p>
            <w:pPr>
              <w:spacing w:after="0"/>
              <w:rPr>
                <w:sz w:val="18"/>
                <w:szCs w:val="18"/>
                <w:color w:val="auto"/>
              </w:rPr>
            </w:pPr>
          </w:p>
        </w:tc>
        <w:tc>
          <w:tcPr>
            <w:tcW w:w="100" w:type="dxa"/>
            <w:vAlign w:val="bottom"/>
            <w:shd w:val="clear" w:color="auto" w:fill="FEFEFE"/>
          </w:tcPr>
          <w:p>
            <w:pPr>
              <w:spacing w:after="0"/>
              <w:rPr>
                <w:sz w:val="18"/>
                <w:szCs w:val="18"/>
                <w:color w:val="auto"/>
              </w:rPr>
            </w:pPr>
          </w:p>
        </w:tc>
        <w:tc>
          <w:tcPr>
            <w:tcW w:w="180" w:type="dxa"/>
            <w:vAlign w:val="bottom"/>
            <w:shd w:val="clear" w:color="auto" w:fill="FEFEFE"/>
          </w:tcPr>
          <w:p>
            <w:pPr>
              <w:spacing w:after="0"/>
              <w:rPr>
                <w:sz w:val="18"/>
                <w:szCs w:val="18"/>
                <w:color w:val="auto"/>
              </w:rPr>
            </w:pPr>
          </w:p>
        </w:tc>
        <w:tc>
          <w:tcPr>
            <w:tcW w:w="40" w:type="dxa"/>
            <w:vAlign w:val="bottom"/>
            <w:shd w:val="clear" w:color="auto" w:fill="FEFEFE"/>
          </w:tcPr>
          <w:p>
            <w:pPr>
              <w:spacing w:after="0"/>
              <w:rPr>
                <w:sz w:val="18"/>
                <w:szCs w:val="18"/>
                <w:color w:val="auto"/>
              </w:rPr>
            </w:pPr>
          </w:p>
        </w:tc>
        <w:tc>
          <w:tcPr>
            <w:tcW w:w="100" w:type="dxa"/>
            <w:vAlign w:val="bottom"/>
            <w:shd w:val="clear" w:color="auto" w:fill="FEFEFE"/>
          </w:tcPr>
          <w:p>
            <w:pPr>
              <w:spacing w:after="0"/>
              <w:rPr>
                <w:sz w:val="18"/>
                <w:szCs w:val="18"/>
                <w:color w:val="auto"/>
              </w:rPr>
            </w:pPr>
          </w:p>
        </w:tc>
        <w:tc>
          <w:tcPr>
            <w:tcW w:w="960" w:type="dxa"/>
            <w:vAlign w:val="bottom"/>
            <w:shd w:val="clear" w:color="auto" w:fill="FEFEFE"/>
          </w:tcPr>
          <w:p>
            <w:pPr>
              <w:spacing w:after="0"/>
              <w:rPr>
                <w:sz w:val="18"/>
                <w:szCs w:val="18"/>
                <w:color w:val="auto"/>
              </w:rPr>
            </w:pPr>
          </w:p>
        </w:tc>
        <w:tc>
          <w:tcPr>
            <w:tcW w:w="60" w:type="dxa"/>
            <w:vAlign w:val="bottom"/>
            <w:shd w:val="clear" w:color="auto" w:fill="FEFEFE"/>
          </w:tcPr>
          <w:p>
            <w:pPr>
              <w:spacing w:after="0"/>
              <w:rPr>
                <w:sz w:val="18"/>
                <w:szCs w:val="18"/>
                <w:color w:val="auto"/>
              </w:rPr>
            </w:pPr>
          </w:p>
        </w:tc>
        <w:tc>
          <w:tcPr>
            <w:tcW w:w="20" w:type="dxa"/>
            <w:vAlign w:val="bottom"/>
            <w:shd w:val="clear" w:color="auto" w:fill="FEFEFE"/>
          </w:tcPr>
          <w:p>
            <w:pPr>
              <w:spacing w:after="0"/>
              <w:rPr>
                <w:sz w:val="18"/>
                <w:szCs w:val="18"/>
                <w:color w:val="auto"/>
              </w:rPr>
            </w:pPr>
          </w:p>
        </w:tc>
        <w:tc>
          <w:tcPr>
            <w:tcW w:w="80" w:type="dxa"/>
            <w:vAlign w:val="bottom"/>
            <w:shd w:val="clear" w:color="auto" w:fill="FEFEF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  GAAP gross profit is calculated by subtracting the cost of revenues from revenues.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8020" w:type="dxa"/>
            <w:vAlign w:val="bottom"/>
            <w:gridSpan w:val="3"/>
            <w:vMerge w:val="restart"/>
            <w:shd w:val="clear" w:color="auto" w:fill="FEFEFE"/>
          </w:tcPr>
          <w:p>
            <w:pPr>
              <w:spacing w:after="0"/>
              <w:rPr>
                <w:sz w:val="20"/>
                <w:szCs w:val="20"/>
                <w:color w:val="auto"/>
              </w:rPr>
            </w:pPr>
            <w:r>
              <w:rPr>
                <w:rFonts w:ascii="Times New Roman" w:cs="Times New Roman" w:eastAsia="Times New Roman" w:hAnsi="Times New Roman"/>
                <w:sz w:val="18"/>
                <w:szCs w:val="18"/>
                <w:b w:val="1"/>
                <w:bCs w:val="1"/>
                <w:color w:val="auto"/>
              </w:rPr>
              <w:t>Quarter Reconciliation of GAAP Net Loss to Non-GAAP Adjusted EBITDA</w:t>
            </w:r>
          </w:p>
        </w:tc>
        <w:tc>
          <w:tcPr>
            <w:tcW w:w="80" w:type="dxa"/>
            <w:vAlign w:val="bottom"/>
            <w:shd w:val="clear" w:color="auto" w:fill="FEFEFE"/>
          </w:tcPr>
          <w:p>
            <w:pPr>
              <w:spacing w:after="0"/>
              <w:rPr>
                <w:sz w:val="18"/>
                <w:szCs w:val="18"/>
                <w:color w:val="auto"/>
              </w:rPr>
            </w:pPr>
          </w:p>
        </w:tc>
        <w:tc>
          <w:tcPr>
            <w:tcW w:w="120" w:type="dxa"/>
            <w:vAlign w:val="bottom"/>
            <w:shd w:val="clear" w:color="auto" w:fill="FEFEFE"/>
          </w:tcPr>
          <w:p>
            <w:pPr>
              <w:spacing w:after="0"/>
              <w:rPr>
                <w:sz w:val="18"/>
                <w:szCs w:val="18"/>
                <w:color w:val="auto"/>
              </w:rPr>
            </w:pPr>
          </w:p>
        </w:tc>
        <w:tc>
          <w:tcPr>
            <w:tcW w:w="900" w:type="dxa"/>
            <w:vAlign w:val="bottom"/>
            <w:shd w:val="clear" w:color="auto" w:fill="FEFEFE"/>
          </w:tcPr>
          <w:p>
            <w:pPr>
              <w:spacing w:after="0"/>
              <w:rPr>
                <w:sz w:val="18"/>
                <w:szCs w:val="18"/>
                <w:color w:val="auto"/>
              </w:rPr>
            </w:pPr>
          </w:p>
        </w:tc>
        <w:tc>
          <w:tcPr>
            <w:tcW w:w="100" w:type="dxa"/>
            <w:vAlign w:val="bottom"/>
            <w:shd w:val="clear" w:color="auto" w:fill="FEFEFE"/>
          </w:tcPr>
          <w:p>
            <w:pPr>
              <w:spacing w:after="0"/>
              <w:rPr>
                <w:sz w:val="18"/>
                <w:szCs w:val="18"/>
                <w:color w:val="auto"/>
              </w:rPr>
            </w:pPr>
          </w:p>
        </w:tc>
        <w:tc>
          <w:tcPr>
            <w:tcW w:w="180" w:type="dxa"/>
            <w:vAlign w:val="bottom"/>
            <w:shd w:val="clear" w:color="auto" w:fill="FEFEFE"/>
          </w:tcPr>
          <w:p>
            <w:pPr>
              <w:spacing w:after="0"/>
              <w:rPr>
                <w:sz w:val="18"/>
                <w:szCs w:val="18"/>
                <w:color w:val="auto"/>
              </w:rPr>
            </w:pPr>
          </w:p>
        </w:tc>
        <w:tc>
          <w:tcPr>
            <w:tcW w:w="40" w:type="dxa"/>
            <w:vAlign w:val="bottom"/>
            <w:shd w:val="clear" w:color="auto" w:fill="FEFEFE"/>
          </w:tcPr>
          <w:p>
            <w:pPr>
              <w:spacing w:after="0"/>
              <w:rPr>
                <w:sz w:val="18"/>
                <w:szCs w:val="18"/>
                <w:color w:val="auto"/>
              </w:rPr>
            </w:pPr>
          </w:p>
        </w:tc>
        <w:tc>
          <w:tcPr>
            <w:tcW w:w="100" w:type="dxa"/>
            <w:vAlign w:val="bottom"/>
            <w:shd w:val="clear" w:color="auto" w:fill="FEFEFE"/>
          </w:tcPr>
          <w:p>
            <w:pPr>
              <w:spacing w:after="0"/>
              <w:rPr>
                <w:sz w:val="18"/>
                <w:szCs w:val="18"/>
                <w:color w:val="auto"/>
              </w:rPr>
            </w:pPr>
          </w:p>
        </w:tc>
        <w:tc>
          <w:tcPr>
            <w:tcW w:w="960" w:type="dxa"/>
            <w:vAlign w:val="bottom"/>
            <w:shd w:val="clear" w:color="auto" w:fill="FEFEFE"/>
          </w:tcPr>
          <w:p>
            <w:pPr>
              <w:spacing w:after="0"/>
              <w:rPr>
                <w:sz w:val="18"/>
                <w:szCs w:val="18"/>
                <w:color w:val="auto"/>
              </w:rPr>
            </w:pPr>
          </w:p>
        </w:tc>
        <w:tc>
          <w:tcPr>
            <w:tcW w:w="60" w:type="dxa"/>
            <w:vAlign w:val="bottom"/>
            <w:shd w:val="clear" w:color="auto" w:fill="FEFEFE"/>
          </w:tcPr>
          <w:p>
            <w:pPr>
              <w:spacing w:after="0"/>
              <w:rPr>
                <w:sz w:val="18"/>
                <w:szCs w:val="18"/>
                <w:color w:val="auto"/>
              </w:rPr>
            </w:pPr>
          </w:p>
        </w:tc>
        <w:tc>
          <w:tcPr>
            <w:tcW w:w="20" w:type="dxa"/>
            <w:vAlign w:val="bottom"/>
            <w:shd w:val="clear" w:color="auto" w:fill="FEFEFE"/>
          </w:tcPr>
          <w:p>
            <w:pPr>
              <w:spacing w:after="0"/>
              <w:rPr>
                <w:sz w:val="18"/>
                <w:szCs w:val="18"/>
                <w:color w:val="auto"/>
              </w:rPr>
            </w:pPr>
          </w:p>
        </w:tc>
        <w:tc>
          <w:tcPr>
            <w:tcW w:w="80" w:type="dxa"/>
            <w:vAlign w:val="bottom"/>
            <w:shd w:val="clear" w:color="auto" w:fill="FEFEF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80" w:type="dxa"/>
            <w:vAlign w:val="bottom"/>
            <w:shd w:val="clear" w:color="auto" w:fill="FEFEFE"/>
          </w:tcPr>
          <w:p>
            <w:pPr>
              <w:spacing w:after="0"/>
              <w:rPr>
                <w:sz w:val="20"/>
                <w:szCs w:val="20"/>
                <w:color w:val="auto"/>
              </w:rPr>
            </w:pPr>
            <w:r>
              <w:rPr>
                <w:rFonts w:ascii="Times New Roman" w:cs="Times New Roman" w:eastAsia="Times New Roman" w:hAnsi="Times New Roman"/>
                <w:sz w:val="18"/>
                <w:szCs w:val="18"/>
                <w:b w:val="1"/>
                <w:bCs w:val="1"/>
                <w:color w:val="auto"/>
              </w:rPr>
              <w:t>First</w:t>
            </w:r>
          </w:p>
        </w:tc>
        <w:tc>
          <w:tcPr>
            <w:tcW w:w="8020" w:type="dxa"/>
            <w:vAlign w:val="bottom"/>
            <w:gridSpan w:val="3"/>
            <w:vMerge w:val="continue"/>
            <w:shd w:val="clear" w:color="auto" w:fill="FEFEFE"/>
          </w:tcPr>
          <w:p>
            <w:pPr>
              <w:spacing w:after="0"/>
              <w:rPr>
                <w:sz w:val="20"/>
                <w:szCs w:val="20"/>
                <w:color w:val="auto"/>
              </w:rPr>
            </w:pPr>
          </w:p>
        </w:tc>
        <w:tc>
          <w:tcPr>
            <w:tcW w:w="80" w:type="dxa"/>
            <w:vAlign w:val="bottom"/>
            <w:shd w:val="clear" w:color="auto" w:fill="FEFEFE"/>
          </w:tcPr>
          <w:p>
            <w:pPr>
              <w:spacing w:after="0"/>
              <w:rPr>
                <w:sz w:val="20"/>
                <w:szCs w:val="20"/>
                <w:color w:val="auto"/>
              </w:rPr>
            </w:pPr>
          </w:p>
        </w:tc>
        <w:tc>
          <w:tcPr>
            <w:tcW w:w="120" w:type="dxa"/>
            <w:vAlign w:val="bottom"/>
            <w:shd w:val="clear" w:color="auto" w:fill="FEFEFE"/>
          </w:tcPr>
          <w:p>
            <w:pPr>
              <w:spacing w:after="0"/>
              <w:rPr>
                <w:sz w:val="20"/>
                <w:szCs w:val="20"/>
                <w:color w:val="auto"/>
              </w:rPr>
            </w:pPr>
          </w:p>
        </w:tc>
        <w:tc>
          <w:tcPr>
            <w:tcW w:w="900" w:type="dxa"/>
            <w:vAlign w:val="bottom"/>
            <w:shd w:val="clear" w:color="auto" w:fill="FEFEFE"/>
          </w:tcPr>
          <w:p>
            <w:pPr>
              <w:spacing w:after="0"/>
              <w:rPr>
                <w:sz w:val="20"/>
                <w:szCs w:val="20"/>
                <w:color w:val="auto"/>
              </w:rPr>
            </w:pPr>
          </w:p>
        </w:tc>
        <w:tc>
          <w:tcPr>
            <w:tcW w:w="100" w:type="dxa"/>
            <w:vAlign w:val="bottom"/>
            <w:shd w:val="clear" w:color="auto" w:fill="FEFEFE"/>
          </w:tcPr>
          <w:p>
            <w:pPr>
              <w:spacing w:after="0"/>
              <w:rPr>
                <w:sz w:val="20"/>
                <w:szCs w:val="20"/>
                <w:color w:val="auto"/>
              </w:rPr>
            </w:pPr>
          </w:p>
        </w:tc>
        <w:tc>
          <w:tcPr>
            <w:tcW w:w="180" w:type="dxa"/>
            <w:vAlign w:val="bottom"/>
            <w:shd w:val="clear" w:color="auto" w:fill="FEFEFE"/>
          </w:tcPr>
          <w:p>
            <w:pPr>
              <w:spacing w:after="0"/>
              <w:rPr>
                <w:sz w:val="20"/>
                <w:szCs w:val="20"/>
                <w:color w:val="auto"/>
              </w:rPr>
            </w:pPr>
          </w:p>
        </w:tc>
        <w:tc>
          <w:tcPr>
            <w:tcW w:w="40" w:type="dxa"/>
            <w:vAlign w:val="bottom"/>
            <w:shd w:val="clear" w:color="auto" w:fill="FEFEFE"/>
          </w:tcPr>
          <w:p>
            <w:pPr>
              <w:spacing w:after="0"/>
              <w:rPr>
                <w:sz w:val="20"/>
                <w:szCs w:val="20"/>
                <w:color w:val="auto"/>
              </w:rPr>
            </w:pPr>
          </w:p>
        </w:tc>
        <w:tc>
          <w:tcPr>
            <w:tcW w:w="100" w:type="dxa"/>
            <w:vAlign w:val="bottom"/>
            <w:shd w:val="clear" w:color="auto" w:fill="FEFEFE"/>
          </w:tcPr>
          <w:p>
            <w:pPr>
              <w:spacing w:after="0"/>
              <w:rPr>
                <w:sz w:val="20"/>
                <w:szCs w:val="20"/>
                <w:color w:val="auto"/>
              </w:rPr>
            </w:pPr>
          </w:p>
        </w:tc>
        <w:tc>
          <w:tcPr>
            <w:tcW w:w="960" w:type="dxa"/>
            <w:vAlign w:val="bottom"/>
            <w:shd w:val="clear" w:color="auto" w:fill="FEFEFE"/>
          </w:tcPr>
          <w:p>
            <w:pPr>
              <w:spacing w:after="0"/>
              <w:rPr>
                <w:sz w:val="20"/>
                <w:szCs w:val="20"/>
                <w:color w:val="auto"/>
              </w:rPr>
            </w:pPr>
          </w:p>
        </w:tc>
        <w:tc>
          <w:tcPr>
            <w:tcW w:w="60" w:type="dxa"/>
            <w:vAlign w:val="bottom"/>
            <w:shd w:val="clear" w:color="auto" w:fill="FEFEFE"/>
          </w:tcPr>
          <w:p>
            <w:pPr>
              <w:spacing w:after="0"/>
              <w:rPr>
                <w:sz w:val="20"/>
                <w:szCs w:val="20"/>
                <w:color w:val="auto"/>
              </w:rPr>
            </w:pPr>
          </w:p>
        </w:tc>
        <w:tc>
          <w:tcPr>
            <w:tcW w:w="20" w:type="dxa"/>
            <w:vAlign w:val="bottom"/>
            <w:shd w:val="clear" w:color="auto" w:fill="FEFEFE"/>
          </w:tcPr>
          <w:p>
            <w:pPr>
              <w:spacing w:after="0"/>
              <w:rPr>
                <w:sz w:val="20"/>
                <w:szCs w:val="20"/>
                <w:color w:val="auto"/>
              </w:rPr>
            </w:pPr>
          </w:p>
        </w:tc>
        <w:tc>
          <w:tcPr>
            <w:tcW w:w="80" w:type="dxa"/>
            <w:vAlign w:val="bottom"/>
            <w:shd w:val="clear" w:color="auto" w:fill="FEFEFE"/>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8560" w:type="dxa"/>
            <w:vAlign w:val="bottom"/>
            <w:gridSpan w:val="3"/>
            <w:shd w:val="clear" w:color="auto" w:fill="FEFEFE"/>
          </w:tcPr>
          <w:p>
            <w:pPr>
              <w:spacing w:after="0"/>
              <w:rPr>
                <w:sz w:val="16"/>
                <w:szCs w:val="16"/>
                <w:color w:val="auto"/>
              </w:rPr>
            </w:pPr>
          </w:p>
        </w:tc>
        <w:tc>
          <w:tcPr>
            <w:tcW w:w="40" w:type="dxa"/>
            <w:vAlign w:val="bottom"/>
            <w:shd w:val="clear" w:color="auto" w:fill="FEFEFE"/>
          </w:tcPr>
          <w:p>
            <w:pPr>
              <w:spacing w:after="0"/>
              <w:rPr>
                <w:sz w:val="16"/>
                <w:szCs w:val="16"/>
                <w:color w:val="auto"/>
              </w:rPr>
            </w:pPr>
          </w:p>
        </w:tc>
        <w:tc>
          <w:tcPr>
            <w:tcW w:w="80" w:type="dxa"/>
            <w:vAlign w:val="bottom"/>
            <w:shd w:val="clear" w:color="auto" w:fill="FEFEFE"/>
          </w:tcPr>
          <w:p>
            <w:pPr>
              <w:spacing w:after="0"/>
              <w:rPr>
                <w:sz w:val="16"/>
                <w:szCs w:val="16"/>
                <w:color w:val="auto"/>
              </w:rPr>
            </w:pPr>
          </w:p>
        </w:tc>
        <w:tc>
          <w:tcPr>
            <w:tcW w:w="120" w:type="dxa"/>
            <w:vAlign w:val="bottom"/>
            <w:shd w:val="clear" w:color="auto" w:fill="FEFEFE"/>
          </w:tcPr>
          <w:p>
            <w:pPr>
              <w:spacing w:after="0"/>
              <w:rPr>
                <w:sz w:val="16"/>
                <w:szCs w:val="16"/>
                <w:color w:val="auto"/>
              </w:rPr>
            </w:pPr>
          </w:p>
        </w:tc>
        <w:tc>
          <w:tcPr>
            <w:tcW w:w="1000" w:type="dxa"/>
            <w:vAlign w:val="bottom"/>
            <w:gridSpan w:val="2"/>
            <w:shd w:val="clear" w:color="auto" w:fill="FEFEFE"/>
          </w:tcPr>
          <w:p>
            <w:pPr>
              <w:spacing w:after="0"/>
              <w:rPr>
                <w:sz w:val="16"/>
                <w:szCs w:val="16"/>
                <w:color w:val="auto"/>
              </w:rPr>
            </w:pPr>
          </w:p>
        </w:tc>
        <w:tc>
          <w:tcPr>
            <w:tcW w:w="180" w:type="dxa"/>
            <w:vAlign w:val="bottom"/>
            <w:shd w:val="clear" w:color="auto" w:fill="FEFEFE"/>
          </w:tcPr>
          <w:p>
            <w:pPr>
              <w:spacing w:after="0"/>
              <w:rPr>
                <w:sz w:val="16"/>
                <w:szCs w:val="16"/>
                <w:color w:val="auto"/>
              </w:rPr>
            </w:pPr>
          </w:p>
        </w:tc>
        <w:tc>
          <w:tcPr>
            <w:tcW w:w="40" w:type="dxa"/>
            <w:vAlign w:val="bottom"/>
            <w:shd w:val="clear" w:color="auto" w:fill="FEFEFE"/>
          </w:tcPr>
          <w:p>
            <w:pPr>
              <w:spacing w:after="0"/>
              <w:rPr>
                <w:sz w:val="16"/>
                <w:szCs w:val="16"/>
                <w:color w:val="auto"/>
              </w:rPr>
            </w:pPr>
          </w:p>
        </w:tc>
        <w:tc>
          <w:tcPr>
            <w:tcW w:w="100" w:type="dxa"/>
            <w:vAlign w:val="bottom"/>
            <w:shd w:val="clear" w:color="auto" w:fill="FEFEFE"/>
          </w:tcPr>
          <w:p>
            <w:pPr>
              <w:spacing w:after="0"/>
              <w:rPr>
                <w:sz w:val="16"/>
                <w:szCs w:val="16"/>
                <w:color w:val="auto"/>
              </w:rPr>
            </w:pPr>
          </w:p>
        </w:tc>
        <w:tc>
          <w:tcPr>
            <w:tcW w:w="1020" w:type="dxa"/>
            <w:vAlign w:val="bottom"/>
            <w:gridSpan w:val="2"/>
            <w:shd w:val="clear" w:color="auto" w:fill="FEFEFE"/>
          </w:tcPr>
          <w:p>
            <w:pPr>
              <w:spacing w:after="0"/>
              <w:rPr>
                <w:sz w:val="16"/>
                <w:szCs w:val="16"/>
                <w:color w:val="auto"/>
              </w:rPr>
            </w:pPr>
          </w:p>
        </w:tc>
        <w:tc>
          <w:tcPr>
            <w:tcW w:w="20" w:type="dxa"/>
            <w:vAlign w:val="bottom"/>
            <w:shd w:val="clear" w:color="auto" w:fill="FEFEFE"/>
          </w:tcPr>
          <w:p>
            <w:pPr>
              <w:spacing w:after="0"/>
              <w:rPr>
                <w:sz w:val="16"/>
                <w:szCs w:val="16"/>
                <w:color w:val="auto"/>
              </w:rPr>
            </w:pPr>
          </w:p>
        </w:tc>
        <w:tc>
          <w:tcPr>
            <w:tcW w:w="80" w:type="dxa"/>
            <w:vAlign w:val="bottom"/>
            <w:shd w:val="clear" w:color="auto" w:fill="FEFEF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8600" w:type="dxa"/>
            <w:vAlign w:val="bottom"/>
            <w:gridSpan w:val="4"/>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Three Months Ended</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3"/>
          </w:tcPr>
          <w:p>
            <w:pPr>
              <w:jc w:val="right"/>
              <w:ind w:right="261"/>
              <w:spacing w:after="0" w:line="194"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4"/>
          </w:tcPr>
          <w:p>
            <w:pPr>
              <w:ind w:left="60"/>
              <w:spacing w:after="0" w:line="194"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0" w:type="dxa"/>
            <w:vAlign w:val="bottom"/>
          </w:tcPr>
          <w:p>
            <w:pPr>
              <w:spacing w:after="0"/>
              <w:rPr>
                <w:sz w:val="1"/>
                <w:szCs w:val="1"/>
                <w:color w:val="auto"/>
              </w:rPr>
            </w:pPr>
          </w:p>
        </w:tc>
      </w:tr>
      <w:tr>
        <w:trPr>
          <w:trHeight w:val="245"/>
        </w:trPr>
        <w:tc>
          <w:tcPr>
            <w:tcW w:w="86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(thousands)</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560" w:type="dxa"/>
            <w:vAlign w:val="bottom"/>
            <w:tcBorders>
              <w:top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GAAP net loss</w:t>
            </w: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(33,009)</w:t>
            </w: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(27,430)</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Adjustments: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8600" w:type="dxa"/>
            <w:vAlign w:val="bottom"/>
            <w:gridSpan w:val="4"/>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Interest and other income/(expense), net</w:t>
            </w:r>
            <w:r>
              <w:rPr>
                <w:rFonts w:ascii="Times New Roman" w:cs="Times New Roman" w:eastAsia="Times New Roman" w:hAnsi="Times New Roman"/>
                <w:sz w:val="29"/>
                <w:szCs w:val="29"/>
                <w:b w:val="1"/>
                <w:bCs w:val="1"/>
                <w:color w:val="auto"/>
                <w:vertAlign w:val="superscript"/>
              </w:rPr>
              <w:t>1</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80" w:type="dxa"/>
            <w:vAlign w:val="bottom"/>
            <w:gridSpan w:val="3"/>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4,185</w:t>
            </w: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1,898</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860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Income taxes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3"/>
          </w:tcPr>
          <w:p>
            <w:pPr>
              <w:jc w:val="right"/>
              <w:ind w:right="101"/>
              <w:spacing w:after="0"/>
              <w:rPr>
                <w:sz w:val="20"/>
                <w:szCs w:val="20"/>
                <w:color w:val="auto"/>
              </w:rPr>
            </w:pPr>
            <w:r>
              <w:rPr>
                <w:rFonts w:ascii="Times New Roman" w:cs="Times New Roman" w:eastAsia="Times New Roman" w:hAnsi="Times New Roman"/>
                <w:sz w:val="18"/>
                <w:szCs w:val="18"/>
                <w:color w:val="auto"/>
              </w:rPr>
              <w:t>295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1,471</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3"/>
          </w:tcPr>
          <w:p>
            <w:pPr>
              <w:jc w:val="right"/>
              <w:ind w:right="101"/>
              <w:spacing w:after="0"/>
              <w:rPr>
                <w:sz w:val="20"/>
                <w:szCs w:val="20"/>
                <w:color w:val="auto"/>
              </w:rPr>
            </w:pPr>
            <w:r>
              <w:rPr>
                <w:rFonts w:ascii="Times New Roman" w:cs="Times New Roman" w:eastAsia="Times New Roman" w:hAnsi="Times New Roman"/>
                <w:sz w:val="18"/>
                <w:szCs w:val="18"/>
                <w:color w:val="auto"/>
              </w:rPr>
              <w:t>6,979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5,996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Restructuring</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Change in fair value of contingent acquisition liabilities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3"/>
          </w:tcPr>
          <w:p>
            <w:pPr>
              <w:jc w:val="right"/>
              <w:ind w:right="101"/>
              <w:spacing w:after="0"/>
              <w:rPr>
                <w:sz w:val="20"/>
                <w:szCs w:val="20"/>
                <w:color w:val="auto"/>
              </w:rPr>
            </w:pPr>
            <w:r>
              <w:rPr>
                <w:rFonts w:ascii="Times New Roman" w:cs="Times New Roman" w:eastAsia="Times New Roman" w:hAnsi="Times New Roman"/>
                <w:sz w:val="18"/>
                <w:szCs w:val="18"/>
                <w:color w:val="auto"/>
              </w:rPr>
              <w:t>4,162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0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Acquisition-related expenses</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80" w:type="dxa"/>
            <w:vAlign w:val="bottom"/>
            <w:gridSpan w:val="3"/>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513</w:t>
            </w: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8600" w:type="dxa"/>
            <w:vAlign w:val="bottom"/>
            <w:tcBorders>
              <w:top w:val="single" w:sz="8" w:color="CCEEFF"/>
            </w:tcBorders>
            <w:gridSpan w:val="4"/>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Non-GAAP adjusted EBITDA</w:t>
            </w: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tcBorders>
              <w:top w:val="single" w:sz="8" w:color="auto"/>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(15,404</w:t>
            </w:r>
          </w:p>
        </w:tc>
        <w:tc>
          <w:tcPr>
            <w:tcW w:w="180" w:type="dxa"/>
            <w:vAlign w:val="bottom"/>
            <w:tcBorders>
              <w:top w:val="single" w:sz="8" w:color="CCEEFF"/>
            </w:tcBorders>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(14,914</w:t>
            </w:r>
          </w:p>
        </w:tc>
        <w:tc>
          <w:tcPr>
            <w:tcW w:w="100" w:type="dxa"/>
            <w:vAlign w:val="bottom"/>
            <w:tcBorders>
              <w:top w:val="single" w:sz="8" w:color="CCEEFF"/>
            </w:tcBorders>
            <w:gridSpan w:val="2"/>
          </w:tcPr>
          <w:p>
            <w:pPr>
              <w:jc w:val="center"/>
              <w:ind w:right="40"/>
              <w:spacing w:after="0" w:line="203" w:lineRule="exact"/>
              <w:rPr>
                <w:sz w:val="20"/>
                <w:szCs w:val="20"/>
                <w:color w:val="auto"/>
              </w:rPr>
            </w:pPr>
            <w:r>
              <w:rPr>
                <w:rFonts w:ascii="Times New Roman" w:cs="Times New Roman" w:eastAsia="Times New Roman" w:hAnsi="Times New Roman"/>
                <w:sz w:val="18"/>
                <w:szCs w:val="18"/>
                <w:b w:val="1"/>
                <w:bCs w:val="1"/>
                <w:color w:val="auto"/>
                <w:w w:val="99"/>
              </w:rPr>
              <w:t>)</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900" w:type="dxa"/>
            <w:vAlign w:val="bottom"/>
            <w:shd w:val="clear" w:color="auto" w:fill="FEFEFE"/>
          </w:tcPr>
          <w:p>
            <w:pPr>
              <w:spacing w:after="0"/>
              <w:rPr>
                <w:sz w:val="18"/>
                <w:szCs w:val="18"/>
                <w:color w:val="auto"/>
              </w:rPr>
            </w:pPr>
          </w:p>
        </w:tc>
        <w:tc>
          <w:tcPr>
            <w:tcW w:w="80" w:type="dxa"/>
            <w:vAlign w:val="bottom"/>
            <w:shd w:val="clear" w:color="auto" w:fill="FEFEFE"/>
          </w:tcPr>
          <w:p>
            <w:pPr>
              <w:spacing w:after="0"/>
              <w:rPr>
                <w:sz w:val="18"/>
                <w:szCs w:val="18"/>
                <w:color w:val="auto"/>
              </w:rPr>
            </w:pPr>
          </w:p>
        </w:tc>
        <w:tc>
          <w:tcPr>
            <w:tcW w:w="40" w:type="dxa"/>
            <w:vAlign w:val="bottom"/>
            <w:shd w:val="clear" w:color="auto" w:fill="FEFEFE"/>
          </w:tcPr>
          <w:p>
            <w:pPr>
              <w:spacing w:after="0"/>
              <w:rPr>
                <w:sz w:val="18"/>
                <w:szCs w:val="18"/>
                <w:color w:val="auto"/>
              </w:rPr>
            </w:pPr>
          </w:p>
        </w:tc>
        <w:tc>
          <w:tcPr>
            <w:tcW w:w="80" w:type="dxa"/>
            <w:vAlign w:val="bottom"/>
            <w:shd w:val="clear" w:color="auto" w:fill="FEFEFE"/>
          </w:tcPr>
          <w:p>
            <w:pPr>
              <w:spacing w:after="0"/>
              <w:rPr>
                <w:sz w:val="18"/>
                <w:szCs w:val="18"/>
                <w:color w:val="auto"/>
              </w:rPr>
            </w:pPr>
          </w:p>
        </w:tc>
        <w:tc>
          <w:tcPr>
            <w:tcW w:w="120" w:type="dxa"/>
            <w:vAlign w:val="bottom"/>
            <w:tcBorders>
              <w:top w:val="single" w:sz="8" w:color="auto"/>
            </w:tcBorders>
            <w:shd w:val="clear" w:color="auto" w:fill="FEFEFE"/>
          </w:tcPr>
          <w:p>
            <w:pPr>
              <w:spacing w:after="0"/>
              <w:rPr>
                <w:sz w:val="18"/>
                <w:szCs w:val="18"/>
                <w:color w:val="auto"/>
              </w:rPr>
            </w:pPr>
          </w:p>
        </w:tc>
        <w:tc>
          <w:tcPr>
            <w:tcW w:w="900" w:type="dxa"/>
            <w:vAlign w:val="bottom"/>
            <w:tcBorders>
              <w:top w:val="single" w:sz="8" w:color="auto"/>
            </w:tcBorders>
            <w:shd w:val="clear" w:color="auto" w:fill="FEFEFE"/>
          </w:tcPr>
          <w:p>
            <w:pPr>
              <w:spacing w:after="0"/>
              <w:rPr>
                <w:sz w:val="18"/>
                <w:szCs w:val="18"/>
                <w:color w:val="auto"/>
              </w:rPr>
            </w:pPr>
          </w:p>
        </w:tc>
        <w:tc>
          <w:tcPr>
            <w:tcW w:w="100" w:type="dxa"/>
            <w:vAlign w:val="bottom"/>
            <w:tcBorders>
              <w:top w:val="single" w:sz="8" w:color="auto"/>
            </w:tcBorders>
            <w:shd w:val="clear" w:color="auto" w:fill="FEFEFE"/>
          </w:tcPr>
          <w:p>
            <w:pPr>
              <w:spacing w:after="0"/>
              <w:rPr>
                <w:sz w:val="18"/>
                <w:szCs w:val="18"/>
                <w:color w:val="auto"/>
              </w:rPr>
            </w:pPr>
          </w:p>
        </w:tc>
        <w:tc>
          <w:tcPr>
            <w:tcW w:w="180" w:type="dxa"/>
            <w:vAlign w:val="bottom"/>
            <w:shd w:val="clear" w:color="auto" w:fill="FEFEFE"/>
          </w:tcPr>
          <w:p>
            <w:pPr>
              <w:spacing w:after="0"/>
              <w:rPr>
                <w:sz w:val="18"/>
                <w:szCs w:val="18"/>
                <w:color w:val="auto"/>
              </w:rPr>
            </w:pPr>
          </w:p>
        </w:tc>
        <w:tc>
          <w:tcPr>
            <w:tcW w:w="40" w:type="dxa"/>
            <w:vAlign w:val="bottom"/>
            <w:shd w:val="clear" w:color="auto" w:fill="FEFEFE"/>
          </w:tcPr>
          <w:p>
            <w:pPr>
              <w:spacing w:after="0"/>
              <w:rPr>
                <w:sz w:val="18"/>
                <w:szCs w:val="18"/>
                <w:color w:val="auto"/>
              </w:rPr>
            </w:pPr>
          </w:p>
        </w:tc>
        <w:tc>
          <w:tcPr>
            <w:tcW w:w="100" w:type="dxa"/>
            <w:vAlign w:val="bottom"/>
            <w:tcBorders>
              <w:top w:val="single" w:sz="8" w:color="auto"/>
            </w:tcBorders>
            <w:shd w:val="clear" w:color="auto" w:fill="FEFEFE"/>
          </w:tcPr>
          <w:p>
            <w:pPr>
              <w:spacing w:after="0"/>
              <w:rPr>
                <w:sz w:val="18"/>
                <w:szCs w:val="18"/>
                <w:color w:val="auto"/>
              </w:rPr>
            </w:pPr>
          </w:p>
        </w:tc>
        <w:tc>
          <w:tcPr>
            <w:tcW w:w="960" w:type="dxa"/>
            <w:vAlign w:val="bottom"/>
            <w:tcBorders>
              <w:top w:val="single" w:sz="8" w:color="auto"/>
            </w:tcBorders>
            <w:shd w:val="clear" w:color="auto" w:fill="FEFEFE"/>
          </w:tcPr>
          <w:p>
            <w:pPr>
              <w:spacing w:after="0"/>
              <w:rPr>
                <w:sz w:val="18"/>
                <w:szCs w:val="18"/>
                <w:color w:val="auto"/>
              </w:rPr>
            </w:pPr>
          </w:p>
        </w:tc>
        <w:tc>
          <w:tcPr>
            <w:tcW w:w="60" w:type="dxa"/>
            <w:vAlign w:val="bottom"/>
            <w:tcBorders>
              <w:top w:val="single" w:sz="8" w:color="auto"/>
            </w:tcBorders>
            <w:shd w:val="clear" w:color="auto" w:fill="FEFEFE"/>
          </w:tcPr>
          <w:p>
            <w:pPr>
              <w:spacing w:after="0"/>
              <w:rPr>
                <w:sz w:val="18"/>
                <w:szCs w:val="18"/>
                <w:color w:val="auto"/>
              </w:rPr>
            </w:pPr>
          </w:p>
        </w:tc>
        <w:tc>
          <w:tcPr>
            <w:tcW w:w="20" w:type="dxa"/>
            <w:vAlign w:val="bottom"/>
            <w:tcBorders>
              <w:top w:val="single" w:sz="8" w:color="auto"/>
            </w:tcBorders>
            <w:shd w:val="clear" w:color="auto" w:fill="FEFEFE"/>
          </w:tcPr>
          <w:p>
            <w:pPr>
              <w:spacing w:after="0"/>
              <w:rPr>
                <w:sz w:val="18"/>
                <w:szCs w:val="18"/>
                <w:color w:val="auto"/>
              </w:rPr>
            </w:pPr>
          </w:p>
        </w:tc>
        <w:tc>
          <w:tcPr>
            <w:tcW w:w="80" w:type="dxa"/>
            <w:vAlign w:val="bottom"/>
            <w:shd w:val="clear" w:color="auto" w:fill="FEFEFE"/>
          </w:tcPr>
          <w:p>
            <w:pPr>
              <w:spacing w:after="0"/>
              <w:rPr>
                <w:sz w:val="18"/>
                <w:szCs w:val="18"/>
                <w:color w:val="auto"/>
              </w:rPr>
            </w:pPr>
          </w:p>
        </w:tc>
        <w:tc>
          <w:tcPr>
            <w:tcW w:w="0" w:type="dxa"/>
            <w:vAlign w:val="bottom"/>
          </w:tcPr>
          <w:p>
            <w:pPr>
              <w:spacing w:after="0"/>
              <w:rPr>
                <w:sz w:val="1"/>
                <w:szCs w:val="1"/>
                <w:color w:val="auto"/>
              </w:rPr>
            </w:pPr>
          </w:p>
        </w:tc>
      </w:tr>
    </w:tbl>
    <w:p>
      <w:pPr>
        <w:spacing w:after="0"/>
        <w:tabs>
          <w:tab w:leader="none" w:pos="320"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7"/>
          <w:szCs w:val="17"/>
          <w:color w:val="auto"/>
        </w:rPr>
        <w:t>Includes other income/(expense) of $1.5 and $(0.8) million for the three months ended March 31, 2024 and 2023, respectively.</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80" w:type="dxa"/>
            <w:vAlign w:val="bottom"/>
          </w:tcPr>
          <w:p>
            <w:pPr>
              <w:spacing w:after="0"/>
              <w:rPr>
                <w:sz w:val="17"/>
                <w:szCs w:val="17"/>
                <w:color w:val="auto"/>
              </w:rPr>
            </w:pPr>
          </w:p>
        </w:tc>
        <w:tc>
          <w:tcPr>
            <w:tcW w:w="8100" w:type="dxa"/>
            <w:vAlign w:val="bottom"/>
            <w:shd w:val="clear" w:color="auto" w:fill="FEFEFE"/>
          </w:tcPr>
          <w:p>
            <w:pPr>
              <w:spacing w:after="0"/>
              <w:rPr>
                <w:sz w:val="17"/>
                <w:szCs w:val="17"/>
                <w:color w:val="auto"/>
              </w:rPr>
            </w:pPr>
          </w:p>
        </w:tc>
        <w:tc>
          <w:tcPr>
            <w:tcW w:w="120" w:type="dxa"/>
            <w:vAlign w:val="bottom"/>
            <w:shd w:val="clear" w:color="auto" w:fill="FEFEFE"/>
          </w:tcPr>
          <w:p>
            <w:pPr>
              <w:spacing w:after="0"/>
              <w:rPr>
                <w:sz w:val="17"/>
                <w:szCs w:val="17"/>
                <w:color w:val="auto"/>
              </w:rPr>
            </w:pPr>
          </w:p>
        </w:tc>
        <w:tc>
          <w:tcPr>
            <w:tcW w:w="1000" w:type="dxa"/>
            <w:vAlign w:val="bottom"/>
            <w:shd w:val="clear" w:color="auto" w:fill="FEFEFE"/>
          </w:tcPr>
          <w:p>
            <w:pPr>
              <w:spacing w:after="0"/>
              <w:rPr>
                <w:sz w:val="17"/>
                <w:szCs w:val="17"/>
                <w:color w:val="auto"/>
              </w:rPr>
            </w:pPr>
          </w:p>
        </w:tc>
        <w:tc>
          <w:tcPr>
            <w:tcW w:w="220" w:type="dxa"/>
            <w:vAlign w:val="bottom"/>
            <w:shd w:val="clear" w:color="auto" w:fill="FEFEFE"/>
          </w:tcPr>
          <w:p>
            <w:pPr>
              <w:spacing w:after="0"/>
              <w:rPr>
                <w:sz w:val="17"/>
                <w:szCs w:val="17"/>
                <w:color w:val="auto"/>
              </w:rPr>
            </w:pPr>
          </w:p>
        </w:tc>
        <w:tc>
          <w:tcPr>
            <w:tcW w:w="1120" w:type="dxa"/>
            <w:vAlign w:val="bottom"/>
            <w:shd w:val="clear" w:color="auto" w:fill="FEFEFE"/>
          </w:tcPr>
          <w:p>
            <w:pPr>
              <w:spacing w:after="0"/>
              <w:rPr>
                <w:sz w:val="17"/>
                <w:szCs w:val="17"/>
                <w:color w:val="auto"/>
              </w:rPr>
            </w:pPr>
          </w:p>
        </w:tc>
        <w:tc>
          <w:tcPr>
            <w:tcW w:w="100" w:type="dxa"/>
            <w:vAlign w:val="bottom"/>
            <w:shd w:val="clear" w:color="auto" w:fill="FEFEFE"/>
          </w:tcPr>
          <w:p>
            <w:pPr>
              <w:spacing w:after="0"/>
              <w:rPr>
                <w:sz w:val="17"/>
                <w:szCs w:val="17"/>
                <w:color w:val="auto"/>
              </w:rPr>
            </w:pPr>
          </w:p>
        </w:tc>
      </w:tr>
      <w:tr>
        <w:trPr>
          <w:trHeight w:val="238"/>
        </w:trPr>
        <w:tc>
          <w:tcPr>
            <w:tcW w:w="8680" w:type="dxa"/>
            <w:vAlign w:val="bottom"/>
            <w:gridSpan w:val="2"/>
            <w:shd w:val="clear" w:color="auto" w:fill="FEFEFE"/>
          </w:tcPr>
          <w:p>
            <w:pPr>
              <w:spacing w:after="0"/>
              <w:rPr>
                <w:sz w:val="20"/>
                <w:szCs w:val="20"/>
                <w:color w:val="auto"/>
              </w:rPr>
            </w:pPr>
            <w:r>
              <w:rPr>
                <w:rFonts w:ascii="Times New Roman" w:cs="Times New Roman" w:eastAsia="Times New Roman" w:hAnsi="Times New Roman"/>
                <w:sz w:val="18"/>
                <w:szCs w:val="18"/>
                <w:b w:val="1"/>
                <w:bCs w:val="1"/>
                <w:color w:val="auto"/>
              </w:rPr>
              <w:t>First Quarter Reconciliation of GAAP Net Loss to Non-GAAP Net Loss and Non-GAAP Net Loss Per Share</w:t>
            </w:r>
          </w:p>
        </w:tc>
        <w:tc>
          <w:tcPr>
            <w:tcW w:w="120" w:type="dxa"/>
            <w:vAlign w:val="bottom"/>
            <w:shd w:val="clear" w:color="auto" w:fill="FEFEFE"/>
          </w:tcPr>
          <w:p>
            <w:pPr>
              <w:spacing w:after="0"/>
              <w:rPr>
                <w:sz w:val="20"/>
                <w:szCs w:val="20"/>
                <w:color w:val="auto"/>
              </w:rPr>
            </w:pPr>
          </w:p>
        </w:tc>
        <w:tc>
          <w:tcPr>
            <w:tcW w:w="1000" w:type="dxa"/>
            <w:vAlign w:val="bottom"/>
            <w:shd w:val="clear" w:color="auto" w:fill="FEFEFE"/>
          </w:tcPr>
          <w:p>
            <w:pPr>
              <w:spacing w:after="0"/>
              <w:rPr>
                <w:sz w:val="20"/>
                <w:szCs w:val="20"/>
                <w:color w:val="auto"/>
              </w:rPr>
            </w:pPr>
          </w:p>
        </w:tc>
        <w:tc>
          <w:tcPr>
            <w:tcW w:w="220" w:type="dxa"/>
            <w:vAlign w:val="bottom"/>
            <w:shd w:val="clear" w:color="auto" w:fill="FEFEFE"/>
          </w:tcPr>
          <w:p>
            <w:pPr>
              <w:spacing w:after="0"/>
              <w:rPr>
                <w:sz w:val="20"/>
                <w:szCs w:val="20"/>
                <w:color w:val="auto"/>
              </w:rPr>
            </w:pPr>
          </w:p>
        </w:tc>
        <w:tc>
          <w:tcPr>
            <w:tcW w:w="1120" w:type="dxa"/>
            <w:vAlign w:val="bottom"/>
            <w:shd w:val="clear" w:color="auto" w:fill="FEFEFE"/>
          </w:tcPr>
          <w:p>
            <w:pPr>
              <w:spacing w:after="0"/>
              <w:rPr>
                <w:sz w:val="20"/>
                <w:szCs w:val="20"/>
                <w:color w:val="auto"/>
              </w:rPr>
            </w:pPr>
          </w:p>
        </w:tc>
        <w:tc>
          <w:tcPr>
            <w:tcW w:w="100" w:type="dxa"/>
            <w:vAlign w:val="bottom"/>
            <w:shd w:val="clear" w:color="auto" w:fill="FEFEFE"/>
          </w:tcPr>
          <w:p>
            <w:pPr>
              <w:spacing w:after="0"/>
              <w:rPr>
                <w:sz w:val="20"/>
                <w:szCs w:val="20"/>
                <w:color w:val="auto"/>
              </w:rPr>
            </w:pPr>
          </w:p>
        </w:tc>
      </w:tr>
      <w:tr>
        <w:trPr>
          <w:trHeight w:val="194"/>
        </w:trPr>
        <w:tc>
          <w:tcPr>
            <w:tcW w:w="8680" w:type="dxa"/>
            <w:vAlign w:val="bottom"/>
            <w:gridSpan w:val="2"/>
            <w:shd w:val="clear" w:color="auto" w:fill="FEFEFE"/>
          </w:tcPr>
          <w:p>
            <w:pPr>
              <w:spacing w:after="0"/>
              <w:rPr>
                <w:sz w:val="16"/>
                <w:szCs w:val="16"/>
                <w:color w:val="auto"/>
              </w:rPr>
            </w:pPr>
          </w:p>
        </w:tc>
        <w:tc>
          <w:tcPr>
            <w:tcW w:w="120" w:type="dxa"/>
            <w:vAlign w:val="bottom"/>
            <w:shd w:val="clear" w:color="auto" w:fill="FEFEFE"/>
          </w:tcPr>
          <w:p>
            <w:pPr>
              <w:spacing w:after="0"/>
              <w:rPr>
                <w:sz w:val="16"/>
                <w:szCs w:val="16"/>
                <w:color w:val="auto"/>
              </w:rPr>
            </w:pPr>
          </w:p>
        </w:tc>
        <w:tc>
          <w:tcPr>
            <w:tcW w:w="1000" w:type="dxa"/>
            <w:vAlign w:val="bottom"/>
            <w:shd w:val="clear" w:color="auto" w:fill="FEFEFE"/>
          </w:tcPr>
          <w:p>
            <w:pPr>
              <w:spacing w:after="0"/>
              <w:rPr>
                <w:sz w:val="16"/>
                <w:szCs w:val="16"/>
                <w:color w:val="auto"/>
              </w:rPr>
            </w:pPr>
          </w:p>
        </w:tc>
        <w:tc>
          <w:tcPr>
            <w:tcW w:w="220" w:type="dxa"/>
            <w:vAlign w:val="bottom"/>
            <w:shd w:val="clear" w:color="auto" w:fill="FEFEFE"/>
          </w:tcPr>
          <w:p>
            <w:pPr>
              <w:spacing w:after="0"/>
              <w:rPr>
                <w:sz w:val="16"/>
                <w:szCs w:val="16"/>
                <w:color w:val="auto"/>
              </w:rPr>
            </w:pPr>
          </w:p>
        </w:tc>
        <w:tc>
          <w:tcPr>
            <w:tcW w:w="1120" w:type="dxa"/>
            <w:vAlign w:val="bottom"/>
            <w:shd w:val="clear" w:color="auto" w:fill="FEFEFE"/>
          </w:tcPr>
          <w:p>
            <w:pPr>
              <w:spacing w:after="0"/>
              <w:rPr>
                <w:sz w:val="16"/>
                <w:szCs w:val="16"/>
                <w:color w:val="auto"/>
              </w:rPr>
            </w:pPr>
          </w:p>
        </w:tc>
        <w:tc>
          <w:tcPr>
            <w:tcW w:w="100" w:type="dxa"/>
            <w:vAlign w:val="bottom"/>
            <w:shd w:val="clear" w:color="auto" w:fill="FEFEFE"/>
          </w:tcPr>
          <w:p>
            <w:pPr>
              <w:spacing w:after="0"/>
              <w:rPr>
                <w:sz w:val="16"/>
                <w:szCs w:val="16"/>
                <w:color w:val="auto"/>
              </w:rPr>
            </w:pPr>
          </w:p>
        </w:tc>
      </w:tr>
      <w:tr>
        <w:trPr>
          <w:trHeight w:val="194"/>
        </w:trPr>
        <w:tc>
          <w:tcPr>
            <w:tcW w:w="868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Three Months Ended</w:t>
            </w:r>
          </w:p>
        </w:tc>
        <w:tc>
          <w:tcPr>
            <w:tcW w:w="120" w:type="dxa"/>
            <w:vAlign w:val="bottom"/>
          </w:tcPr>
          <w:p>
            <w:pPr>
              <w:spacing w:after="0"/>
              <w:rPr>
                <w:sz w:val="16"/>
                <w:szCs w:val="16"/>
                <w:color w:val="auto"/>
              </w:rPr>
            </w:pPr>
          </w:p>
        </w:tc>
        <w:tc>
          <w:tcPr>
            <w:tcW w:w="1220" w:type="dxa"/>
            <w:vAlign w:val="bottom"/>
            <w:gridSpan w:val="2"/>
          </w:tcPr>
          <w:p>
            <w:pPr>
              <w:jc w:val="right"/>
              <w:ind w:right="301"/>
              <w:spacing w:after="0" w:line="194"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gridSpan w:val="2"/>
          </w:tcPr>
          <w:p>
            <w:pPr>
              <w:jc w:val="right"/>
              <w:ind w:right="181"/>
              <w:spacing w:after="0" w:line="194" w:lineRule="exact"/>
              <w:rPr>
                <w:sz w:val="20"/>
                <w:szCs w:val="20"/>
                <w:color w:val="auto"/>
              </w:rPr>
            </w:pPr>
            <w:r>
              <w:rPr>
                <w:rFonts w:ascii="Times New Roman" w:cs="Times New Roman" w:eastAsia="Times New Roman" w:hAnsi="Times New Roman"/>
                <w:sz w:val="18"/>
                <w:szCs w:val="18"/>
                <w:b w:val="1"/>
                <w:bCs w:val="1"/>
                <w:color w:val="auto"/>
              </w:rPr>
              <w:t>March 31,</w:t>
            </w:r>
          </w:p>
        </w:tc>
      </w:tr>
      <w:tr>
        <w:trPr>
          <w:trHeight w:val="245"/>
        </w:trPr>
        <w:tc>
          <w:tcPr>
            <w:tcW w:w="86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(thousands)</w:t>
            </w: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1"/>
                <w:szCs w:val="2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GAAP net loss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(33,009)</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(27,430)</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Adjustments: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1,471</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708</w:t>
            </w: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6,979</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5,996</w:t>
            </w: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Restructuring</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3,585</w:t>
            </w: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Change in fair value of contingent acquisition liabilities</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4,162</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Acquisition-related expenses</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513</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8680" w:type="dxa"/>
            <w:vAlign w:val="bottom"/>
            <w:tcBorders>
              <w:top w:val="single" w:sz="8" w:color="CCEEFF"/>
              <w:bottom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Non-GAAP net loss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(19,884</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(17,141</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77"/>
        </w:trPr>
        <w:tc>
          <w:tcPr>
            <w:tcW w:w="86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b w:val="1"/>
                <w:bCs w:val="1"/>
                <w:color w:val="auto"/>
              </w:rPr>
              <w:t>GAAP net loss per share</w:t>
            </w:r>
            <w:r>
              <w:rPr>
                <w:rFonts w:ascii="Times New Roman" w:cs="Times New Roman" w:eastAsia="Times New Roman" w:hAnsi="Times New Roman"/>
                <w:sz w:val="29"/>
                <w:szCs w:val="29"/>
                <w:b w:val="1"/>
                <w:bCs w:val="1"/>
                <w:color w:val="auto"/>
                <w:vertAlign w:val="superscript"/>
              </w:rPr>
              <w:t>1</w:t>
            </w:r>
          </w:p>
        </w:tc>
        <w:tc>
          <w:tcPr>
            <w:tcW w:w="12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(0.12)</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w:t>
            </w:r>
          </w:p>
        </w:tc>
      </w:tr>
      <w:tr>
        <w:trPr>
          <w:trHeight w:val="210"/>
        </w:trPr>
        <w:tc>
          <w:tcPr>
            <w:tcW w:w="8680" w:type="dxa"/>
            <w:vAlign w:val="bottom"/>
            <w:tcBorders>
              <w:top w:val="single" w:sz="8" w:color="CCEEFF"/>
              <w:bottom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color w:val="auto"/>
              </w:rPr>
              <w:t>Adjustments</w:t>
            </w: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0.05</w:t>
            </w:r>
          </w:p>
        </w:tc>
        <w:tc>
          <w:tcPr>
            <w:tcW w:w="22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0.06</w:t>
            </w:r>
          </w:p>
        </w:tc>
        <w:tc>
          <w:tcPr>
            <w:tcW w:w="100" w:type="dxa"/>
            <w:vAlign w:val="bottom"/>
            <w:tcBorders>
              <w:top w:val="single" w:sz="8" w:color="CCEEFF"/>
              <w:bottom w:val="single" w:sz="8" w:color="CCEEFF"/>
            </w:tcBorders>
          </w:tcPr>
          <w:p>
            <w:pPr>
              <w:spacing w:after="0"/>
              <w:rPr>
                <w:sz w:val="18"/>
                <w:szCs w:val="18"/>
                <w:color w:val="auto"/>
              </w:rPr>
            </w:pPr>
          </w:p>
        </w:tc>
      </w:tr>
      <w:tr>
        <w:trPr>
          <w:trHeight w:val="264"/>
        </w:trPr>
        <w:tc>
          <w:tcPr>
            <w:tcW w:w="86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b w:val="1"/>
                <w:bCs w:val="1"/>
                <w:color w:val="auto"/>
              </w:rPr>
              <w:t>Non-GAAP Net loss per share</w:t>
            </w:r>
            <w:r>
              <w:rPr>
                <w:rFonts w:ascii="Times New Roman" w:cs="Times New Roman" w:eastAsia="Times New Roman" w:hAnsi="Times New Roman"/>
                <w:sz w:val="29"/>
                <w:szCs w:val="29"/>
                <w:b w:val="1"/>
                <w:bCs w:val="1"/>
                <w:color w:val="auto"/>
                <w:vertAlign w:val="superscript"/>
              </w:rPr>
              <w:t>1</w:t>
            </w:r>
          </w:p>
        </w:tc>
        <w:tc>
          <w:tcPr>
            <w:tcW w:w="12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(0.07)</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r>
      <w:tr>
        <w:trPr>
          <w:trHeight w:val="216"/>
        </w:trPr>
        <w:tc>
          <w:tcPr>
            <w:tcW w:w="580" w:type="dxa"/>
            <w:vAlign w:val="bottom"/>
            <w:tcBorders>
              <w:top w:val="single" w:sz="8" w:color="CCEEFF"/>
            </w:tcBorders>
            <w:shd w:val="clear" w:color="auto" w:fill="FEFEFE"/>
          </w:tcPr>
          <w:p>
            <w:pPr>
              <w:spacing w:after="0"/>
              <w:rPr>
                <w:sz w:val="18"/>
                <w:szCs w:val="18"/>
                <w:color w:val="auto"/>
              </w:rPr>
            </w:pPr>
          </w:p>
        </w:tc>
        <w:tc>
          <w:tcPr>
            <w:tcW w:w="8100" w:type="dxa"/>
            <w:vAlign w:val="bottom"/>
            <w:tcBorders>
              <w:top w:val="single" w:sz="8" w:color="CCEEFF"/>
            </w:tcBorders>
            <w:shd w:val="clear" w:color="auto" w:fill="FEFEFE"/>
          </w:tcPr>
          <w:p>
            <w:pPr>
              <w:spacing w:after="0"/>
              <w:rPr>
                <w:sz w:val="18"/>
                <w:szCs w:val="18"/>
                <w:color w:val="auto"/>
              </w:rPr>
            </w:pPr>
          </w:p>
        </w:tc>
        <w:tc>
          <w:tcPr>
            <w:tcW w:w="120" w:type="dxa"/>
            <w:vAlign w:val="bottom"/>
            <w:tcBorders>
              <w:top w:val="single" w:sz="8" w:color="auto"/>
            </w:tcBorders>
            <w:shd w:val="clear" w:color="auto" w:fill="FEFEFE"/>
          </w:tcPr>
          <w:p>
            <w:pPr>
              <w:spacing w:after="0"/>
              <w:rPr>
                <w:sz w:val="18"/>
                <w:szCs w:val="18"/>
                <w:color w:val="auto"/>
              </w:rPr>
            </w:pPr>
          </w:p>
        </w:tc>
        <w:tc>
          <w:tcPr>
            <w:tcW w:w="1000" w:type="dxa"/>
            <w:vAlign w:val="bottom"/>
            <w:tcBorders>
              <w:top w:val="single" w:sz="8" w:color="auto"/>
            </w:tcBorders>
            <w:shd w:val="clear" w:color="auto" w:fill="FEFEFE"/>
          </w:tcPr>
          <w:p>
            <w:pPr>
              <w:spacing w:after="0"/>
              <w:rPr>
                <w:sz w:val="18"/>
                <w:szCs w:val="18"/>
                <w:color w:val="auto"/>
              </w:rPr>
            </w:pPr>
          </w:p>
        </w:tc>
        <w:tc>
          <w:tcPr>
            <w:tcW w:w="220" w:type="dxa"/>
            <w:vAlign w:val="bottom"/>
            <w:tcBorders>
              <w:top w:val="single" w:sz="8" w:color="CCEEFF"/>
            </w:tcBorders>
            <w:shd w:val="clear" w:color="auto" w:fill="FEFEFE"/>
          </w:tcPr>
          <w:p>
            <w:pPr>
              <w:spacing w:after="0"/>
              <w:rPr>
                <w:sz w:val="18"/>
                <w:szCs w:val="18"/>
                <w:color w:val="auto"/>
              </w:rPr>
            </w:pPr>
          </w:p>
        </w:tc>
        <w:tc>
          <w:tcPr>
            <w:tcW w:w="1120" w:type="dxa"/>
            <w:vAlign w:val="bottom"/>
            <w:tcBorders>
              <w:top w:val="single" w:sz="8" w:color="auto"/>
            </w:tcBorders>
            <w:shd w:val="clear" w:color="auto" w:fill="FEFEFE"/>
          </w:tcPr>
          <w:p>
            <w:pPr>
              <w:spacing w:after="0"/>
              <w:rPr>
                <w:sz w:val="18"/>
                <w:szCs w:val="18"/>
                <w:color w:val="auto"/>
              </w:rPr>
            </w:pPr>
          </w:p>
        </w:tc>
        <w:tc>
          <w:tcPr>
            <w:tcW w:w="100" w:type="dxa"/>
            <w:vAlign w:val="bottom"/>
            <w:tcBorders>
              <w:top w:val="single" w:sz="8" w:color="CCEEFF"/>
            </w:tcBorders>
            <w:shd w:val="clear" w:color="auto" w:fill="FEFEFE"/>
          </w:tcPr>
          <w:p>
            <w:pPr>
              <w:spacing w:after="0"/>
              <w:rPr>
                <w:sz w:val="18"/>
                <w:szCs w:val="18"/>
                <w:color w:val="auto"/>
              </w:rPr>
            </w:pPr>
          </w:p>
        </w:tc>
      </w:tr>
    </w:tbl>
    <w:p>
      <w:pPr>
        <w:ind w:left="340" w:hanging="332"/>
        <w:spacing w:after="0" w:line="260"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Weighted average common shares outstanding (basic and diluted) for the three months ended March 31, 2024 and March 31, 2023 were 286,596,559 and 205,082,328,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1323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Scott Smith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408-724-1498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IR@SoundHound.com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Fiona McEvoy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415-610-6590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PR@SoundHound.com</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tc>
        <w:tc>
          <w:tcPr>
            <w:tcW w:w="0" w:type="dxa"/>
            <w:vAlign w:val="bottom"/>
          </w:tcPr>
          <w:p>
            <w:pPr>
              <w:spacing w:after="0"/>
              <w:rPr>
                <w:sz w:val="1"/>
                <w:szCs w:val="1"/>
                <w:color w:val="auto"/>
              </w:rPr>
            </w:pPr>
          </w:p>
        </w:tc>
      </w:tr>
      <w:tr>
        <w:trPr>
          <w:trHeight w:val="410"/>
        </w:trPr>
        <w:tc>
          <w:tcPr>
            <w:tcW w:w="8680" w:type="dxa"/>
            <w:vAlign w:val="bottom"/>
          </w:tcPr>
          <w:p>
            <w:pPr>
              <w:jc w:val="center"/>
              <w:ind w:left="2470"/>
              <w:spacing w:after="0"/>
              <w:rPr>
                <w:sz w:val="20"/>
                <w:szCs w:val="20"/>
                <w:color w:val="auto"/>
              </w:rPr>
            </w:pPr>
            <w:r>
              <w:rPr>
                <w:rFonts w:ascii="Times New Roman" w:cs="Times New Roman" w:eastAsia="Times New Roman" w:hAnsi="Times New Roman"/>
                <w:sz w:val="18"/>
                <w:szCs w:val="18"/>
                <w:b w:val="1"/>
                <w:bCs w:val="1"/>
                <w:color w:val="auto"/>
                <w:w w:val="99"/>
              </w:rPr>
              <w:t>SOUNDHOUND AI, INC.</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80" w:type="dxa"/>
            <w:vAlign w:val="bottom"/>
          </w:tcPr>
          <w:p>
            <w:pPr>
              <w:jc w:val="center"/>
              <w:ind w:left="2470"/>
              <w:spacing w:after="0"/>
              <w:rPr>
                <w:sz w:val="20"/>
                <w:szCs w:val="20"/>
                <w:color w:val="auto"/>
              </w:rPr>
            </w:pPr>
            <w:r>
              <w:rPr>
                <w:rFonts w:ascii="Times New Roman" w:cs="Times New Roman" w:eastAsia="Times New Roman" w:hAnsi="Times New Roman"/>
                <w:sz w:val="18"/>
                <w:szCs w:val="18"/>
                <w:b w:val="1"/>
                <w:bCs w:val="1"/>
                <w:color w:val="auto"/>
                <w:w w:val="99"/>
              </w:rPr>
              <w:t>CONDENSED CONSOLIDATED BALANCE SHEETS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8680" w:type="dxa"/>
            <w:vAlign w:val="bottom"/>
          </w:tcPr>
          <w:p>
            <w:pPr>
              <w:jc w:val="center"/>
              <w:ind w:left="2490"/>
              <w:spacing w:after="0"/>
              <w:rPr>
                <w:sz w:val="20"/>
                <w:szCs w:val="20"/>
                <w:color w:val="auto"/>
              </w:rPr>
            </w:pPr>
            <w:r>
              <w:rPr>
                <w:rFonts w:ascii="Times New Roman" w:cs="Times New Roman" w:eastAsia="Times New Roman" w:hAnsi="Times New Roman"/>
                <w:sz w:val="18"/>
                <w:szCs w:val="18"/>
                <w:b w:val="1"/>
                <w:bCs w:val="1"/>
                <w:i w:val="1"/>
                <w:iCs w:val="1"/>
                <w:color w:val="auto"/>
                <w:w w:val="99"/>
              </w:rPr>
              <w:t>(In thousands, except share and per share data)</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8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8680" w:type="dxa"/>
            <w:vAlign w:val="bottom"/>
            <w:vMerge w:val="restart"/>
          </w:tcPr>
          <w:p>
            <w:pPr>
              <w:ind w:left="39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tcPr>
          <w:p>
            <w:pPr>
              <w:spacing w:after="0"/>
              <w:rPr>
                <w:sz w:val="20"/>
                <w:szCs w:val="20"/>
                <w:color w:val="auto"/>
              </w:rPr>
            </w:pPr>
          </w:p>
        </w:tc>
        <w:tc>
          <w:tcPr>
            <w:tcW w:w="10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8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211,744</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95,260</w:t>
            </w:r>
          </w:p>
        </w:tc>
        <w:tc>
          <w:tcPr>
            <w:tcW w:w="0" w:type="dxa"/>
            <w:vAlign w:val="bottom"/>
          </w:tcPr>
          <w:p>
            <w:pPr>
              <w:spacing w:after="0"/>
              <w:rPr>
                <w:sz w:val="1"/>
                <w:szCs w:val="1"/>
                <w:color w:val="auto"/>
              </w:rPr>
            </w:pPr>
          </w:p>
        </w:tc>
      </w:tr>
      <w:tr>
        <w:trPr>
          <w:trHeight w:val="198"/>
        </w:trPr>
        <w:tc>
          <w:tcPr>
            <w:tcW w:w="86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Accounts receivable, net of allowances of $234 and $203 as of March 31, 2024 and December 31, 2023,</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respectively</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6,849</w:t>
            </w:r>
          </w:p>
        </w:tc>
        <w:tc>
          <w:tcPr>
            <w:tcW w:w="20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4,050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86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Contract assets and unbilled receivable, net of allowance for credit losses of $101 and $17 of March 31, 2024 and</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December 31, 2023, respectively</w:t>
            </w: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12,104</w:t>
            </w:r>
          </w:p>
        </w:tc>
        <w:tc>
          <w:tcPr>
            <w:tcW w:w="2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11,780</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3,340</w:t>
            </w:r>
          </w:p>
        </w:tc>
        <w:tc>
          <w:tcPr>
            <w:tcW w:w="20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2,452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234,037</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113,542</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 equivalents, non-current</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14,356</w:t>
            </w:r>
          </w:p>
        </w:tc>
        <w:tc>
          <w:tcPr>
            <w:tcW w:w="200" w:type="dxa"/>
            <w:vAlign w:val="bottom"/>
          </w:tcPr>
          <w:p>
            <w:pPr>
              <w:spacing w:after="0"/>
              <w:rPr>
                <w:sz w:val="18"/>
                <w:szCs w:val="18"/>
                <w:color w:val="auto"/>
              </w:rPr>
            </w:pP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13,775</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4,546</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5,210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1,348</w:t>
            </w:r>
          </w:p>
        </w:tc>
        <w:tc>
          <w:tcPr>
            <w:tcW w:w="2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1,515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5,760</w:t>
            </w:r>
          </w:p>
        </w:tc>
        <w:tc>
          <w:tcPr>
            <w:tcW w:w="2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11,580</w:t>
            </w:r>
          </w:p>
        </w:tc>
        <w:tc>
          <w:tcPr>
            <w:tcW w:w="200" w:type="dxa"/>
            <w:vAlign w:val="bottom"/>
          </w:tcPr>
          <w:p>
            <w:pPr>
              <w:spacing w:after="0"/>
              <w:rPr>
                <w:sz w:val="18"/>
                <w:szCs w:val="18"/>
                <w:color w:val="auto"/>
              </w:rPr>
            </w:pP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Contract assets and unbilled receivable, non-current, net of allowance for credit losses of $176 and $177 of March 31,</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2024 and December 31, 2023, respectively</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15,106</w:t>
            </w:r>
          </w:p>
        </w:tc>
        <w:tc>
          <w:tcPr>
            <w:tcW w:w="200" w:type="dxa"/>
            <w:vAlign w:val="bottom"/>
          </w:tcPr>
          <w:p>
            <w:pPr>
              <w:spacing w:after="0"/>
              <w:rPr>
                <w:sz w:val="20"/>
                <w:szCs w:val="20"/>
                <w:color w:val="auto"/>
              </w:rPr>
            </w:pP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16,492</w:t>
            </w: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686</w:t>
            </w:r>
          </w:p>
        </w:tc>
        <w:tc>
          <w:tcPr>
            <w:tcW w:w="20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577</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8680" w:type="dxa"/>
            <w:vAlign w:val="bottom"/>
            <w:vMerge w:val="continue"/>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287,429</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151,122</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234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2,997</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1,653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liabilities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15,341</w:t>
            </w:r>
          </w:p>
        </w:tc>
        <w:tc>
          <w:tcPr>
            <w:tcW w:w="2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13,884</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2,791</w:t>
            </w:r>
          </w:p>
        </w:tc>
        <w:tc>
          <w:tcPr>
            <w:tcW w:w="2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2,637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93</w:t>
            </w:r>
          </w:p>
        </w:tc>
        <w:tc>
          <w:tcPr>
            <w:tcW w:w="2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 liability</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1,630</w:t>
            </w:r>
          </w:p>
        </w:tc>
        <w:tc>
          <w:tcPr>
            <w:tcW w:w="2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1,618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3,631</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4,310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26,483</w:t>
            </w:r>
          </w:p>
        </w:tc>
        <w:tc>
          <w:tcPr>
            <w:tcW w:w="200" w:type="dxa"/>
            <w:vAlign w:val="bottom"/>
          </w:tcPr>
          <w:p>
            <w:pPr>
              <w:spacing w:after="0"/>
              <w:rPr>
                <w:sz w:val="18"/>
                <w:szCs w:val="18"/>
                <w:color w:val="auto"/>
              </w:rPr>
            </w:pP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24,223</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2,065</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3,089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 net of current portion</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4,087</w:t>
            </w:r>
          </w:p>
        </w:tc>
        <w:tc>
          <w:tcPr>
            <w:tcW w:w="2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4,910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85,543</w:t>
            </w:r>
          </w:p>
        </w:tc>
        <w:tc>
          <w:tcPr>
            <w:tcW w:w="2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84,312</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Contingent acquisition liabilities (Note 17)</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6,819</w:t>
            </w:r>
          </w:p>
        </w:tc>
        <w:tc>
          <w:tcPr>
            <w:tcW w:w="200" w:type="dxa"/>
            <w:vAlign w:val="bottom"/>
          </w:tcPr>
          <w:p>
            <w:pPr>
              <w:spacing w:after="0"/>
              <w:rPr>
                <w:sz w:val="18"/>
                <w:szCs w:val="18"/>
                <w:color w:val="auto"/>
              </w:rPr>
            </w:pP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liability, net of current portion</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2,315</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2,453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4,638</w:t>
            </w:r>
          </w:p>
        </w:tc>
        <w:tc>
          <w:tcPr>
            <w:tcW w:w="20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3,967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131,950</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122,954</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Commitments and contingencies (Note 7)</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6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Series A Preferred Stock, $0.0001 par value; 1,000,000 shares authorized; 70,241 and 475,005 shares issued and</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outstanding, aggregate liquidation preference of $2,481 and $16,227 as of March 31, 2024 and December 31,</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2023, respectively</w:t>
            </w: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2,097</w:t>
            </w:r>
          </w:p>
        </w:tc>
        <w:tc>
          <w:tcPr>
            <w:tcW w:w="200" w:type="dxa"/>
            <w:vAlign w:val="bottom"/>
            <w:shd w:val="clear" w:color="auto" w:fill="CCEEFF"/>
          </w:tcPr>
          <w:p>
            <w:pPr>
              <w:spacing w:after="0"/>
              <w:rPr>
                <w:sz w:val="20"/>
                <w:szCs w:val="20"/>
                <w:color w:val="auto"/>
              </w:rPr>
            </w:pPr>
          </w:p>
        </w:tc>
        <w:tc>
          <w:tcPr>
            <w:tcW w:w="1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14,187</w:t>
            </w:r>
          </w:p>
        </w:tc>
        <w:tc>
          <w:tcPr>
            <w:tcW w:w="0" w:type="dxa"/>
            <w:vAlign w:val="bottom"/>
          </w:tcPr>
          <w:p>
            <w:pPr>
              <w:spacing w:after="0"/>
              <w:rPr>
                <w:sz w:val="1"/>
                <w:szCs w:val="1"/>
                <w:color w:val="auto"/>
              </w:rPr>
            </w:pPr>
          </w:p>
        </w:tc>
      </w:tr>
      <w:tr>
        <w:trPr>
          <w:trHeight w:val="198"/>
        </w:trPr>
        <w:tc>
          <w:tcPr>
            <w:tcW w:w="86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Class A Common Stock, $0.0001 par value; 455,000,000 shares authorized; 288,822,818 and 216,943,349 shares</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issued and outstanding as of March 31, 2024 and December 31, 2023, respectively</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w:t>
            </w:r>
          </w:p>
        </w:tc>
        <w:tc>
          <w:tcPr>
            <w:tcW w:w="20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86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Class B Common Stock, $0.0001 par value; 44,000,000 shares authorized; 32,735,408 and 37,485,408 shares issued</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and outstanding as of March 31, 2024 and December 31, 2023, respectively</w:t>
            </w: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shd w:val="clear" w:color="auto" w:fill="CCEEFF"/>
          </w:tcPr>
          <w:p>
            <w:pPr>
              <w:spacing w:after="0"/>
              <w:rPr>
                <w:sz w:val="20"/>
                <w:szCs w:val="20"/>
                <w:color w:val="auto"/>
              </w:rPr>
            </w:pPr>
          </w:p>
        </w:tc>
        <w:tc>
          <w:tcPr>
            <w:tcW w:w="1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778,503</w:t>
            </w:r>
          </w:p>
        </w:tc>
        <w:tc>
          <w:tcPr>
            <w:tcW w:w="2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606,135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(625,388)</w:t>
            </w:r>
          </w:p>
        </w:tc>
        <w:tc>
          <w:tcPr>
            <w:tcW w:w="2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(592,379)</w:t>
            </w:r>
          </w:p>
        </w:tc>
        <w:tc>
          <w:tcPr>
            <w:tcW w:w="0" w:type="dxa"/>
            <w:vAlign w:val="bottom"/>
          </w:tcPr>
          <w:p>
            <w:pPr>
              <w:spacing w:after="0"/>
              <w:rPr>
                <w:sz w:val="1"/>
                <w:szCs w:val="1"/>
                <w:color w:val="auto"/>
              </w:rPr>
            </w:pPr>
          </w:p>
        </w:tc>
      </w:tr>
      <w:tr>
        <w:trPr>
          <w:trHeight w:val="23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235</w:t>
            </w:r>
          </w:p>
        </w:tc>
        <w:tc>
          <w:tcPr>
            <w:tcW w:w="200" w:type="dxa"/>
            <w:vAlign w:val="bottom"/>
          </w:tcPr>
          <w:p>
            <w:pPr>
              <w:spacing w:after="0"/>
              <w:rPr>
                <w:sz w:val="20"/>
                <w:szCs w:val="20"/>
                <w:color w:val="auto"/>
              </w:rPr>
            </w:pP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199</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155,479</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28,168</w:t>
            </w:r>
          </w:p>
        </w:tc>
        <w:tc>
          <w:tcPr>
            <w:tcW w:w="100" w:type="dxa"/>
            <w:vAlign w:val="bottom"/>
            <w:tcBorders>
              <w:top w:val="single" w:sz="8" w:color="CCEEFF"/>
              <w:bottom w:val="single" w:sz="8" w:color="CCEEFF"/>
            </w:tcBorders>
            <w:gridSpan w:val="2"/>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287,429</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151,122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3"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100" w:type="dxa"/>
            <w:vAlign w:val="bottom"/>
            <w:tcBorders>
              <w:bottom w:val="single" w:sz="8" w:color="CCEEFF"/>
            </w:tcBorders>
          </w:tcPr>
          <w:p>
            <w:pPr>
              <w:spacing w:after="0"/>
              <w:rPr>
                <w:sz w:val="21"/>
                <w:szCs w:val="21"/>
                <w:color w:val="auto"/>
              </w:rPr>
            </w:pPr>
          </w:p>
        </w:tc>
        <w:tc>
          <w:tcPr>
            <w:tcW w:w="358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35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11,594</w:t>
            </w: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6,707</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510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Operating expenses:</w:t>
            </w:r>
          </w:p>
        </w:tc>
        <w:tc>
          <w:tcPr>
            <w:tcW w:w="3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revenues</w:t>
            </w:r>
          </w:p>
        </w:tc>
        <w:tc>
          <w:tcPr>
            <w:tcW w:w="3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4,669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1,976</w:t>
            </w:r>
          </w:p>
        </w:tc>
        <w:tc>
          <w:tcPr>
            <w:tcW w:w="0" w:type="dxa"/>
            <w:vAlign w:val="bottom"/>
          </w:tcPr>
          <w:p>
            <w:pPr>
              <w:spacing w:after="0"/>
              <w:rPr>
                <w:sz w:val="1"/>
                <w:szCs w:val="1"/>
                <w:color w:val="auto"/>
              </w:rPr>
            </w:pPr>
          </w:p>
        </w:tc>
      </w:tr>
      <w:tr>
        <w:trPr>
          <w:trHeight w:val="216"/>
        </w:trPr>
        <w:tc>
          <w:tcPr>
            <w:tcW w:w="5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3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5,542</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4,875</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14,878</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14,184</w:t>
            </w:r>
          </w:p>
        </w:tc>
        <w:tc>
          <w:tcPr>
            <w:tcW w:w="0" w:type="dxa"/>
            <w:vAlign w:val="bottom"/>
          </w:tcPr>
          <w:p>
            <w:pPr>
              <w:spacing w:after="0"/>
              <w:rPr>
                <w:sz w:val="1"/>
                <w:szCs w:val="1"/>
                <w:color w:val="auto"/>
              </w:rPr>
            </w:pPr>
          </w:p>
        </w:tc>
      </w:tr>
      <w:tr>
        <w:trPr>
          <w:trHeight w:val="216"/>
        </w:trPr>
        <w:tc>
          <w:tcPr>
            <w:tcW w:w="5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10,267</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7,290</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contingent acquisition liabilities</w:t>
            </w:r>
          </w:p>
        </w:tc>
        <w:tc>
          <w:tcPr>
            <w:tcW w:w="3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4,162</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605</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5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Restructuring</w:t>
            </w:r>
          </w:p>
        </w:tc>
        <w:tc>
          <w:tcPr>
            <w:tcW w:w="35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3,585</w:t>
            </w:r>
          </w:p>
        </w:tc>
        <w:tc>
          <w:tcPr>
            <w:tcW w:w="0" w:type="dxa"/>
            <w:vAlign w:val="bottom"/>
          </w:tcPr>
          <w:p>
            <w:pPr>
              <w:spacing w:after="0"/>
              <w:rPr>
                <w:sz w:val="1"/>
                <w:szCs w:val="1"/>
                <w:color w:val="auto"/>
              </w:rPr>
            </w:pPr>
          </w:p>
        </w:tc>
      </w:tr>
      <w:tr>
        <w:trPr>
          <w:trHeight w:val="210"/>
        </w:trPr>
        <w:tc>
          <w:tcPr>
            <w:tcW w:w="5100" w:type="dxa"/>
            <w:vAlign w:val="bottom"/>
            <w:tcBorders>
              <w:top w:val="single" w:sz="8" w:color="CCEEFF"/>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operating expenses</w:t>
            </w:r>
          </w:p>
        </w:tc>
        <w:tc>
          <w:tcPr>
            <w:tcW w:w="358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40,123</w:t>
            </w:r>
          </w:p>
        </w:tc>
        <w:tc>
          <w:tcPr>
            <w:tcW w:w="2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31,910</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35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(28,529</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(25,203</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510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3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3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(5,664)</w:t>
            </w:r>
          </w:p>
        </w:tc>
        <w:tc>
          <w:tcPr>
            <w:tcW w:w="1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(1,096)</w:t>
            </w:r>
          </w:p>
        </w:tc>
        <w:tc>
          <w:tcPr>
            <w:tcW w:w="0" w:type="dxa"/>
            <w:vAlign w:val="bottom"/>
          </w:tcPr>
          <w:p>
            <w:pPr>
              <w:spacing w:after="0"/>
              <w:rPr>
                <w:sz w:val="1"/>
                <w:szCs w:val="1"/>
                <w:color w:val="auto"/>
              </w:rPr>
            </w:pPr>
          </w:p>
        </w:tc>
      </w:tr>
      <w:tr>
        <w:trPr>
          <w:trHeight w:val="249"/>
        </w:trPr>
        <w:tc>
          <w:tcPr>
            <w:tcW w:w="5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5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1,479</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0" w:type="dxa"/>
            <w:vAlign w:val="bottom"/>
          </w:tcPr>
          <w:p>
            <w:pPr>
              <w:spacing w:after="0"/>
              <w:rPr>
                <w:sz w:val="1"/>
                <w:szCs w:val="1"/>
                <w:color w:val="auto"/>
              </w:rPr>
            </w:pPr>
          </w:p>
        </w:tc>
      </w:tr>
      <w:tr>
        <w:trPr>
          <w:trHeight w:val="210"/>
        </w:trPr>
        <w:tc>
          <w:tcPr>
            <w:tcW w:w="5100" w:type="dxa"/>
            <w:vAlign w:val="bottom"/>
            <w:tcBorders>
              <w:top w:val="single" w:sz="8" w:color="CCEEFF"/>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other expense, net</w:t>
            </w:r>
          </w:p>
        </w:tc>
        <w:tc>
          <w:tcPr>
            <w:tcW w:w="358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(4,185</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(1,898</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3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(32,714)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295</w:t>
            </w:r>
          </w:p>
        </w:tc>
        <w:tc>
          <w:tcPr>
            <w:tcW w:w="160" w:type="dxa"/>
            <w:vAlign w:val="bottom"/>
          </w:tcPr>
          <w:p>
            <w:pPr>
              <w:spacing w:after="0"/>
              <w:rPr>
                <w:sz w:val="20"/>
                <w:szCs w:val="20"/>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329</w:t>
            </w:r>
          </w:p>
        </w:tc>
        <w:tc>
          <w:tcPr>
            <w:tcW w:w="0" w:type="dxa"/>
            <w:vAlign w:val="bottom"/>
          </w:tcPr>
          <w:p>
            <w:pPr>
              <w:spacing w:after="0"/>
              <w:rPr>
                <w:sz w:val="1"/>
                <w:szCs w:val="1"/>
                <w:color w:val="auto"/>
              </w:rPr>
            </w:pPr>
          </w:p>
        </w:tc>
      </w:tr>
      <w:tr>
        <w:trPr>
          <w:trHeight w:val="216"/>
        </w:trPr>
        <w:tc>
          <w:tcPr>
            <w:tcW w:w="5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35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(33,009)</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(27,430)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Cumulative dividends attributable to Series A Preferred Stock</w:t>
            </w:r>
          </w:p>
        </w:tc>
        <w:tc>
          <w:tcPr>
            <w:tcW w:w="3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(343)</w:t>
            </w:r>
          </w:p>
        </w:tc>
        <w:tc>
          <w:tcPr>
            <w:tcW w:w="16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0" w:type="dxa"/>
            <w:vAlign w:val="bottom"/>
          </w:tcPr>
          <w:p>
            <w:pPr>
              <w:spacing w:after="0"/>
              <w:rPr>
                <w:sz w:val="1"/>
                <w:szCs w:val="1"/>
                <w:color w:val="auto"/>
              </w:rPr>
            </w:pPr>
          </w:p>
        </w:tc>
      </w:tr>
      <w:tr>
        <w:trPr>
          <w:trHeight w:val="27"/>
        </w:trPr>
        <w:tc>
          <w:tcPr>
            <w:tcW w:w="51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SoundHound common shareholders</w:t>
            </w:r>
          </w:p>
        </w:tc>
        <w:tc>
          <w:tcPr>
            <w:tcW w:w="35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50"/>
        </w:trPr>
        <w:tc>
          <w:tcPr>
            <w:tcW w:w="5100" w:type="dxa"/>
            <w:vAlign w:val="bottom"/>
            <w:vMerge w:val="continue"/>
            <w:shd w:val="clear" w:color="auto" w:fill="CCEEFF"/>
          </w:tcPr>
          <w:p>
            <w:pPr>
              <w:spacing w:after="0"/>
              <w:rPr>
                <w:sz w:val="21"/>
                <w:szCs w:val="21"/>
                <w:color w:val="auto"/>
              </w:rPr>
            </w:pPr>
          </w:p>
        </w:tc>
        <w:tc>
          <w:tcPr>
            <w:tcW w:w="3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(33,352</w:t>
            </w:r>
          </w:p>
        </w:tc>
        <w:tc>
          <w:tcPr>
            <w:tcW w:w="220" w:type="dxa"/>
            <w:vAlign w:val="bottom"/>
            <w:vMerge w:val="continue"/>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(28,112</w:t>
            </w:r>
          </w:p>
        </w:tc>
        <w:tc>
          <w:tcPr>
            <w:tcW w:w="1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35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510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3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Unrealized gains on investments</w:t>
            </w:r>
          </w:p>
        </w:tc>
        <w:tc>
          <w:tcPr>
            <w:tcW w:w="3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36</w:t>
            </w:r>
          </w:p>
        </w:tc>
        <w:tc>
          <w:tcPr>
            <w:tcW w:w="160" w:type="dxa"/>
            <w:vAlign w:val="bottom"/>
          </w:tcPr>
          <w:p>
            <w:pPr>
              <w:spacing w:after="0"/>
              <w:rPr>
                <w:sz w:val="20"/>
                <w:szCs w:val="20"/>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35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(32,973)</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(27,430)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w:t>
            </w:r>
          </w:p>
        </w:tc>
        <w:tc>
          <w:tcPr>
            <w:tcW w:w="3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5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 and diluted</w:t>
            </w:r>
          </w:p>
        </w:tc>
        <w:tc>
          <w:tcPr>
            <w:tcW w:w="3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(0.12)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0" w:type="dxa"/>
            <w:vAlign w:val="bottom"/>
          </w:tcPr>
          <w:p>
            <w:pPr>
              <w:spacing w:after="0"/>
              <w:rPr>
                <w:sz w:val="1"/>
                <w:szCs w:val="1"/>
                <w:color w:val="auto"/>
              </w:rPr>
            </w:pPr>
          </w:p>
        </w:tc>
      </w:tr>
      <w:tr>
        <w:trPr>
          <w:trHeight w:val="216"/>
        </w:trPr>
        <w:tc>
          <w:tcPr>
            <w:tcW w:w="5100" w:type="dxa"/>
            <w:vAlign w:val="bottom"/>
            <w:tcBorders>
              <w:top w:val="single" w:sz="8" w:color="CCEEFF"/>
            </w:tcBorders>
            <w:shd w:val="clear" w:color="auto" w:fill="CCEEFF"/>
          </w:tcPr>
          <w:p>
            <w:pPr>
              <w:spacing w:after="0"/>
              <w:rPr>
                <w:sz w:val="18"/>
                <w:szCs w:val="18"/>
                <w:color w:val="auto"/>
              </w:rPr>
            </w:pPr>
          </w:p>
        </w:tc>
        <w:tc>
          <w:tcPr>
            <w:tcW w:w="35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3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5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and diluted</w:t>
            </w:r>
          </w:p>
        </w:tc>
        <w:tc>
          <w:tcPr>
            <w:tcW w:w="35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286,596,559</w:t>
            </w:r>
          </w:p>
        </w:tc>
        <w:tc>
          <w:tcPr>
            <w:tcW w:w="16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205,082,328</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3580" w:type="dxa"/>
            <w:vAlign w:val="bottom"/>
            <w:tcBorders>
              <w:top w:val="single" w:sz="8" w:color="CCEEFF"/>
              <w:bottom w:val="single" w:sz="8" w:color="CCEEFF"/>
            </w:tcBorders>
            <w:vMerge w:val="restart"/>
          </w:tcPr>
          <w:p>
            <w:pPr>
              <w:jc w:val="right"/>
              <w:ind w:right="293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510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vMerge w:val="continue"/>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3"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Cash flows used in operating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(33,009)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(27,430)</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1,470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708</w:t>
            </w: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Stock-based compensation</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6,979</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8,249</w:t>
            </w: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on change in fair value of ELOC program</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571</w:t>
            </w: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Amortization of debt issuance cost</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1,231</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Non-cash lease amortization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743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894</w:t>
            </w: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Foreign currency gain/loss from remeasurement</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(55)</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 in fair value of contingent acquisition liabilities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4,162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income taxes</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(281)</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net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Accounts receivable, net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(1,248)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754</w:t>
            </w:r>
          </w:p>
        </w:tc>
      </w:tr>
      <w:tr>
        <w:trPr>
          <w:trHeight w:val="216"/>
        </w:trPr>
        <w:tc>
          <w:tcPr>
            <w:tcW w:w="86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Other current assets</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(533)</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653</w:t>
            </w:r>
          </w:p>
        </w:tc>
      </w:tr>
      <w:tr>
        <w:trPr>
          <w:trHeight w:val="216"/>
        </w:trPr>
        <w:tc>
          <w:tcPr>
            <w:tcW w:w="86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Contract assets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939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126</w:t>
            </w:r>
          </w:p>
        </w:tc>
      </w:tr>
      <w:tr>
        <w:trPr>
          <w:trHeight w:val="216"/>
        </w:trPr>
        <w:tc>
          <w:tcPr>
            <w:tcW w:w="86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Other non-current assets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93</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186</w:t>
            </w:r>
          </w:p>
        </w:tc>
      </w:tr>
      <w:tr>
        <w:trPr>
          <w:trHeight w:val="216"/>
        </w:trPr>
        <w:tc>
          <w:tcPr>
            <w:tcW w:w="86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905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r>
      <w:tr>
        <w:trPr>
          <w:trHeight w:val="216"/>
        </w:trPr>
        <w:tc>
          <w:tcPr>
            <w:tcW w:w="86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Accrued liabilities</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(673)</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4,556</w:t>
            </w:r>
          </w:p>
        </w:tc>
      </w:tr>
      <w:tr>
        <w:trPr>
          <w:trHeight w:val="216"/>
        </w:trPr>
        <w:tc>
          <w:tcPr>
            <w:tcW w:w="86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(888)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w:t>
            </w:r>
          </w:p>
        </w:tc>
      </w:tr>
      <w:tr>
        <w:trPr>
          <w:trHeight w:val="216"/>
        </w:trPr>
        <w:tc>
          <w:tcPr>
            <w:tcW w:w="86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Deferred revenue</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(1,606)</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(2,603)</w:t>
            </w:r>
          </w:p>
        </w:tc>
      </w:tr>
      <w:tr>
        <w:trPr>
          <w:trHeight w:val="250"/>
        </w:trPr>
        <w:tc>
          <w:tcPr>
            <w:tcW w:w="86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(222)</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0"/>
        </w:trPr>
        <w:tc>
          <w:tcPr>
            <w:tcW w:w="8680" w:type="dxa"/>
            <w:vAlign w:val="bottom"/>
            <w:tcBorders>
              <w:top w:val="single" w:sz="8" w:color="CCEEFF"/>
              <w:bottom w:val="single" w:sz="8" w:color="CCEEFF"/>
            </w:tcBorders>
          </w:tcPr>
          <w:p>
            <w:pPr>
              <w:ind w:left="660"/>
              <w:spacing w:after="0" w:line="203" w:lineRule="exact"/>
              <w:rPr>
                <w:sz w:val="20"/>
                <w:szCs w:val="20"/>
                <w:color w:val="auto"/>
              </w:rPr>
            </w:pPr>
            <w:r>
              <w:rPr>
                <w:rFonts w:ascii="Times New Roman" w:cs="Times New Roman" w:eastAsia="Times New Roman" w:hAnsi="Times New Roman"/>
                <w:sz w:val="18"/>
                <w:szCs w:val="18"/>
                <w:color w:val="auto"/>
              </w:rPr>
              <w:t>Net cash used in operating activities</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(21,948</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(14,540</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40"/>
          </w:cols>
          <w:pgMar w:left="320" w:top="900" w:right="33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Cash flows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Purchases of property and equipment</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Acquisition of SYNQ3, net of cash acquired</w:t>
      </w:r>
    </w:p>
    <w:p>
      <w:pPr>
        <w:spacing w:after="0" w:line="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ind w:left="1560" w:hanging="1331"/>
        <w:spacing w:after="0"/>
        <w:tabs>
          <w:tab w:leader="none" w:pos="15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(3,689)—</w:t>
      </w:r>
    </w:p>
    <w:p>
      <w:pPr>
        <w:spacing w:after="0" w:line="22"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(3,788)(15)</w:t>
      </w:r>
    </w:p>
    <w:p>
      <w:pPr>
        <w:spacing w:after="0" w:line="200" w:lineRule="exact"/>
        <w:rPr>
          <w:sz w:val="20"/>
          <w:szCs w:val="20"/>
          <w:color w:val="auto"/>
        </w:rPr>
      </w:pPr>
    </w:p>
    <w:p>
      <w:pPr>
        <w:sectPr>
          <w:pgSz w:w="11900" w:h="16838" w:orient="portrait"/>
          <w:cols w:equalWidth="0" w:num="2">
            <w:col w:w="8620" w:space="720"/>
            <w:col w:w="1900"/>
          </w:cols>
          <w:pgMar w:left="320" w:top="900" w:right="339" w:bottom="1440" w:gutter="0" w:footer="0" w:header="0"/>
          <w:type w:val="continuous"/>
        </w:sectPr>
      </w:pP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provided by financing activities:</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the issuance of Series A Preferred Stock, net of issuance costs</w:t>
            </w:r>
          </w:p>
        </w:tc>
        <w:tc>
          <w:tcPr>
            <w:tcW w:w="3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24,942</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sales of Class A common stock under the ELOC program, net of issuance costs</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28,683</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sales of Class A common stock under the Sales Agreement</w:t>
            </w:r>
          </w:p>
        </w:tc>
        <w:tc>
          <w:tcPr>
            <w:tcW w:w="3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137,274</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the issuance of Class A common stock upon exercise of options</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8,887</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2,425</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 of financing costs associated with ELOC Program</w:t>
            </w:r>
          </w:p>
        </w:tc>
        <w:tc>
          <w:tcPr>
            <w:tcW w:w="3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(250)</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 of financing costs associated with the Sales Agreement</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(3,435)</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Payments on notes payable</w:t>
            </w:r>
          </w:p>
        </w:tc>
        <w:tc>
          <w:tcPr>
            <w:tcW w:w="3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(4,120)</w:t>
            </w: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Payments on finance leases</w:t>
            </w:r>
          </w:p>
        </w:tc>
        <w:tc>
          <w:tcPr>
            <w:tcW w:w="3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w:t>
            </w:r>
          </w:p>
        </w:tc>
        <w:tc>
          <w:tcPr>
            <w:tcW w:w="36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w:t>
            </w:r>
          </w:p>
        </w:tc>
      </w:tr>
      <w:tr>
        <w:trPr>
          <w:trHeight w:val="210"/>
        </w:trPr>
        <w:tc>
          <w:tcPr>
            <w:tcW w:w="8680" w:type="dxa"/>
            <w:vAlign w:val="bottom"/>
            <w:tcBorders>
              <w:top w:val="single" w:sz="8" w:color="CCEEFF"/>
              <w:bottom w:val="single" w:sz="8" w:color="CCEEFF"/>
            </w:tcBorders>
          </w:tcPr>
          <w:p>
            <w:pPr>
              <w:ind w:left="660"/>
              <w:spacing w:after="0" w:line="203" w:lineRule="exact"/>
              <w:rPr>
                <w:sz w:val="20"/>
                <w:szCs w:val="20"/>
                <w:color w:val="auto"/>
              </w:rPr>
            </w:pPr>
            <w:r>
              <w:rPr>
                <w:rFonts w:ascii="Times New Roman" w:cs="Times New Roman" w:eastAsia="Times New Roman" w:hAnsi="Times New Roman"/>
                <w:sz w:val="18"/>
                <w:szCs w:val="18"/>
                <w:color w:val="auto"/>
              </w:rPr>
              <w:t>Net cash provided by financing activities</w:t>
            </w:r>
          </w:p>
        </w:tc>
        <w:tc>
          <w:tcPr>
            <w:tcW w:w="3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142,698</w:t>
            </w:r>
          </w:p>
        </w:tc>
        <w:tc>
          <w:tcPr>
            <w:tcW w:w="220" w:type="dxa"/>
            <w:vAlign w:val="bottom"/>
            <w:tcBorders>
              <w:top w:val="single" w:sz="8" w:color="CCEEFF"/>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51,641</w:t>
            </w:r>
          </w:p>
        </w:tc>
        <w:tc>
          <w:tcPr>
            <w:tcW w:w="100" w:type="dxa"/>
            <w:vAlign w:val="bottom"/>
            <w:tcBorders>
              <w:top w:val="single" w:sz="8" w:color="CCEEFF"/>
              <w:bottom w:val="single" w:sz="8" w:color="CCEEFF"/>
            </w:tcBorders>
          </w:tcPr>
          <w:p>
            <w:pPr>
              <w:spacing w:after="0"/>
              <w:rPr>
                <w:sz w:val="18"/>
                <w:szCs w:val="18"/>
                <w:color w:val="auto"/>
              </w:rPr>
            </w:pPr>
          </w:p>
        </w:tc>
      </w:tr>
      <w:tr>
        <w:trPr>
          <w:trHeight w:val="236"/>
        </w:trPr>
        <w:tc>
          <w:tcPr>
            <w:tcW w:w="868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Effects of exchange rate changes on cash</w:t>
            </w:r>
          </w:p>
        </w:tc>
        <w:tc>
          <w:tcPr>
            <w:tcW w:w="3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03"/>
        </w:trPr>
        <w:tc>
          <w:tcPr>
            <w:tcW w:w="8680" w:type="dxa"/>
            <w:vAlign w:val="bottom"/>
          </w:tcPr>
          <w:p>
            <w:pPr>
              <w:ind w:left="660"/>
              <w:spacing w:after="0" w:line="203" w:lineRule="exact"/>
              <w:rPr>
                <w:sz w:val="20"/>
                <w:szCs w:val="20"/>
                <w:color w:val="auto"/>
              </w:rPr>
            </w:pPr>
            <w:r>
              <w:rPr>
                <w:rFonts w:ascii="Times New Roman" w:cs="Times New Roman" w:eastAsia="Times New Roman" w:hAnsi="Times New Roman"/>
                <w:sz w:val="18"/>
                <w:szCs w:val="18"/>
                <w:color w:val="auto"/>
              </w:rPr>
              <w:t>Net change in cash, cash equivalents, and restricted cash equivalents</w:t>
            </w:r>
          </w:p>
        </w:tc>
        <w:tc>
          <w:tcPr>
            <w:tcW w:w="32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117,065</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37,086</w:t>
            </w:r>
          </w:p>
        </w:tc>
        <w:tc>
          <w:tcPr>
            <w:tcW w:w="100" w:type="dxa"/>
            <w:vAlign w:val="bottom"/>
          </w:tcPr>
          <w:p>
            <w:pPr>
              <w:spacing w:after="0"/>
              <w:rPr>
                <w:sz w:val="17"/>
                <w:szCs w:val="17"/>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equivalents, beginning of period</w:t>
            </w:r>
          </w:p>
        </w:tc>
        <w:tc>
          <w:tcPr>
            <w:tcW w:w="3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109,035</w:t>
            </w:r>
          </w:p>
        </w:tc>
        <w:tc>
          <w:tcPr>
            <w:tcW w:w="36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9,475</w:t>
            </w:r>
          </w:p>
        </w:tc>
      </w:tr>
      <w:tr>
        <w:trPr>
          <w:trHeight w:val="210"/>
        </w:trPr>
        <w:tc>
          <w:tcPr>
            <w:tcW w:w="86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Cash, cash equivalents, and restricted cash equivalents, end of period</w:t>
            </w:r>
          </w:p>
        </w:tc>
        <w:tc>
          <w:tcPr>
            <w:tcW w:w="32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226,100</w:t>
            </w:r>
          </w:p>
        </w:tc>
        <w:tc>
          <w:tcPr>
            <w:tcW w:w="220" w:type="dxa"/>
            <w:vAlign w:val="bottom"/>
            <w:tcBorders>
              <w:top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jc w:val="right"/>
              <w:ind w:right="1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46,561</w:t>
            </w:r>
          </w:p>
        </w:tc>
        <w:tc>
          <w:tcPr>
            <w:tcW w:w="100" w:type="dxa"/>
            <w:vAlign w:val="bottom"/>
            <w:tcBorders>
              <w:top w:val="single" w:sz="8" w:color="CCEEFF"/>
            </w:tcBorders>
          </w:tcPr>
          <w:p>
            <w:pPr>
              <w:spacing w:after="0"/>
              <w:rPr>
                <w:sz w:val="18"/>
                <w:szCs w:val="18"/>
                <w:color w:val="auto"/>
              </w:rPr>
            </w:pPr>
          </w:p>
        </w:tc>
      </w:tr>
      <w:tr>
        <w:trPr>
          <w:trHeight w:val="655"/>
        </w:trPr>
        <w:tc>
          <w:tcPr>
            <w:tcW w:w="8680" w:type="dxa"/>
            <w:vAlign w:val="bottom"/>
            <w:tcBorders>
              <w:bottom w:val="single" w:sz="8" w:color="auto"/>
            </w:tcBorders>
          </w:tcPr>
          <w:p>
            <w:pPr>
              <w:ind w:left="5580"/>
              <w:spacing w:after="0"/>
              <w:rPr>
                <w:sz w:val="20"/>
                <w:szCs w:val="20"/>
                <w:color w:val="auto"/>
              </w:rPr>
            </w:pPr>
            <w:r>
              <w:rPr>
                <w:rFonts w:ascii="Times New Roman" w:cs="Times New Roman" w:eastAsia="Times New Roman" w:hAnsi="Times New Roman"/>
                <w:sz w:val="18"/>
                <w:szCs w:val="18"/>
                <w:color w:val="auto"/>
              </w:rPr>
              <w:t>3</w:t>
            </w: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type w:val="continuous"/>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Reconciliation to amounts on the condensed consolidated balance sheets:</w:t>
            </w: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211,744</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46,331</w:t>
            </w:r>
          </w:p>
        </w:tc>
        <w:tc>
          <w:tcPr>
            <w:tcW w:w="0" w:type="dxa"/>
            <w:vAlign w:val="bottom"/>
          </w:tcPr>
          <w:p>
            <w:pPr>
              <w:spacing w:after="0"/>
              <w:rPr>
                <w:sz w:val="1"/>
                <w:szCs w:val="1"/>
                <w:color w:val="auto"/>
              </w:rPr>
            </w:pPr>
          </w:p>
        </w:tc>
      </w:tr>
      <w:tr>
        <w:trPr>
          <w:trHeight w:val="230"/>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Non-current portion of restricted cash equivalents</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14,356</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cash, cash equivalents, and restricted cash equivalents shown in the condensed consolidated statements of</w:t>
            </w: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8680" w:type="dxa"/>
            <w:vAlign w:val="bottom"/>
            <w:vMerge w:val="continue"/>
            <w:shd w:val="clear" w:color="auto" w:fill="CCEEFF"/>
          </w:tcPr>
          <w:p>
            <w:pPr>
              <w:spacing w:after="0"/>
              <w:rPr>
                <w:sz w:val="16"/>
                <w:szCs w:val="16"/>
                <w:color w:val="auto"/>
              </w:rPr>
            </w:pPr>
          </w:p>
        </w:tc>
        <w:tc>
          <w:tcPr>
            <w:tcW w:w="320" w:type="dxa"/>
            <w:vAlign w:val="bottom"/>
            <w:vMerge w:val="restart"/>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226,100</w:t>
            </w:r>
          </w:p>
        </w:tc>
        <w:tc>
          <w:tcPr>
            <w:tcW w:w="360" w:type="dxa"/>
            <w:vAlign w:val="bottom"/>
            <w:vMerge w:val="restart"/>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46,561</w:t>
            </w:r>
          </w:p>
        </w:tc>
        <w:tc>
          <w:tcPr>
            <w:tcW w:w="0" w:type="dxa"/>
            <w:vAlign w:val="bottom"/>
          </w:tcPr>
          <w:p>
            <w:pPr>
              <w:spacing w:after="0"/>
              <w:rPr>
                <w:sz w:val="1"/>
                <w:szCs w:val="1"/>
                <w:color w:val="auto"/>
              </w:rPr>
            </w:pPr>
          </w:p>
        </w:tc>
      </w:tr>
      <w:tr>
        <w:trPr>
          <w:trHeight w:val="214"/>
        </w:trPr>
        <w:tc>
          <w:tcPr>
            <w:tcW w:w="86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cash flows</w:t>
            </w:r>
          </w:p>
        </w:tc>
        <w:tc>
          <w:tcPr>
            <w:tcW w:w="320" w:type="dxa"/>
            <w:vAlign w:val="bottom"/>
            <w:vMerge w:val="continue"/>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disclosures of cash flow information:</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paid for interest</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3,539</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1,074</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320" w:type="dxa"/>
            <w:vAlign w:val="bottom"/>
            <w:tcBorders>
              <w:top w:val="single" w:sz="8" w:color="auto"/>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investing and financing activities:</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Conversion of Series A Preferred Stock to Class A common stock</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12,090</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Issuance of Class A Common Stock to settle commitment shares related to the ELOC program</w:t>
            </w:r>
          </w:p>
        </w:tc>
        <w:tc>
          <w:tcPr>
            <w:tcW w:w="320" w:type="dxa"/>
            <w:vAlign w:val="bottom"/>
            <w:tcBorders>
              <w:top w:val="single" w:sz="8" w:color="auto"/>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86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Unpaid issuance costs in connection with the ELOC program</w:t>
            </w:r>
          </w:p>
        </w:tc>
        <w:tc>
          <w:tcPr>
            <w:tcW w:w="32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offering costs reclassified to additional paid-in capital</w:t>
            </w:r>
          </w:p>
        </w:tc>
        <w:tc>
          <w:tcPr>
            <w:tcW w:w="32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86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Property and equipment acquired under finance leases or debt</w:t>
            </w:r>
          </w:p>
        </w:tc>
        <w:tc>
          <w:tcPr>
            <w:tcW w:w="32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2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Fair value of Class A Common Stock issued for business combination</w:t>
            </w:r>
          </w:p>
        </w:tc>
        <w:tc>
          <w:tcPr>
            <w:tcW w:w="32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10,295</w:t>
            </w:r>
          </w:p>
        </w:tc>
        <w:tc>
          <w:tcPr>
            <w:tcW w:w="2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86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Fair value of deferred consideration</w:t>
            </w:r>
          </w:p>
        </w:tc>
        <w:tc>
          <w:tcPr>
            <w:tcW w:w="32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22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Fair value of contingent holdback consideration</w:t>
            </w:r>
          </w:p>
        </w:tc>
        <w:tc>
          <w:tcPr>
            <w:tcW w:w="32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2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86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Fair value of contingent earnout consideration</w:t>
            </w:r>
          </w:p>
        </w:tc>
        <w:tc>
          <w:tcPr>
            <w:tcW w:w="32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1,676</w:t>
            </w:r>
          </w:p>
        </w:tc>
        <w:tc>
          <w:tcPr>
            <w:tcW w:w="22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Unpaid deferred offering cost</w:t>
            </w:r>
          </w:p>
        </w:tc>
        <w:tc>
          <w:tcPr>
            <w:tcW w:w="32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2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ind w:left="5580"/>
              <w:spacing w:after="0"/>
              <w:rPr>
                <w:sz w:val="20"/>
                <w:szCs w:val="20"/>
                <w:color w:val="auto"/>
              </w:rPr>
            </w:pPr>
            <w:r>
              <w:rPr>
                <w:rFonts w:ascii="Times New Roman" w:cs="Times New Roman" w:eastAsia="Times New Roman" w:hAnsi="Times New Roman"/>
                <w:sz w:val="18"/>
                <w:szCs w:val="18"/>
                <w:color w:val="auto"/>
              </w:rPr>
              <w:t>4</w:t>
            </w: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8680" w:type="dxa"/>
            <w:vAlign w:val="bottom"/>
            <w:tcBorders>
              <w:bottom w:val="single" w:sz="8" w:color="auto"/>
            </w:tcBorders>
            <w:vMerge w:val="continue"/>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1)"/>
      <w:numFmt w:val="decimal"/>
    </w:lvl>
    <w:lvl w:ilvl="1">
      <w:lvlJc w:val="left"/>
      <w:lvlText w:val="●"/>
      <w:numFmt w:val="bullet"/>
      <w:start w:val="1"/>
    </w:lvl>
  </w:abstractNum>
  <w:abstractNum w:abstractNumId="5">
    <w:nsid w:val="41B71EFB"/>
    <w:multiLevelType w:val="hybridMultilevel"/>
    <w:lvl w:ilvl="0">
      <w:lvlJc w:val="left"/>
      <w:lvlText w:val="%1)"/>
      <w:numFmt w:val="decimal"/>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9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2024-05-09T16:44:23Z</dcterms:created>
  <dcterms:modified xsi:type="dcterms:W3CDTF">2024-05-09T16:44:23Z</dcterms:modified>
</cp:coreProperties>
</file>