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16, 2021 (April 14,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96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Delaware</w:t>
            </w:r>
          </w:p>
        </w:tc>
        <w:tc>
          <w:tcPr>
            <w:tcW w:w="448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0"/>
              </w:rPr>
              <w:t>001-40193</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86-1286799</w:t>
            </w:r>
          </w:p>
        </w:tc>
      </w:tr>
      <w:tr>
        <w:trPr>
          <w:trHeight w:val="202"/>
        </w:trPr>
        <w:tc>
          <w:tcPr>
            <w:tcW w:w="296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960" w:type="dxa"/>
            <w:vAlign w:val="bottom"/>
          </w:tcPr>
          <w:p>
            <w:pPr>
              <w:jc w:val="center"/>
              <w:ind w:left="570"/>
              <w:spacing w:after="0"/>
              <w:rPr>
                <w:sz w:val="20"/>
                <w:szCs w:val="20"/>
                <w:color w:val="auto"/>
              </w:rPr>
            </w:pPr>
            <w:r>
              <w:rPr>
                <w:rFonts w:ascii="Arial" w:cs="Arial" w:eastAsia="Arial" w:hAnsi="Arial"/>
                <w:sz w:val="18"/>
                <w:szCs w:val="18"/>
                <w:color w:val="auto"/>
                <w:w w:val="93"/>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Arial" w:cs="Arial" w:eastAsia="Arial" w:hAnsi="Arial"/>
                <w:sz w:val="18"/>
                <w:szCs w:val="18"/>
                <w:color w:val="auto"/>
                <w:w w:val="94"/>
              </w:rPr>
              <w:t>File Number)</w:t>
            </w:r>
          </w:p>
        </w:tc>
        <w:tc>
          <w:tcPr>
            <w:tcW w:w="2820" w:type="dxa"/>
            <w:vAlign w:val="bottom"/>
          </w:tcPr>
          <w:p>
            <w:pPr>
              <w:jc w:val="center"/>
              <w:ind w:right="7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1"/>
              </w:rPr>
              <w:t>2093 Philadelphia Pike #1968</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2"/>
              </w:rPr>
              <w:t>Claymont, DE 19703</w:t>
            </w:r>
          </w:p>
        </w:tc>
        <w:tc>
          <w:tcPr>
            <w:tcW w:w="2820" w:type="dxa"/>
            <w:vAlign w:val="bottom"/>
          </w:tcPr>
          <w:p>
            <w:pPr>
              <w:spacing w:after="0"/>
              <w:rPr>
                <w:sz w:val="19"/>
                <w:szCs w:val="19"/>
                <w:color w:val="auto"/>
              </w:rPr>
            </w:pPr>
          </w:p>
        </w:tc>
      </w:tr>
      <w:tr>
        <w:trPr>
          <w:trHeight w:val="230"/>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(650) 560 4753</w:t>
            </w:r>
          </w:p>
        </w:tc>
        <w:tc>
          <w:tcPr>
            <w:tcW w:w="2820" w:type="dxa"/>
            <w:vAlign w:val="bottom"/>
          </w:tcPr>
          <w:p>
            <w:pPr>
              <w:spacing w:after="0"/>
              <w:rPr>
                <w:sz w:val="24"/>
                <w:szCs w:val="24"/>
                <w:color w:val="auto"/>
              </w:rPr>
            </w:pPr>
          </w:p>
        </w:tc>
      </w:tr>
      <w:tr>
        <w:trPr>
          <w:trHeight w:val="418"/>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2"/>
              </w:rPr>
              <w:t>Not Applicable</w:t>
            </w:r>
          </w:p>
        </w:tc>
        <w:tc>
          <w:tcPr>
            <w:tcW w:w="282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2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60" w:lineRule="auto"/>
        <w:tabs>
          <w:tab w:leader="none" w:pos="35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5520" w:type="dxa"/>
            <w:vAlign w:val="bottom"/>
            <w:gridSpan w:val="2"/>
          </w:tcPr>
          <w:p>
            <w:pPr>
              <w:ind w:left="2040"/>
              <w:spacing w:after="0"/>
              <w:rPr>
                <w:sz w:val="20"/>
                <w:szCs w:val="20"/>
                <w:color w:val="auto"/>
              </w:rPr>
            </w:pPr>
            <w:r>
              <w:rPr>
                <w:rFonts w:ascii="Arial" w:cs="Arial" w:eastAsia="Arial" w:hAnsi="Arial"/>
                <w:sz w:val="18"/>
                <w:szCs w:val="18"/>
                <w:b w:val="1"/>
                <w:bCs w:val="1"/>
                <w:color w:val="auto"/>
              </w:rPr>
              <w:t>Title of each class</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Symbol(s)</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5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each consisting of one subunit and one-quarter of one warrant</w:t>
            </w: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ATSPU</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2"/>
        </w:trPr>
        <w:tc>
          <w:tcPr>
            <w:tcW w:w="5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Subunits included as part of the units, each consisting of one share of</w:t>
            </w:r>
          </w:p>
        </w:tc>
        <w:tc>
          <w:tcPr>
            <w:tcW w:w="292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ATSPT</w:t>
            </w:r>
          </w:p>
        </w:tc>
        <w:tc>
          <w:tcPr>
            <w:tcW w:w="2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$0.0001 par value, and one-quarter of one warrant</w:t>
            </w: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552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Common stock, par value $0.0001 per share</w:t>
            </w:r>
          </w:p>
        </w:tc>
        <w:tc>
          <w:tcPr>
            <w:tcW w:w="292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89"/>
              </w:rPr>
              <w:t>ATSP</w:t>
            </w:r>
          </w:p>
        </w:tc>
        <w:tc>
          <w:tcPr>
            <w:tcW w:w="28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warrants</w:t>
            </w: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ATSPW</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þ</w:t>
      </w:r>
    </w:p>
    <w:p>
      <w:pPr>
        <w:spacing w:after="0" w:line="225"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Separate Trading of Units, Subunits and Warrants</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12, 2021, Archimedes Tech SPAC Partners Co. (the “</w:t>
      </w:r>
      <w:r>
        <w:rPr>
          <w:rFonts w:ascii="Arial" w:cs="Arial" w:eastAsia="Arial" w:hAnsi="Arial"/>
          <w:sz w:val="17"/>
          <w:szCs w:val="17"/>
          <w:b w:val="1"/>
          <w:bCs w:val="1"/>
          <w:color w:val="auto"/>
        </w:rPr>
        <w:t>Company</w:t>
      </w:r>
      <w:r>
        <w:rPr>
          <w:rFonts w:ascii="Arial" w:cs="Arial" w:eastAsia="Arial" w:hAnsi="Arial"/>
          <w:sz w:val="17"/>
          <w:szCs w:val="17"/>
          <w:color w:val="auto"/>
        </w:rPr>
        <w:t>”) announced that, commencing on April 14, 2021, the holders of units issued in its initial public offering (the “</w:t>
      </w:r>
      <w:r>
        <w:rPr>
          <w:rFonts w:ascii="Arial" w:cs="Arial" w:eastAsia="Arial" w:hAnsi="Arial"/>
          <w:sz w:val="17"/>
          <w:szCs w:val="17"/>
          <w:b w:val="1"/>
          <w:bCs w:val="1"/>
          <w:color w:val="auto"/>
        </w:rPr>
        <w:t>Units</w:t>
      </w:r>
      <w:r>
        <w:rPr>
          <w:rFonts w:ascii="Arial" w:cs="Arial" w:eastAsia="Arial" w:hAnsi="Arial"/>
          <w:sz w:val="17"/>
          <w:szCs w:val="17"/>
          <w:color w:val="auto"/>
        </w:rPr>
        <w:t>”), each consisting of one subunit (“</w:t>
      </w:r>
      <w:r>
        <w:rPr>
          <w:rFonts w:ascii="Arial" w:cs="Arial" w:eastAsia="Arial" w:hAnsi="Arial"/>
          <w:sz w:val="17"/>
          <w:szCs w:val="17"/>
          <w:b w:val="1"/>
          <w:bCs w:val="1"/>
          <w:color w:val="auto"/>
        </w:rPr>
        <w:t>Subunit</w:t>
      </w:r>
      <w:r>
        <w:rPr>
          <w:rFonts w:ascii="Arial" w:cs="Arial" w:eastAsia="Arial" w:hAnsi="Arial"/>
          <w:sz w:val="17"/>
          <w:szCs w:val="17"/>
          <w:color w:val="auto"/>
        </w:rPr>
        <w:t>”) and one-quarter of one redeemable warrant of the Company (“</w:t>
      </w:r>
      <w:r>
        <w:rPr>
          <w:rFonts w:ascii="Arial" w:cs="Arial" w:eastAsia="Arial" w:hAnsi="Arial"/>
          <w:sz w:val="17"/>
          <w:szCs w:val="17"/>
          <w:b w:val="1"/>
          <w:bCs w:val="1"/>
          <w:color w:val="auto"/>
        </w:rPr>
        <w:t>Warrant</w:t>
      </w:r>
      <w:r>
        <w:rPr>
          <w:rFonts w:ascii="Arial" w:cs="Arial" w:eastAsia="Arial" w:hAnsi="Arial"/>
          <w:sz w:val="17"/>
          <w:szCs w:val="17"/>
          <w:color w:val="auto"/>
        </w:rPr>
        <w:t>”), with each Warrant entitling the holder thereof to purchase one share of the Company’s common stock par value $0.0001 per share (“</w:t>
      </w:r>
      <w:r>
        <w:rPr>
          <w:rFonts w:ascii="Arial" w:cs="Arial" w:eastAsia="Arial" w:hAnsi="Arial"/>
          <w:sz w:val="17"/>
          <w:szCs w:val="17"/>
          <w:b w:val="1"/>
          <w:bCs w:val="1"/>
          <w:color w:val="auto"/>
        </w:rPr>
        <w:t>Common Stock</w:t>
      </w:r>
      <w:r>
        <w:rPr>
          <w:rFonts w:ascii="Arial" w:cs="Arial" w:eastAsia="Arial" w:hAnsi="Arial"/>
          <w:sz w:val="17"/>
          <w:szCs w:val="17"/>
          <w:color w:val="auto"/>
        </w:rPr>
        <w:t>”) for $11.50 per share, may elect to separately trade the Subunits and Warrants included in the Units. The Units not separated will continue to trade on the Nasdaq Capital Market under the symbol “ATSPU.” The Subunits and Warrants are expected to trade on the Nasdaq Capital Market under the symbols “ATSPT” and “ATSPW,” respectively. Holders of Units will need to have their brokers contact Continental Stock Transfer &amp; Trust Company, the Company’s transfer agent, in order to separate the Units into Subunits and Warrants. Each Subunit consists of one share of Common Stock and one-quarter of one Warrant. The Subunits will not separate into shares of Common Stock and Warrants unless and until the Company consummates an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56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April 12, 2021.</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75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14605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 Long Long</w:t>
      </w:r>
    </w:p>
    <w:p>
      <w:pPr>
        <w:spacing w:after="0" w:line="23" w:lineRule="exact"/>
        <w:rPr>
          <w:sz w:val="20"/>
          <w:szCs w:val="20"/>
          <w:color w:val="auto"/>
        </w:rPr>
      </w:pPr>
    </w:p>
    <w:p>
      <w:pPr>
        <w:ind w:left="7060"/>
        <w:spacing w:after="0"/>
        <w:tabs>
          <w:tab w:leader="none" w:pos="762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16,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Archimedes Tech SPAC Partners Co. Announces the Separate Trading of its Subunits and Warrants, Commencing April 14, 2021</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York, NY, April 12, 2021 (GLOBE NEWSWIRE) -- Archimedes Tech SPAC Partners Co. (“Archimedes” or the “Company”) (NASDAQ: ATSPU) announced that, commencing April 14, 2021, holders of the units sold in the Company’s initial public offering may elect to separately trade shares of the Company’s subunits and warrants included in the units. Subunits and warrants that are separated will trade on the Nasdaq Capital Market under the symbols “ATSPT” and “ATSPW,” respectively. Those units not separated will continue to trade on the Nasdaq Capital Market under the symbol “ATSPU.” The subunits will not separate into shares of the Company’s common stock and warrants unless and until the Company consummates an initial business combination.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 securities of the Company, nor shall there be any sale of these securities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Archimedes Tech SPAC Partners Co.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Archimedes is a blank check company formed for the purpose of effecting a merger, capital stock exchange, asset acquisition, stock purchase, reorganization or similar business combination with one or more businesses. While the Company may pursue an acquisition in any business industry or sector, it intends to concentrate its efforts on identifying businesses in the technology industry.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led by Chairman Dr. Eric R. Ball, Chief Executive Officer &amp; President Stephen N. Cannon, Chief Operating Officer Daniel Sheehan, Chief Financial Officer Long Long and advised by its special advisor, Brent Callinicos.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may include, and oral statements made from time to time by representatives of the Company may include, “forward-looking statements” within the meaning of Section 27A of the Securities Act of 1933, as amended, and Section 21E of the Securities Exchange Act of 1934, as amended. Statements regarding possible business combinations and the financing thereof, and related matters, as well as all other statements other than statements of historical fact included in this press release are forward-looking statements. When used in this press release, words such as “anticipate,” “believe,” “continue,” “could,” “estimate,” “expect,” “intend,” “may,” “might,” “plan,” “possible,” “potential,” “predict,” “project,” “should,” “would” and similar expressions, as they relate to us or our management team,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the Company’s filings with the Securities and Exchange Commission (“SEC”). All subsequent written or oral forward-looking statements attributable to us or persons acting on our behalf are qualified in their entirety by this paragraph. Forward-looking statements are subject to numerous conditions, many of which are beyond the control of the Company, including those set forth in the Risk Factors section of the Company’s registration statement and prospectus for the Company’s initial public offering filed with the SEC. The Company undertakes no obligation to update these statements for revisions or changes after the date of this release, except as required by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right="91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560 4753 Info@ArchimedesSPAC.com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2021-04-16T16:16:57Z</dcterms:created>
  <dcterms:modified xsi:type="dcterms:W3CDTF">2021-04-16T16:16:57Z</dcterms:modified>
</cp:coreProperties>
</file>