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0"/>
          <w:szCs w:val="20"/>
          <w:b w:val="1"/>
          <w:bCs w:val="1"/>
          <w:color w:val="212529"/>
        </w:rPr>
        <w:drawing>
          <wp:anchor simplePos="0" relativeHeight="251657728" behindDoc="1" locked="0" layoutInCell="0" allowOverlap="1">
            <wp:simplePos x="0" y="0"/>
            <wp:positionH relativeFrom="page">
              <wp:posOffset>208280</wp:posOffset>
            </wp:positionH>
            <wp:positionV relativeFrom="page">
              <wp:posOffset>706120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732155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212529"/>
        </w:rPr>
        <w:t>SECURITIES AND EXCHANGE COMMISSION</w:t>
      </w:r>
    </w:p>
    <w:p>
      <w:pPr>
        <w:spacing w:after="0" w:line="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212529"/>
        </w:rPr>
        <w:t>WASHINGTON, D.C. 20549</w:t>
      </w:r>
    </w:p>
    <w:p>
      <w:pPr>
        <w:spacing w:after="0" w:line="17" w:lineRule="exact"/>
        <w:rPr>
          <w:sz w:val="24"/>
          <w:szCs w:val="24"/>
          <w:color w:val="auto"/>
        </w:rPr>
      </w:pPr>
    </w:p>
    <w:p>
      <w:pPr>
        <w:ind w:left="3780"/>
        <w:spacing w:after="0"/>
        <w:rPr>
          <w:sz w:val="20"/>
          <w:szCs w:val="20"/>
          <w:color w:val="auto"/>
        </w:rPr>
      </w:pPr>
      <w:r>
        <w:rPr>
          <w:rFonts w:ascii="Times New Roman" w:cs="Times New Roman" w:eastAsia="Times New Roman" w:hAnsi="Times New Roman"/>
          <w:sz w:val="18"/>
          <w:szCs w:val="18"/>
          <w:color w:val="auto"/>
        </w:rPr>
        <w:t>_________________________________________</w:t>
      </w:r>
    </w:p>
    <w:p>
      <w:pPr>
        <w:spacing w:after="0" w:line="16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212529"/>
        </w:rPr>
        <w:t>FORM 8-K</w:t>
      </w:r>
    </w:p>
    <w:p>
      <w:pPr>
        <w:spacing w:after="0" w:line="23" w:lineRule="exact"/>
        <w:rPr>
          <w:sz w:val="24"/>
          <w:szCs w:val="24"/>
          <w:color w:val="auto"/>
        </w:rPr>
      </w:pPr>
    </w:p>
    <w:p>
      <w:pPr>
        <w:ind w:left="3780"/>
        <w:spacing w:after="0"/>
        <w:rPr>
          <w:sz w:val="20"/>
          <w:szCs w:val="20"/>
          <w:color w:val="auto"/>
        </w:rPr>
      </w:pPr>
      <w:r>
        <w:rPr>
          <w:rFonts w:ascii="Times New Roman" w:cs="Times New Roman" w:eastAsia="Times New Roman" w:hAnsi="Times New Roman"/>
          <w:sz w:val="18"/>
          <w:szCs w:val="18"/>
          <w:color w:val="auto"/>
        </w:rPr>
        <w:t>_________________________________________</w:t>
      </w:r>
    </w:p>
    <w:p>
      <w:pPr>
        <w:spacing w:after="0" w:line="120" w:lineRule="exact"/>
        <w:rPr>
          <w:sz w:val="24"/>
          <w:szCs w:val="24"/>
          <w:color w:val="auto"/>
        </w:rPr>
      </w:pPr>
    </w:p>
    <w:p>
      <w:pPr>
        <w:ind w:left="4780"/>
        <w:spacing w:after="0"/>
        <w:rPr>
          <w:sz w:val="20"/>
          <w:szCs w:val="20"/>
          <w:color w:val="auto"/>
        </w:rPr>
      </w:pPr>
      <w:r>
        <w:rPr>
          <w:rFonts w:ascii="Times New Roman" w:cs="Times New Roman" w:eastAsia="Times New Roman" w:hAnsi="Times New Roman"/>
          <w:sz w:val="18"/>
          <w:szCs w:val="18"/>
          <w:b w:val="1"/>
          <w:bCs w:val="1"/>
          <w:color w:val="212529"/>
        </w:rPr>
        <w:t>CURRENT REPORT</w:t>
      </w:r>
    </w:p>
    <w:p>
      <w:pPr>
        <w:spacing w:after="0" w:line="117" w:lineRule="exact"/>
        <w:rPr>
          <w:sz w:val="24"/>
          <w:szCs w:val="24"/>
          <w:color w:val="auto"/>
        </w:rPr>
      </w:pPr>
    </w:p>
    <w:p>
      <w:pPr>
        <w:ind w:left="4420"/>
        <w:spacing w:after="0"/>
        <w:rPr>
          <w:sz w:val="20"/>
          <w:szCs w:val="20"/>
          <w:color w:val="auto"/>
        </w:rPr>
      </w:pPr>
      <w:r>
        <w:rPr>
          <w:rFonts w:ascii="Times New Roman" w:cs="Times New Roman" w:eastAsia="Times New Roman" w:hAnsi="Times New Roman"/>
          <w:sz w:val="18"/>
          <w:szCs w:val="18"/>
          <w:b w:val="1"/>
          <w:bCs w:val="1"/>
          <w:color w:val="212529"/>
        </w:rPr>
        <w:t>Pursuant to Section 13 or 15(d)</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212529"/>
        </w:rPr>
        <w:t>of the Securities Exchange Act of 1934</w:t>
      </w:r>
    </w:p>
    <w:p>
      <w:pPr>
        <w:spacing w:after="0" w:line="9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212529"/>
        </w:rPr>
        <w:t xml:space="preserve">Date of Report (Date of earliest event reported): </w:t>
      </w:r>
      <w:r>
        <w:rPr>
          <w:rFonts w:ascii="Times New Roman" w:cs="Times New Roman" w:eastAsia="Times New Roman" w:hAnsi="Times New Roman"/>
          <w:sz w:val="18"/>
          <w:szCs w:val="18"/>
          <w:b w:val="1"/>
          <w:bCs w:val="1"/>
          <w:color w:val="212529"/>
        </w:rPr>
        <w:t>January 5, 2023</w:t>
      </w:r>
    </w:p>
    <w:p>
      <w:pPr>
        <w:spacing w:after="0" w:line="31" w:lineRule="exact"/>
        <w:rPr>
          <w:sz w:val="24"/>
          <w:szCs w:val="24"/>
          <w:color w:val="auto"/>
        </w:rPr>
      </w:pPr>
    </w:p>
    <w:p>
      <w:pPr>
        <w:ind w:left="3780"/>
        <w:spacing w:after="0"/>
        <w:rPr>
          <w:sz w:val="20"/>
          <w:szCs w:val="20"/>
          <w:color w:val="auto"/>
        </w:rPr>
      </w:pPr>
      <w:r>
        <w:rPr>
          <w:rFonts w:ascii="Times New Roman" w:cs="Times New Roman" w:eastAsia="Times New Roman" w:hAnsi="Times New Roman"/>
          <w:sz w:val="18"/>
          <w:szCs w:val="18"/>
          <w:color w:val="auto"/>
        </w:rPr>
        <w:t>_________________________________________</w:t>
      </w:r>
    </w:p>
    <w:p>
      <w:pPr>
        <w:spacing w:after="0" w:line="9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212529"/>
        </w:rPr>
        <w:t>SOUNDHOUND AI, INC.</w:t>
      </w:r>
    </w:p>
    <w:p>
      <w:pPr>
        <w:spacing w:after="0" w:line="2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212529"/>
        </w:rPr>
        <w:t>(Exact name of registrant as specified in its charter)</w:t>
      </w:r>
    </w:p>
    <w:p>
      <w:pPr>
        <w:spacing w:after="0" w:line="7" w:lineRule="exact"/>
        <w:rPr>
          <w:sz w:val="24"/>
          <w:szCs w:val="24"/>
          <w:color w:val="auto"/>
        </w:rPr>
      </w:pPr>
    </w:p>
    <w:p>
      <w:pPr>
        <w:ind w:left="3780"/>
        <w:spacing w:after="0"/>
        <w:rPr>
          <w:sz w:val="20"/>
          <w:szCs w:val="20"/>
          <w:color w:val="auto"/>
        </w:rPr>
      </w:pPr>
      <w:r>
        <w:rPr>
          <w:rFonts w:ascii="Times New Roman" w:cs="Times New Roman" w:eastAsia="Times New Roman" w:hAnsi="Times New Roman"/>
          <w:sz w:val="18"/>
          <w:szCs w:val="18"/>
          <w:color w:val="auto"/>
        </w:rPr>
        <w:t>_________________________________________</w:t>
      </w:r>
    </w:p>
    <w:p>
      <w:pPr>
        <w:spacing w:after="0" w:line="135"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600" w:type="dxa"/>
            <w:vAlign w:val="bottom"/>
            <w:gridSpan w:val="3"/>
          </w:tcPr>
          <w:p>
            <w:pPr>
              <w:jc w:val="center"/>
              <w:ind w:right="900"/>
              <w:spacing w:after="0"/>
              <w:rPr>
                <w:sz w:val="20"/>
                <w:szCs w:val="20"/>
                <w:color w:val="auto"/>
              </w:rPr>
            </w:pPr>
            <w:r>
              <w:rPr>
                <w:rFonts w:ascii="Times New Roman" w:cs="Times New Roman" w:eastAsia="Times New Roman" w:hAnsi="Times New Roman"/>
                <w:sz w:val="18"/>
                <w:szCs w:val="18"/>
                <w:b w:val="1"/>
                <w:bCs w:val="1"/>
                <w:color w:val="auto"/>
              </w:rPr>
              <w:t>Delaware</w:t>
            </w:r>
          </w:p>
        </w:tc>
        <w:tc>
          <w:tcPr>
            <w:tcW w:w="2860" w:type="dxa"/>
            <w:vAlign w:val="bottom"/>
            <w:gridSpan w:val="3"/>
          </w:tcPr>
          <w:p>
            <w:pPr>
              <w:jc w:val="center"/>
              <w:ind w:right="800"/>
              <w:spacing w:after="0"/>
              <w:rPr>
                <w:sz w:val="20"/>
                <w:szCs w:val="20"/>
                <w:color w:val="auto"/>
              </w:rPr>
            </w:pPr>
            <w:r>
              <w:rPr>
                <w:rFonts w:ascii="Times New Roman" w:cs="Times New Roman" w:eastAsia="Times New Roman" w:hAnsi="Times New Roman"/>
                <w:sz w:val="18"/>
                <w:szCs w:val="18"/>
                <w:b w:val="1"/>
                <w:bCs w:val="1"/>
                <w:color w:val="auto"/>
                <w:w w:val="99"/>
              </w:rPr>
              <w:t>001-40193</w:t>
            </w:r>
          </w:p>
        </w:tc>
        <w:tc>
          <w:tcPr>
            <w:tcW w:w="100" w:type="dxa"/>
            <w:vAlign w:val="bottom"/>
          </w:tcPr>
          <w:p>
            <w:pPr>
              <w:spacing w:after="0"/>
              <w:rPr>
                <w:sz w:val="20"/>
                <w:szCs w:val="20"/>
                <w:color w:val="auto"/>
              </w:rPr>
            </w:pPr>
          </w:p>
        </w:tc>
        <w:tc>
          <w:tcPr>
            <w:tcW w:w="36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85-1286799</w:t>
            </w:r>
          </w:p>
        </w:tc>
        <w:tc>
          <w:tcPr>
            <w:tcW w:w="0" w:type="dxa"/>
            <w:vAlign w:val="bottom"/>
          </w:tcPr>
          <w:p>
            <w:pPr>
              <w:spacing w:after="0"/>
              <w:rPr>
                <w:sz w:val="1"/>
                <w:szCs w:val="1"/>
                <w:color w:val="auto"/>
              </w:rPr>
            </w:pPr>
          </w:p>
        </w:tc>
      </w:tr>
      <w:tr>
        <w:trPr>
          <w:trHeight w:val="178"/>
        </w:trPr>
        <w:tc>
          <w:tcPr>
            <w:tcW w:w="3700" w:type="dxa"/>
            <w:vAlign w:val="bottom"/>
            <w:tcBorders>
              <w:top w:val="single" w:sz="8" w:color="auto"/>
            </w:tcBorders>
          </w:tcPr>
          <w:p>
            <w:pPr>
              <w:jc w:val="center"/>
              <w:spacing w:after="0" w:line="177" w:lineRule="exact"/>
              <w:rPr>
                <w:sz w:val="20"/>
                <w:szCs w:val="20"/>
                <w:color w:val="auto"/>
              </w:rPr>
            </w:pPr>
            <w:r>
              <w:rPr>
                <w:rFonts w:ascii="Times New Roman" w:cs="Times New Roman" w:eastAsia="Times New Roman" w:hAnsi="Times New Roman"/>
                <w:sz w:val="18"/>
                <w:szCs w:val="18"/>
                <w:color w:val="auto"/>
              </w:rPr>
              <w:t>(State or other jurisdiction</w:t>
            </w:r>
          </w:p>
        </w:tc>
        <w:tc>
          <w:tcPr>
            <w:tcW w:w="80" w:type="dxa"/>
            <w:vAlign w:val="bottom"/>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2860" w:type="dxa"/>
            <w:vAlign w:val="bottom"/>
            <w:tcBorders>
              <w:top w:val="single" w:sz="8" w:color="auto"/>
            </w:tcBorders>
            <w:gridSpan w:val="3"/>
          </w:tcPr>
          <w:p>
            <w:pPr>
              <w:jc w:val="center"/>
              <w:ind w:right="800"/>
              <w:spacing w:after="0" w:line="177" w:lineRule="exact"/>
              <w:rPr>
                <w:sz w:val="20"/>
                <w:szCs w:val="20"/>
                <w:color w:val="auto"/>
              </w:rPr>
            </w:pPr>
            <w:r>
              <w:rPr>
                <w:rFonts w:ascii="Times New Roman" w:cs="Times New Roman" w:eastAsia="Times New Roman" w:hAnsi="Times New Roman"/>
                <w:sz w:val="18"/>
                <w:szCs w:val="18"/>
                <w:color w:val="auto"/>
              </w:rPr>
              <w:t>(Commission File</w:t>
            </w:r>
          </w:p>
        </w:tc>
        <w:tc>
          <w:tcPr>
            <w:tcW w:w="100" w:type="dxa"/>
            <w:vAlign w:val="bottom"/>
          </w:tcPr>
          <w:p>
            <w:pPr>
              <w:spacing w:after="0"/>
              <w:rPr>
                <w:sz w:val="15"/>
                <w:szCs w:val="15"/>
                <w:color w:val="auto"/>
              </w:rPr>
            </w:pPr>
          </w:p>
        </w:tc>
        <w:tc>
          <w:tcPr>
            <w:tcW w:w="3680" w:type="dxa"/>
            <w:vAlign w:val="bottom"/>
            <w:tcBorders>
              <w:top w:val="single" w:sz="8" w:color="auto"/>
            </w:tcBorders>
          </w:tcPr>
          <w:p>
            <w:pPr>
              <w:jc w:val="center"/>
              <w:spacing w:after="0" w:line="177" w:lineRule="exact"/>
              <w:rPr>
                <w:sz w:val="20"/>
                <w:szCs w:val="20"/>
                <w:color w:val="auto"/>
              </w:rPr>
            </w:pPr>
            <w:r>
              <w:rPr>
                <w:rFonts w:ascii="Times New Roman" w:cs="Times New Roman" w:eastAsia="Times New Roman" w:hAnsi="Times New Roman"/>
                <w:sz w:val="18"/>
                <w:szCs w:val="18"/>
                <w:color w:val="auto"/>
              </w:rPr>
              <w:t>(I.R.S. Employer</w:t>
            </w:r>
          </w:p>
        </w:tc>
        <w:tc>
          <w:tcPr>
            <w:tcW w:w="0" w:type="dxa"/>
            <w:vAlign w:val="bottom"/>
          </w:tcPr>
          <w:p>
            <w:pPr>
              <w:spacing w:after="0"/>
              <w:rPr>
                <w:sz w:val="1"/>
                <w:szCs w:val="1"/>
                <w:color w:val="auto"/>
              </w:rPr>
            </w:pPr>
          </w:p>
        </w:tc>
      </w:tr>
      <w:tr>
        <w:trPr>
          <w:trHeight w:val="234"/>
        </w:trPr>
        <w:tc>
          <w:tcPr>
            <w:tcW w:w="4600" w:type="dxa"/>
            <w:vAlign w:val="bottom"/>
            <w:gridSpan w:val="3"/>
          </w:tcPr>
          <w:p>
            <w:pPr>
              <w:jc w:val="center"/>
              <w:ind w:right="90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2960" w:type="dxa"/>
            <w:vAlign w:val="bottom"/>
            <w:gridSpan w:val="4"/>
          </w:tcPr>
          <w:p>
            <w:pPr>
              <w:jc w:val="center"/>
              <w:ind w:right="920"/>
              <w:spacing w:after="0"/>
              <w:rPr>
                <w:sz w:val="20"/>
                <w:szCs w:val="20"/>
                <w:color w:val="auto"/>
              </w:rPr>
            </w:pPr>
            <w:r>
              <w:rPr>
                <w:rFonts w:ascii="Times New Roman" w:cs="Times New Roman" w:eastAsia="Times New Roman" w:hAnsi="Times New Roman"/>
                <w:sz w:val="18"/>
                <w:szCs w:val="18"/>
                <w:color w:val="auto"/>
                <w:w w:val="98"/>
              </w:rPr>
              <w:t>Number)</w:t>
            </w:r>
          </w:p>
        </w:tc>
        <w:tc>
          <w:tcPr>
            <w:tcW w:w="36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c>
          <w:tcPr>
            <w:tcW w:w="0" w:type="dxa"/>
            <w:vAlign w:val="bottom"/>
          </w:tcPr>
          <w:p>
            <w:pPr>
              <w:spacing w:after="0"/>
              <w:rPr>
                <w:sz w:val="1"/>
                <w:szCs w:val="1"/>
                <w:color w:val="auto"/>
              </w:rPr>
            </w:pPr>
          </w:p>
        </w:tc>
      </w:tr>
      <w:tr>
        <w:trPr>
          <w:trHeight w:val="405"/>
        </w:trPr>
        <w:tc>
          <w:tcPr>
            <w:tcW w:w="4600" w:type="dxa"/>
            <w:vAlign w:val="bottom"/>
            <w:gridSpan w:val="3"/>
          </w:tcPr>
          <w:p>
            <w:pPr>
              <w:jc w:val="center"/>
              <w:ind w:left="890"/>
              <w:spacing w:after="0"/>
              <w:rPr>
                <w:sz w:val="20"/>
                <w:szCs w:val="20"/>
                <w:color w:val="auto"/>
              </w:rPr>
            </w:pPr>
            <w:r>
              <w:rPr>
                <w:rFonts w:ascii="Times New Roman" w:cs="Times New Roman" w:eastAsia="Times New Roman" w:hAnsi="Times New Roman"/>
                <w:sz w:val="18"/>
                <w:szCs w:val="18"/>
                <w:b w:val="1"/>
                <w:bCs w:val="1"/>
                <w:color w:val="auto"/>
                <w:w w:val="99"/>
              </w:rPr>
              <w:t>5400 Betsy Ross Drive</w:t>
            </w: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80" w:type="dxa"/>
            <w:vAlign w:val="bottom"/>
            <w:vMerge w:val="restart"/>
          </w:tcPr>
          <w:p>
            <w:pPr>
              <w:jc w:val="right"/>
              <w:ind w:right="2470"/>
              <w:spacing w:after="0"/>
              <w:rPr>
                <w:sz w:val="20"/>
                <w:szCs w:val="20"/>
                <w:color w:val="auto"/>
              </w:rPr>
            </w:pPr>
            <w:r>
              <w:rPr>
                <w:rFonts w:ascii="Times New Roman" w:cs="Times New Roman" w:eastAsia="Times New Roman" w:hAnsi="Times New Roman"/>
                <w:sz w:val="18"/>
                <w:szCs w:val="18"/>
                <w:b w:val="1"/>
                <w:bCs w:val="1"/>
                <w:color w:val="auto"/>
              </w:rPr>
              <w:t>95054</w:t>
            </w:r>
          </w:p>
        </w:tc>
        <w:tc>
          <w:tcPr>
            <w:tcW w:w="0" w:type="dxa"/>
            <w:vAlign w:val="bottom"/>
          </w:tcPr>
          <w:p>
            <w:pPr>
              <w:spacing w:after="0"/>
              <w:rPr>
                <w:sz w:val="1"/>
                <w:szCs w:val="1"/>
                <w:color w:val="auto"/>
              </w:rPr>
            </w:pPr>
          </w:p>
        </w:tc>
      </w:tr>
      <w:tr>
        <w:trPr>
          <w:trHeight w:val="243"/>
        </w:trPr>
        <w:tc>
          <w:tcPr>
            <w:tcW w:w="4600" w:type="dxa"/>
            <w:vAlign w:val="bottom"/>
            <w:tcBorders>
              <w:bottom w:val="single" w:sz="8" w:color="auto"/>
            </w:tcBorders>
            <w:gridSpan w:val="3"/>
          </w:tcPr>
          <w:p>
            <w:pPr>
              <w:jc w:val="center"/>
              <w:ind w:left="890"/>
              <w:spacing w:after="0"/>
              <w:rPr>
                <w:sz w:val="20"/>
                <w:szCs w:val="20"/>
                <w:color w:val="auto"/>
              </w:rPr>
            </w:pPr>
            <w:r>
              <w:rPr>
                <w:rFonts w:ascii="Times New Roman" w:cs="Times New Roman" w:eastAsia="Times New Roman" w:hAnsi="Times New Roman"/>
                <w:sz w:val="18"/>
                <w:szCs w:val="18"/>
                <w:b w:val="1"/>
                <w:bCs w:val="1"/>
                <w:color w:val="auto"/>
                <w:w w:val="98"/>
              </w:rPr>
              <w:t>Santa Clara, CA</w:t>
            </w:r>
          </w:p>
        </w:tc>
        <w:tc>
          <w:tcPr>
            <w:tcW w:w="96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8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80" w:type="dxa"/>
            <w:vAlign w:val="bottom"/>
            <w:tcBorders>
              <w:bottom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28"/>
        </w:trPr>
        <w:tc>
          <w:tcPr>
            <w:tcW w:w="4600" w:type="dxa"/>
            <w:vAlign w:val="bottom"/>
            <w:gridSpan w:val="3"/>
          </w:tcPr>
          <w:p>
            <w:pPr>
              <w:jc w:val="center"/>
              <w:ind w:left="89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80" w:type="dxa"/>
            <w:vAlign w:val="bottom"/>
          </w:tcPr>
          <w:p>
            <w:pPr>
              <w:jc w:val="center"/>
              <w:ind w:right="1810"/>
              <w:spacing w:after="0"/>
              <w:rPr>
                <w:sz w:val="20"/>
                <w:szCs w:val="20"/>
                <w:color w:val="auto"/>
              </w:rPr>
            </w:pPr>
            <w:r>
              <w:rPr>
                <w:rFonts w:ascii="Times New Roman" w:cs="Times New Roman" w:eastAsia="Times New Roman" w:hAnsi="Times New Roman"/>
                <w:sz w:val="18"/>
                <w:szCs w:val="18"/>
                <w:color w:val="auto"/>
                <w:w w:val="98"/>
              </w:rPr>
              <w:t>(Zip Code)</w:t>
            </w:r>
          </w:p>
        </w:tc>
        <w:tc>
          <w:tcPr>
            <w:tcW w:w="0" w:type="dxa"/>
            <w:vAlign w:val="bottom"/>
          </w:tcPr>
          <w:p>
            <w:pPr>
              <w:spacing w:after="0"/>
              <w:rPr>
                <w:sz w:val="1"/>
                <w:szCs w:val="1"/>
                <w:color w:val="auto"/>
              </w:rPr>
            </w:pPr>
          </w:p>
        </w:tc>
      </w:tr>
    </w:tbl>
    <w:p>
      <w:pPr>
        <w:spacing w:after="0" w:line="17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212529"/>
        </w:rPr>
        <w:t>Registrant’s telephone number, including area code: (408) 441-3200</w:t>
      </w:r>
    </w:p>
    <w:p>
      <w:pPr>
        <w:spacing w:after="0" w:line="11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212529"/>
        </w:rPr>
        <w:t>(Former name or former address, if changed since last report)</w:t>
      </w:r>
    </w:p>
    <w:p>
      <w:pPr>
        <w:spacing w:after="0" w:line="27" w:lineRule="exact"/>
        <w:rPr>
          <w:sz w:val="24"/>
          <w:szCs w:val="24"/>
          <w:color w:val="auto"/>
        </w:rPr>
      </w:pPr>
    </w:p>
    <w:p>
      <w:pPr>
        <w:ind w:left="3780"/>
        <w:spacing w:after="0"/>
        <w:rPr>
          <w:sz w:val="20"/>
          <w:szCs w:val="20"/>
          <w:color w:val="auto"/>
        </w:rPr>
      </w:pPr>
      <w:r>
        <w:rPr>
          <w:rFonts w:ascii="Times New Roman" w:cs="Times New Roman" w:eastAsia="Times New Roman" w:hAnsi="Times New Roman"/>
          <w:sz w:val="18"/>
          <w:szCs w:val="18"/>
          <w:color w:val="auto"/>
        </w:rPr>
        <w:t>_________________________________________</w:t>
      </w:r>
    </w:p>
    <w:p>
      <w:pPr>
        <w:spacing w:after="0" w:line="99" w:lineRule="exact"/>
        <w:rPr>
          <w:sz w:val="24"/>
          <w:szCs w:val="24"/>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212529"/>
        </w:rPr>
        <w:t>Check the appropriate box below if the Form 8-K filing is intended to simultaneously satisfy the filing obligation of the registrant under any of the following provisions (see General Instruction A.2. below):</w:t>
      </w:r>
    </w:p>
    <w:p>
      <w:pPr>
        <w:spacing w:after="0" w:line="94" w:lineRule="exact"/>
        <w:rPr>
          <w:sz w:val="24"/>
          <w:szCs w:val="24"/>
          <w:color w:val="auto"/>
        </w:rPr>
      </w:pPr>
    </w:p>
    <w:p>
      <w:pPr>
        <w:ind w:left="360" w:hanging="334"/>
        <w:spacing w:after="0"/>
        <w:tabs>
          <w:tab w:leader="none" w:pos="360" w:val="left"/>
        </w:tabs>
        <w:numPr>
          <w:ilvl w:val="0"/>
          <w:numId w:val="1"/>
        </w:numPr>
        <w:rPr>
          <w:rFonts w:ascii="Wingdings" w:cs="Wingdings" w:eastAsia="Wingdings" w:hAnsi="Wingdings"/>
          <w:sz w:val="18"/>
          <w:szCs w:val="18"/>
          <w:b w:val="1"/>
          <w:bCs w:val="1"/>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Wingdings" w:cs="Wingdings" w:eastAsia="Wingdings" w:hAnsi="Wingdings"/>
          <w:sz w:val="18"/>
          <w:szCs w:val="18"/>
          <w:b w:val="1"/>
          <w:bCs w:val="1"/>
          <w:color w:val="auto"/>
        </w:rPr>
      </w:pPr>
    </w:p>
    <w:p>
      <w:pPr>
        <w:ind w:left="360" w:hanging="334"/>
        <w:spacing w:after="0"/>
        <w:tabs>
          <w:tab w:leader="none" w:pos="360" w:val="left"/>
        </w:tabs>
        <w:numPr>
          <w:ilvl w:val="0"/>
          <w:numId w:val="1"/>
        </w:numPr>
        <w:rPr>
          <w:rFonts w:ascii="Wingdings" w:cs="Wingdings" w:eastAsia="Wingdings" w:hAnsi="Wingdings"/>
          <w:sz w:val="18"/>
          <w:szCs w:val="18"/>
          <w:b w:val="1"/>
          <w:bCs w:val="1"/>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Wingdings" w:cs="Wingdings" w:eastAsia="Wingdings" w:hAnsi="Wingdings"/>
          <w:sz w:val="18"/>
          <w:szCs w:val="18"/>
          <w:b w:val="1"/>
          <w:bCs w:val="1"/>
          <w:color w:val="auto"/>
        </w:rPr>
      </w:pPr>
    </w:p>
    <w:p>
      <w:pPr>
        <w:ind w:left="360" w:hanging="334"/>
        <w:spacing w:after="0"/>
        <w:tabs>
          <w:tab w:leader="none" w:pos="360" w:val="left"/>
        </w:tabs>
        <w:numPr>
          <w:ilvl w:val="0"/>
          <w:numId w:val="1"/>
        </w:numPr>
        <w:rPr>
          <w:rFonts w:ascii="Wingdings" w:cs="Wingdings" w:eastAsia="Wingdings" w:hAnsi="Wingdings"/>
          <w:sz w:val="18"/>
          <w:szCs w:val="18"/>
          <w:b w:val="1"/>
          <w:bCs w:val="1"/>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Wingdings" w:cs="Wingdings" w:eastAsia="Wingdings" w:hAnsi="Wingdings"/>
          <w:sz w:val="18"/>
          <w:szCs w:val="18"/>
          <w:b w:val="1"/>
          <w:bCs w:val="1"/>
          <w:color w:val="auto"/>
        </w:rPr>
      </w:pPr>
    </w:p>
    <w:p>
      <w:pPr>
        <w:ind w:left="360" w:hanging="334"/>
        <w:spacing w:after="0"/>
        <w:tabs>
          <w:tab w:leader="none" w:pos="360" w:val="left"/>
        </w:tabs>
        <w:numPr>
          <w:ilvl w:val="0"/>
          <w:numId w:val="1"/>
        </w:numPr>
        <w:rPr>
          <w:rFonts w:ascii="Wingdings" w:cs="Wingdings" w:eastAsia="Wingdings" w:hAnsi="Wingdings"/>
          <w:sz w:val="18"/>
          <w:szCs w:val="18"/>
          <w:b w:val="1"/>
          <w:bCs w:val="1"/>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35"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60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1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5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3"/>
        </w:trPr>
        <w:tc>
          <w:tcPr>
            <w:tcW w:w="45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Class A Common Stock, $0.0001 par value per share</w:t>
            </w:r>
          </w:p>
        </w:tc>
        <w:tc>
          <w:tcPr>
            <w:tcW w:w="100" w:type="dxa"/>
            <w:vAlign w:val="bottom"/>
            <w:tcBorders>
              <w:top w:val="single" w:sz="8" w:color="CCEEFF"/>
            </w:tcBorders>
            <w:shd w:val="clear" w:color="auto" w:fill="CCEEFF"/>
          </w:tcPr>
          <w:p>
            <w:pPr>
              <w:spacing w:after="0"/>
              <w:rPr>
                <w:sz w:val="19"/>
                <w:szCs w:val="19"/>
                <w:color w:val="auto"/>
              </w:rPr>
            </w:pPr>
          </w:p>
        </w:tc>
        <w:tc>
          <w:tcPr>
            <w:tcW w:w="204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SOUN</w:t>
            </w:r>
          </w:p>
        </w:tc>
        <w:tc>
          <w:tcPr>
            <w:tcW w:w="100" w:type="dxa"/>
            <w:vAlign w:val="bottom"/>
            <w:tcBorders>
              <w:top w:val="single" w:sz="8" w:color="CCEEFF"/>
            </w:tcBorders>
            <w:shd w:val="clear" w:color="auto" w:fill="CCEEFF"/>
          </w:tcPr>
          <w:p>
            <w:pPr>
              <w:spacing w:after="0"/>
              <w:rPr>
                <w:sz w:val="19"/>
                <w:szCs w:val="19"/>
                <w:color w:val="auto"/>
              </w:rPr>
            </w:pPr>
          </w:p>
        </w:tc>
        <w:tc>
          <w:tcPr>
            <w:tcW w:w="45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r>
        <w:trPr>
          <w:trHeight w:val="184"/>
        </w:trPr>
        <w:tc>
          <w:tcPr>
            <w:tcW w:w="4600" w:type="dxa"/>
            <w:vAlign w:val="bottom"/>
            <w:gridSpan w:val="2"/>
          </w:tcPr>
          <w:p>
            <w:pPr>
              <w:jc w:val="center"/>
              <w:ind w:right="100"/>
              <w:spacing w:after="0" w:line="184" w:lineRule="exact"/>
              <w:rPr>
                <w:sz w:val="20"/>
                <w:szCs w:val="20"/>
                <w:color w:val="auto"/>
              </w:rPr>
            </w:pPr>
            <w:r>
              <w:rPr>
                <w:rFonts w:ascii="Times New Roman" w:cs="Times New Roman" w:eastAsia="Times New Roman" w:hAnsi="Times New Roman"/>
                <w:sz w:val="18"/>
                <w:szCs w:val="18"/>
                <w:color w:val="auto"/>
                <w:w w:val="99"/>
              </w:rPr>
              <w:t>Warrants, each exercisable for one share of Class A Common</w:t>
            </w:r>
          </w:p>
        </w:tc>
        <w:tc>
          <w:tcPr>
            <w:tcW w:w="2140" w:type="dxa"/>
            <w:vAlign w:val="bottom"/>
            <w:gridSpan w:val="2"/>
          </w:tcPr>
          <w:p>
            <w:pPr>
              <w:jc w:val="center"/>
              <w:ind w:right="120"/>
              <w:spacing w:after="0" w:line="184" w:lineRule="exact"/>
              <w:rPr>
                <w:sz w:val="20"/>
                <w:szCs w:val="20"/>
                <w:color w:val="auto"/>
              </w:rPr>
            </w:pPr>
            <w:r>
              <w:rPr>
                <w:rFonts w:ascii="Times New Roman" w:cs="Times New Roman" w:eastAsia="Times New Roman" w:hAnsi="Times New Roman"/>
                <w:sz w:val="18"/>
                <w:szCs w:val="18"/>
                <w:color w:val="auto"/>
                <w:w w:val="99"/>
              </w:rPr>
              <w:t>SOUNW</w:t>
            </w:r>
          </w:p>
        </w:tc>
        <w:tc>
          <w:tcPr>
            <w:tcW w:w="4500" w:type="dxa"/>
            <w:vAlign w:val="bottom"/>
          </w:tcPr>
          <w:p>
            <w:pPr>
              <w:jc w:val="center"/>
              <w:spacing w:after="0" w:line="184" w:lineRule="exact"/>
              <w:rPr>
                <w:sz w:val="20"/>
                <w:szCs w:val="20"/>
                <w:color w:val="auto"/>
              </w:rPr>
            </w:pPr>
            <w:r>
              <w:rPr>
                <w:rFonts w:ascii="Times New Roman" w:cs="Times New Roman" w:eastAsia="Times New Roman" w:hAnsi="Times New Roman"/>
                <w:sz w:val="18"/>
                <w:szCs w:val="18"/>
                <w:color w:val="auto"/>
                <w:w w:val="99"/>
              </w:rPr>
              <w:t>The Nasdaq Stock Market LLC</w:t>
            </w:r>
          </w:p>
        </w:tc>
      </w:tr>
      <w:tr>
        <w:trPr>
          <w:trHeight w:val="180"/>
        </w:trPr>
        <w:tc>
          <w:tcPr>
            <w:tcW w:w="4600" w:type="dxa"/>
            <w:vAlign w:val="bottom"/>
            <w:gridSpan w:val="2"/>
          </w:tcPr>
          <w:p>
            <w:pPr>
              <w:jc w:val="center"/>
              <w:ind w:right="80"/>
              <w:spacing w:after="0" w:line="181" w:lineRule="exact"/>
              <w:rPr>
                <w:sz w:val="20"/>
                <w:szCs w:val="20"/>
                <w:color w:val="auto"/>
              </w:rPr>
            </w:pPr>
            <w:r>
              <w:rPr>
                <w:rFonts w:ascii="Times New Roman" w:cs="Times New Roman" w:eastAsia="Times New Roman" w:hAnsi="Times New Roman"/>
                <w:sz w:val="18"/>
                <w:szCs w:val="18"/>
                <w:color w:val="auto"/>
                <w:w w:val="99"/>
              </w:rPr>
              <w:t>Stock at an exercise price of $11.50 per share, subject to</w:t>
            </w:r>
          </w:p>
        </w:tc>
        <w:tc>
          <w:tcPr>
            <w:tcW w:w="2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500" w:type="dxa"/>
            <w:vAlign w:val="bottom"/>
          </w:tcPr>
          <w:p>
            <w:pPr>
              <w:spacing w:after="0"/>
              <w:rPr>
                <w:sz w:val="15"/>
                <w:szCs w:val="15"/>
                <w:color w:val="auto"/>
              </w:rPr>
            </w:pPr>
          </w:p>
        </w:tc>
      </w:tr>
      <w:tr>
        <w:trPr>
          <w:trHeight w:val="234"/>
        </w:trPr>
        <w:tc>
          <w:tcPr>
            <w:tcW w:w="460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color w:val="auto"/>
              </w:rPr>
              <w:t>adjustment</w:t>
            </w:r>
          </w:p>
        </w:tc>
        <w:tc>
          <w:tcPr>
            <w:tcW w:w="2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500" w:type="dxa"/>
            <w:vAlign w:val="bottom"/>
          </w:tcPr>
          <w:p>
            <w:pPr>
              <w:spacing w:after="0"/>
              <w:rPr>
                <w:sz w:val="20"/>
                <w:szCs w:val="20"/>
                <w:color w:val="auto"/>
              </w:rPr>
            </w:pPr>
          </w:p>
        </w:tc>
      </w:tr>
    </w:tbl>
    <w:p>
      <w:pPr>
        <w:spacing w:after="0" w:line="179"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212529"/>
        </w:rPr>
        <w:t>Indicate by check mark whether the registrant is an emerging growth company as defined in Rule 405 of the Securities Act of 1933 (§230.405 of this chapter) or Rule 12b-2 of the Securities Exchange Act of 1934 (§240.12b-2 of this chapter).</w:t>
      </w:r>
    </w:p>
    <w:p>
      <w:pPr>
        <w:spacing w:after="0" w:line="54"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212529"/>
        </w:rPr>
        <w:t xml:space="preserve">Emerging growth company </w:t>
      </w:r>
      <w:r>
        <w:rPr>
          <w:rFonts w:ascii="Wingdings" w:cs="Wingdings" w:eastAsia="Wingdings" w:hAnsi="Wingdings"/>
          <w:sz w:val="18"/>
          <w:szCs w:val="18"/>
          <w:b w:val="1"/>
          <w:bCs w:val="1"/>
          <w:color w:val="212529"/>
        </w:rPr>
        <w:t>x</w:t>
      </w:r>
    </w:p>
    <w:p>
      <w:pPr>
        <w:spacing w:after="0" w:line="117"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212529"/>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cs="Wingdings" w:eastAsia="Wingdings" w:hAnsi="Wingdings"/>
          <w:sz w:val="18"/>
          <w:szCs w:val="18"/>
          <w:b w:val="1"/>
          <w:bCs w:val="1"/>
          <w:color w:val="212529"/>
        </w:rPr>
        <w: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744220</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80010</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105410</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341" w:right="339" w:bottom="1440" w:gutter="0" w:footer="0" w:header="0"/>
        </w:sectPr>
      </w:pPr>
    </w:p>
    <w:bookmarkStart w:id="1" w:name="page2"/>
    <w:bookmarkEnd w:id="1"/>
    <w:p>
      <w:pPr>
        <w:spacing w:after="0"/>
        <w:tabs>
          <w:tab w:leader="none" w:pos="880" w:val="left"/>
        </w:tabs>
        <w:rPr>
          <w:sz w:val="20"/>
          <w:szCs w:val="20"/>
          <w:color w:val="auto"/>
        </w:rPr>
      </w:pPr>
      <w:r>
        <w:rPr>
          <w:rFonts w:ascii="Times New Roman" w:cs="Times New Roman" w:eastAsia="Times New Roman" w:hAnsi="Times New Roman"/>
          <w:sz w:val="18"/>
          <w:szCs w:val="18"/>
          <w:b w:val="1"/>
          <w:bCs w:val="1"/>
          <w:color w:val="auto"/>
        </w:rPr>
        <w:t>Item 2.05</w:t>
        <w:tab/>
        <w:t>Costs Associated with Exit or Disposal Activities</w:t>
      </w:r>
    </w:p>
    <w:p>
      <w:pPr>
        <w:spacing w:after="0" w:line="229"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212529"/>
        </w:rPr>
        <w:t>On January 5, 2023, SoundHound AI, Inc. (“SoundHound,” the “Company,” “we,” “us” or “our”) announced a restructuring plan (the “Plan”) intended to reduce operating costs, improve operating margins, improve cash flows and accelerate the Company’s path to profitability. The Plan includes a reduction of the Company’s current workforce by approximately 40% and select office space reductions within certain markets. Decisions regarding the elimination of employees are subject to local law and consultation requirements in certain countries, as well as the Company’s business needs.</w:t>
      </w:r>
    </w:p>
    <w:p>
      <w:pPr>
        <w:spacing w:after="0" w:line="180"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212529"/>
        </w:rPr>
        <w:t>The Company estimates that it will incur approximately $4.5 million to $5.5 million in charges in connection with the Plan, of which the majority is expected to be incurred in the first quarter of 2023. These charges consist primarily of $4.4 million to $5.2 million in charges related to severance payments, employee benefits and share-based compensation; and $0.1 million to $0.3 million in exit charges associated with the office space reductions. Of the aggregate amount of charges that the Company estimates it will incur in connection with the Plan, the Company expects that approximately $2.0 million to $3.0 million will be in cash expenditures.</w:t>
      </w:r>
    </w:p>
    <w:p>
      <w:pPr>
        <w:spacing w:after="0" w:line="183" w:lineRule="exact"/>
        <w:rPr>
          <w:sz w:val="20"/>
          <w:szCs w:val="20"/>
          <w:color w:val="auto"/>
        </w:rPr>
      </w:pPr>
    </w:p>
    <w:p>
      <w:pPr>
        <w:ind w:right="540"/>
        <w:spacing w:after="0" w:line="282" w:lineRule="auto"/>
        <w:rPr>
          <w:sz w:val="20"/>
          <w:szCs w:val="20"/>
          <w:color w:val="auto"/>
        </w:rPr>
      </w:pPr>
      <w:r>
        <w:rPr>
          <w:rFonts w:ascii="Times New Roman" w:cs="Times New Roman" w:eastAsia="Times New Roman" w:hAnsi="Times New Roman"/>
          <w:sz w:val="18"/>
          <w:szCs w:val="18"/>
          <w:color w:val="212529"/>
        </w:rPr>
        <w:t>The estimates of the charges and expenditures that the Company expects to incur in connection with the Plan, and the timing thereof, are subject to a number of assumptions, including local law requirements in various jurisdictions, and actual amounts may differ materially from estimates.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212529"/>
        </w:rPr>
        <w:t>This Current Report on Form 8-K contains forward-looking statements, including, but not limited to, statements related to the timing of completion of the Plan and the expected costs and charges of the Plan. Words such as “expects,” “anticipates,” “aims,” “projects,” “intends,” “plans,” “believes,” “estimates,” “seeks,” “assumes,” “may,” “should,” “could,” “would,” “foresees,” “forecasts,” “predicts,” “targets,” “commitments,” variations of such words and similar expressions are intended to identify such forward-looking statements. These forward-looking statements are based upon the Company’s current plans, assumptions, beliefs, and expectations. Forward-looking statements are subject to the occurrence of many events outside of the Company’s control. Actual results and the timing of events may differ materially from those contemplated by such forward-looking statements due to numerous factors that involve substantial known and unknown risks and uncertainties. These risks and uncertainties include, among other things, the risk that the restructuring costs and charges may be greater than anticipated; the risk that the Company’s restructuring efforts may adversely affect the Company’s internal programs and the Company’s ability to recruit and retain skilled and motivated personnel, and may be distracting to employees and management; the risk that the Company’s restructuring efforts may negatively impact the Company’s business operations and reputation with or ability to serve customers; the risk that the Company’s restructuring efforts may not generate their intended benefits to the extent or as quickly as anticipated; and other risks and uncertainties included in the reports on Forms 10-K, 10-Q and 8-K and in other filings the Company makes with the Securities and Exchange Commission from time to time, available at www.sec.gov. Forward-looking statements should be considered in light of these risks and uncertainties. Investors and others are cautioned not to place undue reliance on forward-looking statements. All forward-looking statements contained herein speak only as of the date hereof. The Company assumes no obligation and does not intend to update these forward-looking statements, except as required by law.</w:t>
      </w:r>
    </w:p>
    <w:p>
      <w:pPr>
        <w:spacing w:after="0" w:line="200" w:lineRule="exact"/>
        <w:rPr>
          <w:sz w:val="20"/>
          <w:szCs w:val="20"/>
          <w:color w:val="auto"/>
        </w:rPr>
      </w:pPr>
    </w:p>
    <w:p>
      <w:pPr>
        <w:spacing w:after="0" w:line="208"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 and Exhibits.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78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Exhibit Number</w:t>
            </w:r>
          </w:p>
        </w:tc>
        <w:tc>
          <w:tcPr>
            <w:tcW w:w="94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23"/>
        </w:trPr>
        <w:tc>
          <w:tcPr>
            <w:tcW w:w="17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80" w:type="dxa"/>
            <w:vAlign w:val="bottom"/>
            <w:tcBorders>
              <w:top w:val="single" w:sz="8" w:color="CCEEFF"/>
            </w:tcBorders>
            <w:shd w:val="clear" w:color="auto" w:fill="CCEEFF"/>
          </w:tcPr>
          <w:p>
            <w:pPr>
              <w:spacing w:after="0"/>
              <w:rPr>
                <w:sz w:val="19"/>
                <w:szCs w:val="19"/>
                <w:color w:val="auto"/>
              </w:rPr>
            </w:pPr>
          </w:p>
        </w:tc>
        <w:tc>
          <w:tcPr>
            <w:tcW w:w="94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Cover Page Interactive Data File (formatted as inline XBRL)</w:t>
            </w:r>
          </w:p>
        </w:tc>
      </w:tr>
      <w:tr>
        <w:trPr>
          <w:trHeight w:val="905"/>
        </w:trPr>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460" w:type="dxa"/>
            <w:vAlign w:val="bottom"/>
          </w:tcPr>
          <w:p>
            <w:pPr>
              <w:jc w:val="right"/>
              <w:ind w:right="5490"/>
              <w:spacing w:after="0"/>
              <w:rPr>
                <w:sz w:val="20"/>
                <w:szCs w:val="20"/>
                <w:color w:val="auto"/>
              </w:rPr>
            </w:pPr>
            <w:r>
              <w:rPr>
                <w:rFonts w:ascii="Times New Roman" w:cs="Times New Roman" w:eastAsia="Times New Roman" w:hAnsi="Times New Roman"/>
                <w:sz w:val="18"/>
                <w:szCs w:val="18"/>
                <w:color w:val="auto"/>
              </w:rPr>
              <w:t>2</w:t>
            </w:r>
          </w:p>
        </w:tc>
      </w:tr>
      <w:tr>
        <w:trPr>
          <w:trHeight w:val="115"/>
        </w:trPr>
        <w:tc>
          <w:tcPr>
            <w:tcW w:w="17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946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103"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212529"/>
        </w:rPr>
        <w:t>SIGNATURE</w:t>
      </w:r>
    </w:p>
    <w:p>
      <w:pPr>
        <w:spacing w:after="0" w:line="20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212529"/>
        </w:rPr>
        <w:t>Pursuant to the requirements of the Securities Exchange Act of 1934, the registrant has duly caused this Current Report on Form 8-K to be signed on its behalf by the undersigned hereunto duly authorized.</w:t>
      </w:r>
    </w:p>
    <w:p>
      <w:pPr>
        <w:spacing w:after="0" w:line="162" w:lineRule="exact"/>
        <w:rPr>
          <w:sz w:val="20"/>
          <w:szCs w:val="20"/>
          <w:color w:val="auto"/>
        </w:rPr>
      </w:pPr>
    </w:p>
    <w:tbl>
      <w:tblPr>
        <w:tblLayout w:type="fixed"/>
        <w:tblInd w:w="20" w:type="dxa"/>
        <w:tblCellMar>
          <w:top w:w="0" w:type="dxa"/>
          <w:left w:w="0" w:type="dxa"/>
          <w:bottom w:w="0" w:type="dxa"/>
          <w:right w:w="0" w:type="dxa"/>
        </w:tblCellMar>
      </w:tblPr>
      <w:tr>
        <w:trPr>
          <w:trHeight w:val="248"/>
        </w:trPr>
        <w:tc>
          <w:tcPr>
            <w:tcW w:w="3420" w:type="dxa"/>
            <w:vAlign w:val="bottom"/>
          </w:tcPr>
          <w:p>
            <w:pPr>
              <w:spacing w:after="0"/>
              <w:rPr>
                <w:sz w:val="20"/>
                <w:szCs w:val="20"/>
                <w:color w:val="auto"/>
              </w:rPr>
            </w:pPr>
            <w:r>
              <w:rPr>
                <w:rFonts w:ascii="Times New Roman" w:cs="Times New Roman" w:eastAsia="Times New Roman" w:hAnsi="Times New Roman"/>
                <w:sz w:val="18"/>
                <w:szCs w:val="18"/>
                <w:color w:val="auto"/>
              </w:rPr>
              <w:t>Dated: January 11, 2023</w:t>
            </w:r>
          </w:p>
        </w:tc>
        <w:tc>
          <w:tcPr>
            <w:tcW w:w="7800" w:type="dxa"/>
            <w:vAlign w:val="bottom"/>
            <w:gridSpan w:val="3"/>
          </w:tcPr>
          <w:p>
            <w:pPr>
              <w:ind w:left="1640"/>
              <w:spacing w:after="0"/>
              <w:rPr>
                <w:sz w:val="20"/>
                <w:szCs w:val="20"/>
                <w:color w:val="auto"/>
              </w:rPr>
            </w:pPr>
            <w:r>
              <w:rPr>
                <w:rFonts w:ascii="Times New Roman" w:cs="Times New Roman" w:eastAsia="Times New Roman" w:hAnsi="Times New Roman"/>
                <w:sz w:val="18"/>
                <w:szCs w:val="18"/>
                <w:color w:val="auto"/>
              </w:rPr>
              <w:t>SoundHound AI, Inc.</w:t>
            </w:r>
          </w:p>
        </w:tc>
      </w:tr>
      <w:tr>
        <w:trPr>
          <w:trHeight w:val="473"/>
        </w:trPr>
        <w:tc>
          <w:tcPr>
            <w:tcW w:w="3420" w:type="dxa"/>
            <w:vAlign w:val="bottom"/>
          </w:tcPr>
          <w:p>
            <w:pPr>
              <w:spacing w:after="0"/>
              <w:rPr>
                <w:sz w:val="24"/>
                <w:szCs w:val="24"/>
                <w:color w:val="auto"/>
              </w:rPr>
            </w:pPr>
          </w:p>
        </w:tc>
        <w:tc>
          <w:tcPr>
            <w:tcW w:w="7800" w:type="dxa"/>
            <w:vAlign w:val="bottom"/>
            <w:gridSpan w:val="3"/>
          </w:tcPr>
          <w:p>
            <w:pPr>
              <w:ind w:left="1640"/>
              <w:spacing w:after="0"/>
              <w:rPr>
                <w:sz w:val="20"/>
                <w:szCs w:val="20"/>
                <w:color w:val="auto"/>
              </w:rPr>
            </w:pPr>
            <w:r>
              <w:rPr>
                <w:rFonts w:ascii="Times New Roman" w:cs="Times New Roman" w:eastAsia="Times New Roman" w:hAnsi="Times New Roman"/>
                <w:sz w:val="18"/>
                <w:szCs w:val="18"/>
                <w:color w:val="auto"/>
              </w:rPr>
              <w:t>By:  /s/ Keyvan Mohajer</w:t>
            </w:r>
          </w:p>
        </w:tc>
      </w:tr>
      <w:tr>
        <w:trPr>
          <w:trHeight w:val="218"/>
        </w:trPr>
        <w:tc>
          <w:tcPr>
            <w:tcW w:w="342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6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Name:</w:t>
            </w:r>
          </w:p>
        </w:tc>
        <w:tc>
          <w:tcPr>
            <w:tcW w:w="5080" w:type="dxa"/>
            <w:vAlign w:val="bottom"/>
            <w:tcBorders>
              <w:top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Keyvan Mohajer</w:t>
            </w:r>
          </w:p>
        </w:tc>
      </w:tr>
      <w:tr>
        <w:trPr>
          <w:trHeight w:val="234"/>
        </w:trPr>
        <w:tc>
          <w:tcPr>
            <w:tcW w:w="342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Title:</w:t>
            </w:r>
          </w:p>
        </w:tc>
        <w:tc>
          <w:tcPr>
            <w:tcW w:w="50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Chief Executive Officer</w:t>
            </w:r>
          </w:p>
        </w:tc>
      </w:tr>
      <w:tr>
        <w:trPr>
          <w:trHeight w:val="904"/>
        </w:trPr>
        <w:tc>
          <w:tcPr>
            <w:tcW w:w="3420" w:type="dxa"/>
            <w:vAlign w:val="bottom"/>
          </w:tcPr>
          <w:p>
            <w:pPr>
              <w:spacing w:after="0"/>
              <w:rPr>
                <w:sz w:val="24"/>
                <w:szCs w:val="24"/>
                <w:color w:val="auto"/>
              </w:rPr>
            </w:pPr>
          </w:p>
        </w:tc>
        <w:tc>
          <w:tcPr>
            <w:tcW w:w="2720" w:type="dxa"/>
            <w:vAlign w:val="bottom"/>
            <w:gridSpan w:val="2"/>
          </w:tcPr>
          <w:p>
            <w:pPr>
              <w:jc w:val="right"/>
              <w:ind w:right="410"/>
              <w:spacing w:after="0"/>
              <w:rPr>
                <w:sz w:val="20"/>
                <w:szCs w:val="20"/>
                <w:color w:val="auto"/>
              </w:rPr>
            </w:pPr>
            <w:r>
              <w:rPr>
                <w:rFonts w:ascii="Times New Roman" w:cs="Times New Roman" w:eastAsia="Times New Roman" w:hAnsi="Times New Roman"/>
                <w:sz w:val="18"/>
                <w:szCs w:val="18"/>
                <w:color w:val="auto"/>
              </w:rPr>
              <w:t>3</w:t>
            </w:r>
          </w:p>
        </w:tc>
        <w:tc>
          <w:tcPr>
            <w:tcW w:w="5080" w:type="dxa"/>
            <w:vAlign w:val="bottom"/>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1103"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2023-01-11T15:34:27Z</dcterms:created>
  <dcterms:modified xsi:type="dcterms:W3CDTF">2023-01-11T15:34:27Z</dcterms:modified>
</cp:coreProperties>
</file>