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424(b)(3)</w:t>
      </w:r>
    </w:p>
    <w:p>
      <w:pPr>
        <w:pStyle w:val="TextBody"/>
        <w:keepNext w:val="false"/>
        <w:pageBreakBefore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Registration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 333-296284</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 TO STOCKHOLDERS OF LIVEPERSON,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LivePerson, Inc. (“LivePerson”), SoundHound AI, Inc. (“SoundHound”) and Lightspeed Merger Sub, Inc., an indirect, wholly owned subsidiary of SoundHound (“Merger Sub I”), entered into a Merger Agreement (the “Original Merger Agreement”), which was amended and restated on July 2, 2026, by the Amended and Restated Merger Agreement, by and among LivePerson, SoundHound, Merger Sub I and Lightspeed Merger Sub II Inc., an indirect, wholly owned subsidiary of SoundHound (“Merger Sub II”) (as it may be further amended from time to time, the “Merger Agreement”), under which, upon the terms and subject to the conditions set forth therein,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the “Mergers”), with LivePerson surviving the Second Merger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subject to the terms and conditions of the Merger Agreement, LivePerson stockholders will receive, in exchange for each share of LivePerson Common Stock, par value $0.001 per share (“LivePerson Common Stock”), issued and outstanding immediately prior to the time that the First Merger becomes effective (the “First Effective Time”) (other than certain excluded shares, including the TASE Shares (as defined below)) a number of shares of Class A common stock of SoundHound, par value $0.0001 per share (“SoundHound Common Stock”) to be calculated in accordance with the Merger Agreement and as further described in this proxy statement/prospectus (the “Per Share Merger Consideration”). If the Second Merger is completed, subject to the terms and conditions of the Merger Agreement, LivePerson stockholders whose shares of LivePerson Common Stock are held through the Tel-Aviv Stock Exchange Clearing House Ltd. (“TASECH”) (such shares of LivePerson Common Stock, the “TASE Shares”) will receive, in exchange for each TASE Share issued and outstanding immediately prior to the time that the Second Merger becomes effective (the “Second Effective Time”) (other than any Dissenting Shares (used herein as defined in the Merger Agreement )) an amount of cash to be calculated in accordance with the Merger Agreement and as further described in this proxy statement/prospectus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Merger Consideration will be calculated prior to closing of the First Merger in accordance with the terms and conditions of the Merger Agreement and will depend on (1) the “Closing Merger Consideration” and (2) the average of the daily volume-weighted average prices of a share of SoundHound Common Stock on the Nasdaq on each of the ten consecutive trading days ending on (and including) the third (3rd) trading day prior to the date of closing of the Mergers, rounded down to the nearest penny, as reported by Bloomberg (the “SoundHound Closing VWAP Stock Price”), subject to a minimum price per share of SoundHound Common Stock of $7.00 per share and a maximum price per share of SoundHound Common Stock of $12.00 per share (the “SoundHound Closing Stock Price”). If the SoundHound Closing VWAP Stock Price is greater than $12.00 per share, the SoundHound Closing Stock Price will be deemed to equal $12.00 per share, and if such actual average is less than $7.00 per share, the SoundHound Closing Stock Price will be deemed to equal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Merger Consideration” will be calculated by dividing (a) $42,784,532.64 (as such amount may be adjusted (i) downward based on the difference, if any, between the applicable minimum cash threshold in the Merger Agreement and the amount of cash and cash equivalents on LivePerson’s balance sheet shortly before the First Effective Time (as estimated after giving effect to payments to be made in connection with the transactions in accordance with the Merger Agreement), and/or (ii) upward based on the aggregate exercise prices of certain outstanding options over LivePerson Common Stock, in each case as more fully described in this proxy statement/prospectus) (the “Aggregate Consideration Amount”) by (b) the SoundHound Closing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Merger Consideration will be a number of shares of SoundHound Common Stock equal to (a) the Closing Merger Consideration, divided by (b) the Fully Diluted Common Number (as defined in the Merger Agreement), which shall include the total number of shares of LivePerson Common Stock issued and outstanding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First Effective Time plus the total number of shares of LivePerson Common Stock that are issuable upon the conversion, exercise or settlement in full of certain options, awards or other rights to acquire LivePerson Common Stock that are outstanding as of immediately prior to the First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TASE Cash Merger Consideration” will be an amount equal to (i) (A) the Closing Merger Consideration multiplied by (B) the SoundHound Closing VWAP Stock Price, multiplied by (ii) the “Closing TASE Merger Consideration Percentage,” which will be a fraction equal to (A) the total number of TASE Shares issued and outstanding immediately prior to the Second Effective Time (the “Fully Diluted TASE Common Number”) divided by (B) the Fully Diluted Common Number; provided, however, if the Closing TASE Merger Consideration Percentage exceeds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Cash Merger Consideration will be calculated prior to closing of the Second Merger and will be a dollar amount equal to the quotient of (a) the Closing TASE Cash Merger Consideration divided by (b) the Fully Diluted TASE Common Number issued and outstanding immediately prior to the Second Effective Time.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no adjustments are made to the Aggregate Consideration Amount based on the amount of cash and cash equivalents estimated to be on LivePerson’s balance sheet shortly prior to the First Effective Time and approximately 12.8 million shares of LivePerson Common Stock outstanding on a fully diluted basis, and assuming that the total number of TASE Shares immediately prior to the Second Effective Time is not more than approximately 2.25 million shares, the Aggregate Consideration Amount represents approximately $3.33 in value per share of LivePerson Common Stock, which represents a premium of approximately 22% over the volume-weighted average price of LivePerson’s common stock for the thirty days prior to the date of execution of the Original Merger Agreement. LivePerson Common Stock is quoted on the Nasdaq Global Select Market under the symbol “LPSN,” and SoundHound Common Stock is quoted on the Nasdaq Global Market under the symbol “SOUN.” </w:t>
      </w:r>
      <w:r>
        <w:rPr>
          <w:rFonts w:ascii="Times New Roman PS Std;serif" w:hAnsi="Times New Roman PS Std;serif"/>
          <w:b/>
          <w:i w:val="false"/>
          <w:caps w:val="false"/>
          <w:smallCaps w:val="false"/>
          <w:sz w:val="20"/>
        </w:rPr>
        <w:t>Given that the Per Share Merger Consideration and the Per Share Cash Merger Consideration will depend on factors including the trading prices of SoundHound Common Stock during the relevant period prior to the First Effective Time, the amount of cash and cash equivalents estimated to be on LivePerson’s balance sheet shortly before the First Effective Time, and the number of TASE Shares issued and outstanding shortly before the Second Effective Time, at the time of the LivePerson special meeting (defined below), you will not know the precise value of the Per Share Merger Consideration or the Per Share Cash Merger Consideration, as applicable, you may receive on the date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has unanimously approved the Merger Agreement and recommended that LivePerson stockholders vote in favor of adopting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Mergers cannot be completed without approval of the proposal to adopt the Merger Agreement by the affirmative vote of holders of a majority of the outstanding shares of LivePerson Common Stock entitled to vote thereon.    </w:t>
      </w:r>
      <w:r>
        <w:rPr>
          <w:rFonts w:ascii="Times New Roman PS Std;serif" w:hAnsi="Times New Roman PS Std;serif"/>
          <w:b w:val="false"/>
          <w:i w:val="false"/>
          <w:caps w:val="false"/>
          <w:smallCaps w:val="false"/>
          <w:sz w:val="20"/>
        </w:rPr>
        <w:t>Because of this, LivePerson is holding a special meeting of its stockholders on August 20, 2026 to vote on the proposal necessary to complete the Mergers (the “LivePerson special meeting”). At the LivePerson special meeting, LivePerson stockholders will also be asked to approve the non-binding compensation advisory proposal and the adjournment proposal, neither of which is a condition to the consummation of the Mergers. Information about the LivePerson special meeting, the Mergers, the Merger Agreement, and the other business to be considered by stockholders at the LivePerson special meeting is contained in this proxy statement/prospectus. The LivePerson board of directors has fixed the close of business on July 6, 2026 as the record date for the determination of LivePerson stockholders entitled to notice of, and to vote at, the LivePerson special meeting. Any stockholder entitled to attend and vote at the LivePerson special meeting is entitled to appoint a proxy to attend and vote on such stockholder’s behalf. Such proxy need not be a holder of LivePerson Common Stock. We urge you to read this proxy statement/prospectus and the annexes and documents incorporated by reference carefully. </w:t>
      </w:r>
      <w:r>
        <w:rPr>
          <w:rFonts w:ascii="Times New Roman PS Std;serif" w:hAnsi="Times New Roman PS Std;serif"/>
          <w:b/>
          <w:i w:val="false"/>
          <w:caps w:val="false"/>
          <w:smallCaps w:val="false"/>
          <w:sz w:val="20"/>
        </w:rPr>
        <w:t>You should also carefully consider the risks that are described in the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beginning on page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LivePerson board of directors has unanimously determined that the Merger Agreement and the transactions contemplated thereby, including the Mergers, are fair to, and are in the best interests of, the LivePerson stockholders, approved and declared advisable the Merger Agreement and the transactions contemplated thereby, including the Mergers, and directed that the Merger Agreement be submitted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LivePerson’s stockholders for adoption at a meeting of such stockholders, and unanimously recommends that LivePerson stockholders vote (i) “FOR” the proposal to adopt the Merger Agreement and the transactions contemplated thereby, including the Mergers, (ii) “FOR” the proposal on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for named executive officers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regardless of the number of shares of LivePerson Common Stock that you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to being a proxy statement, this document is also a prospectus for shares of SoundHound Common Stock that will be issued to LivePerson stockholders in exchange for each share of LivePerson Common Stock they hold (other than certain excluded shares, including the TASE Shares)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Whether or not you plan to attend the LivePerson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The failure to vote, assuming a quorum is present, will have the same effect as a vote “AGAINST” the proposal to adopt the Merger Agreement and the transactions contemplated thereby, including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being a stockholder of LivePerson. Your vote and participation, no matter how many shares you own, are very important to us. We look forward to seeing you at the virtual LivePerson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bl>
      <w:tblPr>
        <w:tblW w:w="3125" w:type="dxa"/>
        <w:jc w:val="left"/>
        <w:tblInd w:w="0" w:type="dxa"/>
        <w:tblLayout w:type="fixed"/>
        <w:tblCellMar>
          <w:top w:w="0" w:type="dxa"/>
          <w:left w:w="0" w:type="dxa"/>
          <w:bottom w:w="0" w:type="dxa"/>
          <w:right w:w="0" w:type="dxa"/>
        </w:tblCellMar>
      </w:tblPr>
      <w:tblGrid>
        <w:gridCol w:w="766"/>
        <w:gridCol w:w="146"/>
        <w:gridCol w:w="1876"/>
        <w:gridCol w:w="146"/>
        <w:gridCol w:w="191"/>
      </w:tblGrid>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any assistance in authorizing a proxy or voting your shares, please contact our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statement/prospectus is dated July 9, 2026 and is first being mailed to stockholders of LivePerson on or about July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LivePerson, Inc.</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www.liveperson.com</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NOTICE IS HEREBY GIVEN that a Special Meeting of Stockholders (including any adjournments or postponements thereof, the “LivePerson special meeting”) of LivePerson, Inc., a Delaware corporation (“LivePerson”), is scheduled to be held on August 20, 2026 at 10:00 a.m. Eastern Time.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The LivePerson special meeting will be held for the following purposes, as more fully described in the proxy statement/prospectus accompanying this Notice: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adopt the Amended and Restated Merger Agreement, dated July 2, 2026 (as it may be amended from time to time, the “Merger Agreement”), by and among LivePerson, SoundHound AI, Inc. (“SoundHound”), Lightspeed Merger Sub Inc., an indirect wholly owned subsidiary of SoundHound (“Merger Sub I”) and Lightspeed Merger Sub II Inc., an indirect wholly owned subsidiary of SoundHound (“Merger Sub II”), and the transactions contemplated thereby, including the Mergers (as defined below) (and such proposal,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by a non-binding advisory vote, certain compensation that may be paid or become payable to LivePerson’s named executive officers that is based on, or otherwise relates to, the mergers contemplated by the Merger Agreement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adjournment of the LivePerson special meeting, if necessary or appropriate, to solicit additional proxies if there are not sufficient votes to approve the merger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 approval of the merger proposal is required to complete the merger between Merger Sub I and LivePerson (the “First Merger”) and the subsequent merger between Merger Sub II and LivePerson (the “Second Merger”, and, together with the First Merger, collectively the “Mergers”), as contemplated by the Merger Agreement. LivePerson stockholders will also be asked to approve the non-binding compensation advisory proposal and the adjournment proposal, neither of which is a condition to the consummation of the Mergers. LivePerson does not intend to transact any other business at the LivePerson special meeting or any adjournment or postponement thereof. The record date for the LivePerson special meeting has been set as July 6, 2026. Only LivePerson stockholders of record as of the close of business on such record date are entitled to notice of, and to vote at, the LivePerson special meeting or any adjournments and postponements of the LivePerson special meeting. For additional information regarding the LivePerson special meeting,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LivePerson Stockholders</w:t>
      </w:r>
      <w:r>
        <w:rPr>
          <w:rFonts w:ascii="Times New Roman PS Std;serif" w:hAnsi="Times New Roman PS Std;serif"/>
          <w:b w:val="false"/>
          <w:i w:val="false"/>
          <w:caps w:val="false"/>
          <w:smallCaps w:val="false"/>
          <w:sz w:val="20"/>
        </w:rPr>
        <w:t>” beginning on page 32 of the proxy statement/prospectus accompanying this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LivePerson board of directors unanimously recommends that holders of LivePerson Common Stock vote (i) “FOR” the merger proposal, (ii)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proposals are described in more detail in the accompanying proxy statement/prospectus, which you should read carefully and in its entirety before you vote. A copy of the Merger Agreement is attached as Annex A to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virtual format with a live audio webcast for the LivePerson special meeting to provide a consistent experience for all stockholders. You are entitled to attend the LivePerson special meeting only if you were a stockholder as of the close of business on the record date or hold a valid legal proxy for such a stockholder for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consummated, stockholders and beneficial owners who hold or beneficially own shares of LivePerson Common Stock through the Tel-Aviv Stock Exchange Clearing House Ltd (the “TASECH”) and who (i) do not vote in favor of the merger proposal, (ii) properly demand appraisal of their shares of Live Person Common Stock, (iii) continuously hold or beneficially own their shares through the TASECH from the date of making the demand through the effective time of the Second Merger, (iv) otherwise comply with the procedures of Section 262 of the DGCL (“Section 262”) and (v) do not withdraw their demands or otherwise lose their rights of appraisal will be entitled to seek appraisal of their shares in connection with the Second Merger under Section 262. Stockholders and beneficial owners desiring to seek appraisal must comply with all the requirements of Delaware law, which are summarized in the proxy statement accompanying this notice and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VOTE AS PROMPTLY AS POSSIBLE, WHETHER OR NOT YOU PLAN TO ATTEND THE LIVEPERSON SPECIAL MEETING VIA THE SPECIAL MEETING WEBSITE.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Approval of the merger proposal by the LivePerson stockholders is a condition to the consummation of the Mergers and requires the affirmative vote of a majority of the outstanding shares of LivePerson Common Stock entitled to vote on the proposal. Approval of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requires the affirmative vote of a majority of the shares of LivePerson Common Stock having voting power that is present in person or represented by proxy at the LivePerson 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entitled to vote on the proposal. Approval of the adjournment proposal requires the affirmative vote of a majority of the shares of LivePerson Common Stock having voting power that is present in person or represented by proxy at the LivePerson special meeting and entitled to vote on the proposal. LivePerson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via the LivePerson special meeting website will have the same effect as a vote “AGAINST”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the same effect as a vote “AGAINST” the merger proposal and will have no effect on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broker, bank or other nominee is the holder of record of your shares (i.e., your shares are held in “street name”), you will receive a voting instruction form from the holder of record. We recommend that you instruct your broker, bank or other nominee to submit your proxy to vote your shares on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number of shares of common stock that you own, your vote will be very important. Thank you for your ongoing support, interest and investment in LivePerson.</w:t>
      </w:r>
    </w:p>
    <w:tbl>
      <w:tblPr>
        <w:tblW w:w="4251" w:type="dxa"/>
        <w:jc w:val="left"/>
        <w:tblInd w:w="0" w:type="dxa"/>
        <w:tblLayout w:type="fixed"/>
        <w:tblCellMar>
          <w:top w:w="0" w:type="dxa"/>
          <w:left w:w="0" w:type="dxa"/>
          <w:bottom w:w="0" w:type="dxa"/>
          <w:right w:w="0" w:type="dxa"/>
        </w:tblCellMar>
      </w:tblPr>
      <w:tblGrid>
        <w:gridCol w:w="161"/>
        <w:gridCol w:w="146"/>
        <w:gridCol w:w="1051"/>
        <w:gridCol w:w="204"/>
        <w:gridCol w:w="268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944" w:type="dxa"/>
            <w:gridSpan w:val="3"/>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Important Notice Regarding the Availability of Proxy Materials for the Special Meeting of Stockholders Scheduled to Be Held on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20, 2026 at 10:00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Notice of Special Meeting of Stockholders, the accompanying proxy statement/prospectus and LivePerson’s Annual Report for the fiscal year ended December 31, 2025, are available free of charge at www.proxyvote.com.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 you have any questions concerning the business to be conducted at the LivePerson special meeting, would like additional copies of the proxy statement/prospectus or need help submitting a proxy for your shares, please contact MacKenzie Partners, LivePerson’s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important business and financial information about SoundHound AI, Inc. (“SoundHound”) and LivePerson, Inc. (“LivePerson”) from other documents that are not included in or delivered with this proxy statement/prospectus, including documents that SoundHound and LivePerson have filed with the U.S. Securities and Exchange Commission (the “SEC”). For a listing of documents incorporated by reference herein,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other information concerning SoundHound or LivePerson, without charge, upon written or oral request to the applicable company’s principal executive offices. The respective addresses and phone numbers of such principal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 xml:space="preserve">530 Seventh Ave, Floor M1 </w:t>
              <w:br/>
              <w:t xml:space="preserve">New York, New York 10018 </w:t>
              <w:br/>
              <w:t xml:space="preserve">Attention: Corporate Secretary </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obtain timely delivery of these documents before the special meeting of stockholders of LivePerson (the “LivePerson special meeting”), LivePerson stockholders must request the information no later than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obtain any of the documents incorporated by reference into this proxy statement/prospectus free of charge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In addition, you may obtain copies of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addition, if you have questions about the merger or this proxy statement/prospectus, would like additional copies of this proxy statement/prospectus or need to obtain proxy cards or other information related to the proxy solicitation, contact Mackenzie Partners, Inc., the proxy solicitor for LivePerson,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at (800) 322-2885. You will not be charged for any of these documents that you request.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SEC by SoundHound (File No. 333-296284), constitutes a prospectus of SoundHound under Section 5 of the Securities Act of 1933, as amended (the “Securities Act”), with respect to the shares of Class A common stock of SoundHound, par value $0.0001 per share (“SoundHound Common Stock”), to be issued to the holders (the “LivePerson stockholders”) of shares of common stock, par value $0.001 per share, of LivePerson (“LivePerson Common Stock”), excluding shares of LivePerson Common Stock held through the Tel-Aviv Stock Exchange Clearing House Ltd. (such shares, “TASE Shares”), pursuant to the Amended and Restated Merger Agreement, dated July 2, 2026, by and among SoundHound, Lightspeed Merger Sub Inc., a Delaware corporation and indirect wholly owned subsidiary of SoundHound (“Merger Sub I”), Lightspeed Merger Sub II Inc., a Delaware corporation and indirect wholly owned subsidiary of SoundHound (“Merger Sub II”) and LivePerson (as amended from time to time,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constitutes a notice of meeting and proxy statement of LivePerson under Section 14(a) of the Securities Exchange Act of 1934, as amended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SoundHound has supplied all information contained or incorporated by reference herein relating to SoundHound, and LivePerson has supplied all information contained or incorporated by reference herein relating to LivePerson. SoundHound and LivePerson have both contributed to the information relating to the Mergers (as defined below) and the Merger Agreement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herein in connection with any vote, the giving or withholding of any proxy or any investment decision in connection with the Merger Agreement. SoundHound and LivePerson have not authorized anyone to provide you with information that is different from that contained in or incorporated by reference herein. This proxy statement/prospectus is dated July 9, 2026,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stockholders of LivePerson, nor the issuance by SoundHound of shares of SoundHound Common Stock pursuant to the Merger Agreement,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currency amounts referenced in this proxy statement/prospectus are in U.S. dollars.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QUESTIONS AND ANSWERS ABOUT THE MERGER AND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CAUTIONARY STATEMENT REGARDING FORWARD 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COMPARISON OF MARKET PRICE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SELECTED 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PARTIES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THE LIVEPERSON SPECIAL MEETING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PROPOSAL 1: ADOPTION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PROPOSAL 2: ADVISORY NON-BINDING VOTE ON MERGER-RELATED COMPENSATION FOR NAMED EXECUTIVE OFFICERS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PROPOSAL 3: ADJOURNMENT OF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AGREEMENTS RELATED TO THE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INTERESTS OF LIVEPERSON DIRECTORS AND EXECUTIVE OFFICERS IN THE MERGERS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MATERIAL U.S. FEDERAL INCOME TAX CONSEQUENCES OF 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COMPARISON OF STOCKHOLDERS’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SECURITY OWNERSHIP OF CERTAIN BENEFICIAL OWNERS AND MANAGEMENT OF LIVEPERSON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STOCKHOLDER PROPOSALS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10">
              <w:r>
                <w:rPr>
                  <w:rStyle w:val="InternetLink"/>
                  <w:rFonts w:ascii="Times New Roman PS Std;serif" w:hAnsi="Times New Roman PS Std;serif"/>
                  <w:b w:val="false"/>
                  <w:i w:val="false"/>
                  <w:caps w:val="false"/>
                  <w:smallCaps w:val="false"/>
                  <w:sz w:val="20"/>
                </w:rPr>
                <w:t xml:space="preserve">APPENDICES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QUESTIONS AND ANSWERS ABOUT THE MERGER AND THE LIVEPERSON SPECIAL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brief answers to certain questions that you, as a LivePerson stockholder, may have regarding the Mergers and the other matters being considered at the special meeting of LivePerson stockholders (the “LivePerson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w:t>
      </w:r>
      <w:r>
        <w:rPr>
          <w:rFonts w:ascii="Times New Roman PS Std;serif" w:hAnsi="Times New Roman PS Std;serif"/>
          <w:b w:val="false"/>
          <w:i/>
          <w:caps w:val="false"/>
          <w:smallCaps w:val="false"/>
          <w:sz w:val="20"/>
        </w:rPr>
        <w:t>Summary</w:t>
      </w:r>
      <w:r>
        <w:rPr>
          <w:rFonts w:ascii="Times New Roman PS Std;serif" w:hAnsi="Times New Roman PS Std;serif"/>
          <w:b w:val="false"/>
          <w:i w:val="false"/>
          <w:caps w:val="false"/>
          <w:smallCaps w:val="false"/>
          <w:sz w:val="20"/>
        </w:rPr>
        <w:t>” beginning on page 1 for a summary of important information regarding the Merger Agreement, the Mergers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receiving these proxy materials because LivePerson has agreed to be acquired by SoundHound through (i) a merger of Merger Sub I with and into LivePerson, with LivePerson continuing as the surviving corporation (the “first surviving corporation”) in the First Merger (the “First Merger”) and becoming an indirect, wholly owned subsidiary of SoundHound, and (ii) immediately following the First Merger, a merger of Merger Sub II with and into the first surviving corporation (the “Second Merger,” and together with the First Merger, collectively, the “Mergers”), with LivePerson continuing as the surviving corporation (the “surviving corporation”) and becoming an indirect, wholly owned subsidiary of SoundHound. The Merger Agreement, which governs the terms and conditions of the Mergers, is attached as Annex A 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must be adopted by the LivePerson stockholders in accordance with the General Corporation Law of the State of Delaware (the “DGCL”), the Fourth Amended and Restated Certificate of Incorporation of LivePerson (as amended, the “LivePerson charter”) and the Fourth Amended and Restated Bylaws of LivePerson (the “LivePerson bylaws”, together with the LivePerson charter, the “LivePerson organizational documents”) in order for the Mergers to be consummated. LivePerson is holding the LivePerson special meeting to obtain that approval. LivePerson stockholders will also be asked to vote on a non-binding advisory proposal to approve certain compensation that may be paid or become payable to LivePerson’s named executive officers that is based on or otherwise relates to the Mergers. Your vote is very important. LivePerson encourages you to submit a proxy to have your shares of LivePerson common stock voted as soon as possible.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in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materials include this proxy statement/prospectus for the LivePerson special meeting and the enclosed proxy card. LivePerson is first mailing these materials to stockholders entitled to notice of and to vote at the LivePerson special meeting on or about July 9, 2026. LivePerson’s proxy materials are also available on the Internet and may be printed, free of charge,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being asked to vote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stockholders are being asked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adopt the Merger Agreement and the transactions contemplated thereby, including the Mergers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by non-binding advisory vote, certain compensation that may be paid or become payable to LivePerson’s named executive officers that is based on or otherwise relates to the Mergers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the adjournment of the LivePerson special meeting, if necessary or appropriate, to solicit additional proxies if there are not sufficient votes to approve the merger proposal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should I participate in voting the shares I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 xml:space="preserve">The Mergers cannot be completed unless the merger proposal is approved by the affirmative vote of a majority of the outstanding shares of LivePerson Common Stock entitled to vote on the merger proposal. You will also be asked to approve the non-binding compensation advisory proposal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both of which are not a condition to the consummation of the Mergers. Only LivePerson stockholders as of the close of business on the record date (as herein defined) are entitled to vote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LivePerson stockholders receive if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of consideration payable by SoundHound to holders of LivePerson Common Stock (other than holders of TASE Shares) in connection with the First Merger pursuant to the terms of the Merger Agreement will be a number of shares of SoundHound Common Stock equal to the quotient of (a) the Aggregate Consideration Amount (as defined below), divided by (b) the SoundHound Closing Stock Price (as defined below) (the “Closing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Amount” refers to an amount equal to (a) $42,784,532.64, minus (b) the LivePerson Shortfall Cash, plus (c) the aggregate dollar amount of the exercise prices of all In-the-Money Options (as defined below) (other than Assumed Options (as defined in the section entitled “</w:t>
      </w:r>
      <w:r>
        <w:rPr>
          <w:rFonts w:ascii="Times New Roman PS Std;serif" w:hAnsi="Times New Roman PS Std;serif"/>
          <w:b w:val="false"/>
          <w:i/>
          <w:caps w:val="false"/>
          <w:smallCaps w:val="false"/>
          <w:sz w:val="20"/>
        </w:rPr>
        <w:t>Summary — Treatment of LivePerson Equity Awards</w:t>
      </w:r>
      <w:r>
        <w:rPr>
          <w:rFonts w:ascii="Times New Roman PS Std;serif" w:hAnsi="Times New Roman PS Std;serif"/>
          <w:b w:val="false"/>
          <w:i w:val="false"/>
          <w:caps w:val="false"/>
          <w:smallCaps w:val="false"/>
          <w:sz w:val="20"/>
        </w:rPr>
        <w:t>” beginning on page 2)). “LivePerson Shortfall Cash” refers to an amount equal to (x) $74,000,000 (or, solely for purposes of the Merger Agreement, $71,000,000 if the closing of the Mergers (the “Closing”) occurs in July), minus (y) the aggregate principal amount of LivePerson’s 0% convertible notes due 2026 (the “2026 Convertible Notes”) repurchased by LivePerson between April 1, 2026 and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volume-weighted average prices of a share of SoundHound Common Stock on the Nasdaq Stock Market LLC (“Nasdaq”) on each of the ten consecutive trading days ending on (and including) the trading day that is three (3) trading days prior to the Closing Date, rounded down to the nearest penny, as reported by Bloomberg (the “SoundHound Closing VWAP Stock Price”); provided that, in the event the SoundHound Closing VWAP Stock Price (I) exceeds $12.00 per share, “SoundHound Closing Stock Price” will be $12.00 per share or (II) falls below $7.00 per share, “SoundHound Closing Stock Price” will be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(as defined in the section entitled “</w:t>
      </w:r>
      <w:r>
        <w:rPr>
          <w:rFonts w:ascii="Times New Roman PS Std;serif" w:hAnsi="Times New Roman PS Std;serif"/>
          <w:b w:val="false"/>
          <w:i/>
          <w:caps w:val="false"/>
          <w:smallCaps w:val="false"/>
          <w:sz w:val="20"/>
        </w:rPr>
        <w:t>Summary — Closing and Effective Times of the Mergers</w:t>
      </w:r>
      <w:r>
        <w:rPr>
          <w:rFonts w:ascii="Times New Roman PS Std;serif" w:hAnsi="Times New Roman PS Std;serif"/>
          <w:b w:val="false"/>
          <w:i w:val="false"/>
          <w:caps w:val="false"/>
          <w:smallCaps w:val="false"/>
          <w:sz w:val="20"/>
        </w:rPr>
        <w:t>” beginning on page 14), each share of LivePerson Common Stock issued and outstanding immediately prior to the First Effective Time (other than (i) shares held by LivePerson as treasury shares, (ii) shares held by any subsidiary of LivePerson, (iii) shares held by SoundHound or any subsidiary of SoundHound (such shares described in the foregoing clauses (i) through (iii), “Cancelled LivePerson Shares”), or (iv) TASE Shares) will be automatically converted into the right to receive a number of shares of SoundHound Common Stock equal to (a) the Closing Merger Consideration, divided by (b) the total number of shares of LivePerson Common Stock that are issued and outstanding, or that are issuable upon the conversion, exercise or settlement in full of other rights to acquire LivePerson Common Stock, as of immediately prior to the First Effective Time (the “Fully Diluted Common Number”) (the result of the calculation set forth in the foregoing clauses (a) and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amount of cash consideration payable by SoundHound to holders of TASE Shares that are not Dissenting Shares (as defined below) in connection with the Second Merger pursuant to the terms of the Merger Agreement will be an amount equal to (i) (A) the Closing Merger Consideration, multiplied by (B) the SoundHound Closing VWAP Stock Price, multiplied further by (ii) the “Closing TASE Merger Consideration Percentage,” which will be a fraction equal to the quotient of (A) the total number of TASE Shares issued and outstanding as of immediately prior to the Second Effective Time (as defined in the section entitled “Summary — Closing and Effective Times of the Mergers” beginning on page 14) divided by (B) the Fully Diluted Common Number (the “Closing TASE Cash Merger Consideration”); provided that if the product of the foregoing clauses (i) and (ii) is an amount that exceeds $7.5 million, then the Closing TASE Cash Merger Consideration will be deemed to equal $7.5 million.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terms and conditions of the Merger Agreement, at the Second Effective Time, each TASE Share issued and outstanding as of immediately prior to the Second Effective Time (other than shares held by SoundHound or any subsidiary of SoundHound and other than Dissenting Shares) will be automatically converted into the right to receive an amount of cash equal to (a) the Closing TASE Cash Merger Consideration, divided by (b) the total number of TASE Shares issued and outstanding immediately prior to the Second Effective Time (the “Fully Diluted TASE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Common Number”) (the result of the calculation set forth in the foregoing clauses (a) and (b), the “Per Share Cash Merger Consideration”). Any holders or beneficial owners of TASE Shares issued and outstanding immediately prior to the Second Effective Time who (i) do not vote in favor of the adoption of the Merger Agreement (or consent thereto in writing), (ii) properly demand appraisal of such shares, (iii) continuously hold or beneficially own their shares through the TASECH from the date of making the demand through the Second Effective Time, (iv) otherwise comply with the procedures of Section 262 of the DGCL (“Section 262”) and (v) do not withdraw their demands or otherwise lose their rights of appraisal shall not be converted into the right to receive the Per Share Cash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no adjustments are made to the Aggregate Consideration Amount and approximately 12.8 million shares of LivePerson Common Stock outstanding on a fully diluted basis, and assuming that the Fully Diluted TASE Common Number is not more than approximately 2.25 million shares, the Aggregate Consideration Amount (for purposes of both the Per Share Merger Consideration and the Per Share Cash Merger Consideration) represents approximately $3.33 in value per share of LivePerson Common Stock, which represents a premium of approximately 22% over the volume-weighted average price of LivePerson Common Stock for the thirty days prior to the date of execution of the Merger Agreement, dated April 21, 2026, by and among LivePerson, SoundHound and Merger Sub I (the “Original Merger Agreement”). For additional information regarding the Closing Merger Consideration, the Per Share Merger Consideration, and the Per Share Cash Merger Consideration, as applicable,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will the amount of Closing Merger Consideration, and the Closing TASE Cash Merger Consideration, be finalized?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earlier than 20 business days and no later than 15 business days, prior to the anticipated Closing Date, LivePerson will deliver to SoundHound a statement setting forth a good faith estimated unaudited balance sheet of LivePerson and a good faith estimate of the LivePerson Cash Balance, in each case, as of 12:01 a.m. Pacific Time on the Closing Date, together with supporting calculations. LivePerson and SoundHound will consult in good faith until five business days prior to the Closing Date. The estimated LivePerson Cash Balance as of the fifth business day prior to the Closing Date (accounting for any updates resulting from any prior consultations between LivePerson and SoundHound) will be used to calculate the Aggregate Consideration Amount and, thus, the Closing Merger Consideration and the Closing TASE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amount of Closing Merger Consideration (and consequently the Closing TASE Cash Merger Consideration) may be impacted by the determination of the SoundHound Closing Stock Price. As a result, the Closing Merger Consideration and the Closing TASE Cash Merger Consideration will not be finalized prior to the date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holders of TASE Shares receiving consideration in the form of cash, and all other holders of LivePerson Common Stock are receiving Closing Merger Consideration in the form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Common Stock is currently listed on two stock exchanges: the Nasdaq and the Tel Aviv Stock Exchange (the “TASE”). Following the execution of the Original Merger Agreement, the parties determined that applicable Israeli securities laws, which are only applicable to TASE Shares, would have required SoundHound to prepare and file an Israeli securities law-compliant prospectus in connection with the proposed offering and issuance of SoundHound Common Stock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including LivePerson voluntarily delisting from the TASE, and on June 7, 2026, LivePerson provided notice to the TASE of its intention to delist TASE Shares, effective on or about September 9, 2026. However, the parties ultimately determined that no exception to the requirements of Israeli securities laws applicable to the offer and issuance of shares of SoundHound Common Stock to holders of TASE Shares was available, and any exemption would require a determination by one or more governmental authorities in Israel, and the parties’ ability to obtain such exemption, and the timing thereof, was highly uncertain. The parties also determined that, if the holders of TASE Shares were to receive consideration in the form of cash rather than shares of SoundHound Common Stock, SoundHound would not be required to file an Israeli securities-law compliant prospectus and Israeli securities laws would not impact the timing of the LivePerson special meeting, thereby avoiding the risk of significant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delays and uncertainty that would have resulted from complying with, or seeking exemptions under, Israeli securities laws. Accordingly, the parties determined to amend and restate the Original Merger Agreement to provide for the receipt by holders of TASE Shares (other than Dissenting Shares) of the Per Share Cash Merger Consideration in the Second Merger so that the parties could continue to pursue a closing of SoundHound’s acquisition of LivePerson as soon as practicable. For more information, please see the section entitled “</w:t>
      </w:r>
      <w:r>
        <w:rPr>
          <w:rFonts w:ascii="Times New Roman PS Std;serif" w:hAnsi="Times New Roman PS Std;serif"/>
          <w:b w:val="false"/>
          <w:i/>
          <w:caps w:val="false"/>
          <w:smallCaps w:val="false"/>
          <w:sz w:val="20"/>
        </w:rPr>
        <w:t>The Mergers — Background of the Mergers</w:t>
      </w:r>
      <w:r>
        <w:rPr>
          <w:rFonts w:ascii="Times New Roman PS Std;serif" w:hAnsi="Times New Roman PS Std;serif"/>
          <w:b w:val="false"/>
          <w:i w:val="false"/>
          <w:caps w:val="false"/>
          <w:smallCaps w:val="false"/>
          <w:sz w:val="20"/>
        </w:rPr>
        <w:t>” beginning on page 40.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and my shares are held through the Depository Trust Company or on the books and records of LivePerson’s transfer agent, Equiniti Trust Company, LLC, may I transfer my shares to a broker registered on the TASECH in order to receive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Holders of LivePerson Common Stock should therefore not seek to transfer shares of LivePerson Common Stock to the TASE in order to receive the Per Share Cash Merger Consideration. In addition, any such transfer, if effected notwithstanding the foregoing restriction, may be disadvantageous to such holder for several reasons, including, among others, that (i) the Per Share Cash Merger Consideration is capped at an aggregate $7.5 million, which was determined based on the percentage of TASE Shares relative to the overall number of outstanding shares of LivePerson Common Stock on a fully-diluted basis as of June 17, 2026, and thus an increase to the number of shares constituting TASE Shares could result in all holders receiving a lower amount of Per Share Cash Merger Consideration than the value of the Per Share Cash Merger Consideration if no such transfer had been made and (ii) holders may be subject to Israeli withholding tax requirements applicable to non-Israeli holders, which withholding tax requirements would not have applied if such shares had not been transferred to the TASE. Holders of LivePerson Common Stock are strongly advised to consult with their legal, tax and financial advisors prior to transferring shares of Common Stock to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holders of LivePerson equity awards receive in the Mergers?</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at the First Effective Time, each option to purchase shares of LivePerson Common Stock (a “LivePerson Option”) with a per-share exercise price less than the product of the Per Share Merger Consideration multiplied by the SoundHound Closing Stock Price (such product, the “Per Share Cash Equivalent Consideration”, and each such LivePerson Option, an “In-the-Money Option”) and held by any individual who is not an “employee” of SoundHound within the meaning set forth in Form S-8 under the Securities Act as of immediately after the Second Effective Time (such employee, a “continuing service provider”) will be entitled to receive the Per Share Merger Consideration applicable to the number of shares covered by such LivePerson Option, net of the applicable exercise price and less applicable tax withholdings. All other In-the-Money Options will be assumed by SoundHound and converted into corresponding awards denominated in shares of SoundHound Common Stock in accordance with the terms set forth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Option that is not an In-the-Money Option will be cancelled for no consideration.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Restricted Stock Unit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 with respect to shares of LivePerson Common Stock (the “LivePerson RSUs”) held by non-employee directors of LivePerson and each LivePerson RSU that has vested but not yet settled will be entitled to receive the Per Share Merger Consideration in respect of each LivePerson RSU, less applicable tax withholdings. All other LivePerson RSUs will be assumed by SoundHound and converted into corresponding awards denominated in shares of SoundHound Common Stock in accordance with the terms set forth in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warrants to purchase shares of LivePerson Common Stock will be cancelled for no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in the event the treatment of any LivePerson Options or LivePerson RSUs held by persons outside of the United States would be administratively burdensome to SoundHound, SoundHound may either cash out such equity awards based on the value of the Per Share Merger Consideration or convert them into cash-based awards that continue to vest on the same schedule.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the treatment of LivePerson equity awards, see the section entitled “</w:t>
      </w:r>
      <w:r>
        <w:rPr>
          <w:rFonts w:ascii="Times New Roman PS Std;serif" w:hAnsi="Times New Roman PS Std;serif"/>
          <w:b w:val="false"/>
          <w:i/>
          <w:caps w:val="false"/>
          <w:smallCaps w:val="false"/>
          <w:sz w:val="20"/>
        </w:rPr>
        <w:t>The Merger Agreement — Treatment of LivePerson Equity Awards in the Merger</w:t>
      </w:r>
      <w:r>
        <w:rPr>
          <w:rFonts w:ascii="Times New Roman PS Std;serif" w:hAnsi="Times New Roman PS Std;serif"/>
          <w:b w:val="false"/>
          <w:i w:val="false"/>
          <w:caps w:val="false"/>
          <w:smallCaps w:val="false"/>
          <w:sz w:val="20"/>
        </w:rPr>
        <w:t>” beginning on page 75.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equity stake will LivePerson stockholders hold in SoundHound immediately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number of issued and outstanding shares of LivePerson and SoundHound Common Stock as of July 6, 2026, and assuming no adjustments are made to the Aggregate Consideration Amount and the SoundHound Closing Stock Price is between $7.00 and $12.00 per share and the total number of TASE Shares issued and outstanding as of immediately prior to the First Effective Time is 2,169,063 shares (the approximate number of shares held through the TASE on the record date), holders of shares of LivePerson Common Stock (other than TASE Shares) as of immediately prior to the First Effective Time would hold, in the aggregate, between approximately 1.5% and 0.9% of the issued and outstanding shares of SoundHound Common Stock immediately following the Effective Times (without giving effect to any shares of SoundHound Common Stock held by LivePerson stockholders prior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exact equity stake of LivePerson stockholders in SoundHound immediately following the Effective Times will depend on (i) the number of shares of LivePerson Common Stock and SoundHound Common Stock issued and outstanding immediately prior to the First Effective Time, (ii) any adjustments to the Aggregate Consideration Amount, (iii) the SoundHound Closing Stock Price and (iv) the total number of TASE Shares issued and outstanding as of immediately prior to the First Effective Time. For more information, please see the section entitled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 74.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happen to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Merger Sub I will merge with and into LivePerson and, immediately thereafter, Merger Sub II will merge with and into LivePerson. As a result of the Mergers, the separate corporate existences of Merger Sub I and Merger Sub II will cease, and LivePerson will continue as the surviving corporation in the Mergers and as an indirect, wholly owned subsidiary of SoundHound. Furthermore, shares of LivePerson Common Stock will no longer be publicly traded and will be delisted from the Nasdaq and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own shares of LivePerson Common Stock. What will happen to those shares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your shares of LivePerson Common Stock, unless they are TASE Shares, will be converted into the right to receive the Per Share Merger Consideration. For holders of TASE Shares, your TASE Shares will be converted into the right to receive the Per Share Cash Merger Consideration. In each case, all such shares of LivePerson Common Stock, when so converted, will cease to be outstanding and will automatically be cancelled. Each holder of a share of LivePerson Common Stock (other than TASE Shares) that was outstanding immediately prior to the First Effective Time will cease to have any rights with respect to shares of LivePerson Common Stock except the right to receive the Per Share Merger Consideration (including any cash to be paid in lieu of any fractional shares of SoundHound Common Stock) and any dividends or distributions made with respect to shares of SoundHound Common Stock with a record date after the First Effective Time, in each case to be issued or paid upon the exchange of any certificates or book-entry shares of LivePerson Common Stock for the Per Share Merger Consideration. Each holder of a TASE Share (other than Dissenting Shares) that was outstanding immediately prior to the Second Effective Time will cease to have any rights with respect to such TASE Share except the right to receive the Per Share Cash Merger Consideration. For additional information,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will the SoundHound Common Stock that LivePerson stockholders receive in the First Merger be publicly traded?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Mergers are completed, the shares of SoundHound Common Stock that LivePerson stockholders receive in the First Merger will be listed and traded on the Nasdaq Global Market, or such other Nasdaq market on which shares of SoundHound Common Stock are then listed.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Mergers are not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proposal is not approved by LivePerson stockholders or if the Mergers are not completed for any other reason, SoundHound will not issue shares of SoundHound Common Stock or pay cash, as applicable, to LivePerson stockholders in exchange for their shares of LivePerson Common Stock, LivePerson stockholders will not receive any other consideration in connection with the Mergers, and their shares of LivePerson Common Stock will remain outstanding. LivePerson will remain an independent public company and LivePerson Common Stock will continue to be listed and traded on the Nasdaq Global Select Market and the Tel-Aviv Stock Exchange, however, effective on or about September 9, 2026, LivePerson Common Stock will be delisted from the Tel-Aviv Stock Exchange even if the merger proposal is not approved by LivePerson stockholders or if the Mergers are not completed for any other reason prior to such date. If the Merger Agreement is terminated under specified circumstances, LivePerson may be required to pay SoundHound a termination fee and/or reimburse SoundHound for certain expenses, as applicable. For a more detailed discussion of the termination fee and related provisions, see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non-binding compensation advisory proposal is not approved by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non-binding, and the Mergers are not conditioned or dependent upon the approval of the non-binding compensation advisory proposal by LivePerson stockholders. However, LivePerson and SoundHound each value the opinions of LivePerson stockholders and SoundHound expects to consider the outcome of the vote, along with other relevant factors, when considering future executive compensation, assuming the Mergers are completed. Because the executive compensation to be paid in connection with the Mergers is based on the terms of the Merger Agreement as well as the contractual arrangements between LivePerson and its named executive officers, subject to the contractual conditions applicable thereto, such compensation will be payable, regardless of the outcome of this advisory vote if the merger proposal is approved. However, LivePerson seeks the support of its stockholders and believes that stockholder support is appropriate because LivePerson has a comprehensive executive compensation program designed to link the compensation of its named executive officers with LivePerson’s performance and the interests of LivePerson’s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LivePerson board of directors recommend I vote on these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unanimously recommends that the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merger proposal (the “LivePerson board of directors recommendation”)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LivePerson stockholders being asked to vote on executive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require LivePerson to seek a non-binding advisory vote on certain compensation that may be paid or become payable to LivePerson’s named executive officers that is based on or otherwise relates to the Mergers. For additional information regarding the non-binding compensation advisory proposal, see the section entitled “</w:t>
      </w:r>
      <w:r>
        <w:rPr>
          <w:rFonts w:ascii="Times New Roman PS Std;serif" w:hAnsi="Times New Roman PS Std;serif"/>
          <w:b w:val="false"/>
          <w:i/>
          <w:caps w:val="false"/>
          <w:smallCaps w:val="false"/>
          <w:sz w:val="20"/>
        </w:rPr>
        <w:t>LivePerson Stockholder Proposals —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beginning on page 38. LivePerson urges its stockholders to read the section entitled “</w:t>
      </w:r>
      <w:r>
        <w:rPr>
          <w:rFonts w:ascii="Times New Roman PS Std;serif" w:hAnsi="Times New Roman PS Std;serif"/>
          <w:b w:val="false"/>
          <w:i/>
          <w:caps w:val="false"/>
          <w:smallCaps w:val="false"/>
          <w:sz w:val="20"/>
        </w:rPr>
        <w:t>Interests of LivePerson’s Directors and Executive Officers in the Merger</w:t>
      </w:r>
      <w:r>
        <w:rPr>
          <w:rFonts w:ascii="Times New Roman PS Std;serif" w:hAnsi="Times New Roman PS Std;serif"/>
          <w:b w:val="false"/>
          <w:i w:val="false"/>
          <w:caps w:val="false"/>
          <w:smallCaps w:val="false"/>
          <w:sz w:val="2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of LivePerson Common Stock as of the close of business on July 6, 2026 (the “Record Date”), are entitled to notice of and to vote at the LivePerson special meeting. On the Record Date, there were 12,332,427 shares of LivePerson Common Stock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am I entitled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stockholder is entitled to one vote for each share of LivePerson Common Stock held by such stockholder on the Record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LivePerson’s transfer agent, Equiniti Trust Company, LLC, then you are considered the stockholder of record with respect to those shares, and these materials have been sent directly to you by us. As a stockholder of record, you are entitled to vote your shares in person at the LivePerson special meeting or by proxy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a stock brokerage account or by a bank or other nominee, then you are considered a “street name” stockholder. These materials will be forwarded to you by your broker, bank or other nominee who is considered, with respect to those shares, the stockholder of record. If your shares are held in “street name,” you will receive voting instructions from your broker, bank or other nominee, as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stockholders who hold TASE Shares and intend to vote their shares, there are four ways a stockholder of record can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Internet</w:t>
      </w:r>
      <w:r>
        <w:rPr>
          <w:rFonts w:ascii="Times New Roman PS Std;serif" w:hAnsi="Times New Roman PS Std;serif"/>
          <w:b w:val="false"/>
          <w:i w:val="false"/>
          <w:caps w:val="false"/>
          <w:smallCaps w:val="false"/>
          <w:sz w:val="20"/>
        </w:rPr>
        <w:t xml:space="preserve">: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Telephone</w:t>
      </w:r>
      <w:r>
        <w:rPr>
          <w:rFonts w:ascii="Times New Roman PS Std;serif" w:hAnsi="Times New Roman PS Std;serif"/>
          <w:b w:val="false"/>
          <w:i w:val="false"/>
          <w:caps w:val="false"/>
          <w:smallCaps w:val="false"/>
          <w:sz w:val="20"/>
        </w:rPr>
        <w:t>:    You may vote by telephone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 the LivePerson special meeting</w:t>
      </w:r>
      <w:r>
        <w:rPr>
          <w:rFonts w:ascii="Times New Roman PS Std;serif" w:hAnsi="Times New Roman PS Std;serif"/>
          <w:b w:val="false"/>
          <w:i w:val="false"/>
          <w:caps w:val="false"/>
          <w:smallCaps w:val="false"/>
          <w:sz w:val="20"/>
        </w:rPr>
        <w:t xml:space="preserve">: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LivePerson stockholders who hold TASE Shares is available on the websites: </w:t>
      </w:r>
      <w:r>
        <w:rPr>
          <w:rFonts w:ascii="Times New Roman PS Std;serif" w:hAnsi="Times New Roman PS Std;serif"/>
          <w:b w:val="false"/>
          <w:i/>
          <w:caps w:val="false"/>
          <w:smallCaps w:val="false"/>
          <w:sz w:val="20"/>
        </w:rPr>
        <w:t>https://www.magna.isa.gov.il</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Even if you plan to attend the LivePerson special meeting, LivePerson recommends that you also use the enclosed proxy card to vote (i) by Internet, by following the instructions specified on the enclosed proxy card, (ii) by telephone or (iii) by signing, dating and returning the proxy card in the prepaid postage envelope provided if you are unable to attend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street name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held in “street name” (that is, held for your account by a broker, bank or other nominee), you will receive voting instructions from your broker, bank or other nominee. You must follow these instructions in order for your shares to be voted. Street name stockholders should generally be able to vote by telephone, by Internet or by signing, dating and returning a voting instruction form. Your broker is required to vote those shares in accordance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your instructions. However, the availability of telephone and Internet voting will depend on the voting process of your broker, bank or other nominee. If you are a street name stockholder, you may not vote your shares by ballot at the LivePerson special meeting unless you obtain a legal proxy from your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submit a proxy card, how will it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enclosed proxy card is properly signed, dated and returned, the shares represented thereby will be voted at the LivePerson special meeting in accordance with the instructions specified thereon. If you are a stockholder of record of shares of LivePerson Common Stock and if you indicate when voting through the Internet that you wish to vote as recommended by the LivePerson board of directors, or if you sign, date and return a proxy card without giving specific voting instructions, then John D. Collins and Monica L. Greenberg, the proxy holders designated by the LivePerson board of directors, who are officers of LivePerson, will vote your shares in the manner recommended by the LivePerson board of directors on all matters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 to the extent your proxy card does not indicate otherwise, if you return a validly executed proxy card without indicating how your shares should be voted on a matter and you do not revoke your proxy, your proxy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not aware of any matters that are expected to come before the LivePerson special meeting other than those described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except as provided below with respect to LivePerson stockholders who hold TASE Shares, you can change your vote or revoke your proxy before it is exercised at the LivePerson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 or by telephone on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dating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of revocation to LivePerson, Inc., 530 Seventh Ave, Floor M1, New York, New York 10018, Attention: Corporate Secretary;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at the LivePerson special meeting (although attendance at the LivePerson special meeting will not, by itself, revoke a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the LivePerson’s Israeli counsel, Arnon, Tadmor-Levy, c/o Moshe Pasker, Azrieli Center (Square Tower), Tel Aviv, Israel, 6702101 (e-mail: MosheP@ArnonTL.com),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street name stockholder, your broker, bank or other nominee can provide you with instructions on how to change your vote. Street name stockholders may only vote at the LivePerson special meeting if they obtain a legal proxy from the broker, bank or other nominee that holds their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if I receive more than one proxy card or set of proxy materials from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may be owned through more than one brokerage or other share ownership account. In order to vote all of the shares that you own, you must vote each proxy card you receive in order to vote with respect to each account by telephone, by internet, or by signing, dating and returning each proxy card you receive in the prepaid-postage envelope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adopted a virtual format with a live audio webcast for the LivePerson special meeting to provide a consistent experience for all stockholders.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You are entitled to attend the LivePerson special meeting only if you were a stockholder of LivePerson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virtually or by proxy, of the holders of 33 1/3% of the number of shares of stock issued and outstanding and entitled to vote at the LivePerson special meeting is necessary to constitute a quorum in connection with the transaction of business at the LivePerson special meeting. Without a quorum, no business may be transacted at the LivePerson special meeting. All votes will be tabulated by the independent inspector of election appointed for the LivePerson special meeting, who will separately tabulate “FOR” and “AGAINST” votes, abstentions (as applicable), and broker non-votes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proxies from brokers, bankers or other nominees indicating that such persons have not received instructions from the beneficial owner or other persons entitled to vote shares as to a matter with respect to which the broker, bank or other nominee does not have discretionary power to vote). Abstentions are counted as “present” for quorum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LivePerson stockholder vote is required for the approval of the proposals?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merger proposal</w:t>
      </w:r>
      <w:r>
        <w:rPr>
          <w:rFonts w:ascii="Times New Roman PS Std;serif" w:hAnsi="Times New Roman PS Std;serif"/>
          <w:b w:val="false"/>
          <w:i w:val="false"/>
          <w:caps w:val="false"/>
          <w:smallCaps w:val="false"/>
          <w:sz w:val="20"/>
        </w:rPr>
        <w:t>.    Approval of the merger proposal requires the affirmative vote of a majority of the outstanding shares of LivePerson Common Stock entitled to vote on the merger proposal. Abstentions and broker non-votes will have the same effect as a vote “AGAINST” the merger proposal. Failure to vote on the merger proposal will have the same effect as a vote “AGAINST”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Approval of the non-binding compensation advisory proposal requires the affirmative vote of a majority of the shares of LivePerson Common Stock present in person or represented by proxy at the LivePerson special meeting and entitled to vote on the non-binding compensation advisory proposal. Abstentions will have the same effect as a vote “AGAINST” the non-binding compensation advisory proposal, and broker non-votes will have no effect on the outcome of the vote. As an advisory vote, this proposal is not binding upon LivePerson, the LivePerson board of directors, SoundHound or the board of directors of SoundHound (the “SoundHound board of directors”), and approval of the non-binding compensation advisory proposal is not a condition to completion of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adjournment proposal</w:t>
      </w:r>
      <w:r>
        <w:rPr>
          <w:rFonts w:ascii="Times New Roman PS Std;serif" w:hAnsi="Times New Roman PS Std;serif"/>
          <w:b w:val="false"/>
          <w:i w:val="false"/>
          <w:caps w:val="false"/>
          <w:smallCaps w:val="false"/>
          <w:sz w:val="20"/>
        </w:rPr>
        <w:t>.    Approval of the adjournment proposal requires the affirmative vote of a majority of the shares of LivePerson Common Stock present in person or represented by proxy at the LivePerson special meeting and entitled to vote on the adjournment proposal. If LivePerson stockholders approve the adjournment proposal, subject to the terms of the Merger Agreement, LivePerson could adjourn the LivePerson special meeting and use the additional time to solicit additional proxies, including soliciting proxies from LivePerson stockholders who have previously voted. LivePerson does not intend to call a vote on the adjournment proposal if the merger proposal is approved at the LivePerson special meeting. Abstentions will have the same effect as a vote “AGAINST” the adjournment proposal, and broker non-votes will have no effect on the outcome of the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nothing?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of record (i.e., you own your shares directly on the books of LivePerson’s transfer agent and not through a broker) and you do not cast your vote,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stock through a member of the TASE and intend to vote your shares, you are obliged to sign, date and return a proxy card along with a certificate of ownership to the offices of Israeli counsel to LivePerson, Arnon, Tadmor-Levy, c/o Moshe Pasker, Azrieli Center (Square Tower), Tel Aviv, Israel, 6702101 (e-mail: MosheP@ArnonTL.com), no later than 7:00 p.m. (Israel time) on August 19, 2026. If you do not do so,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If you hold your shares in “street name,” you must provide your broker, bank or other nominee with instructions on how to vote your shares. Otherwise, your broker, bank or other nominee cannot vote your shares on any of the proposals to be considered at the LivePerson special meeting. A so called “broker non-vote” will result if your broker, bank or other nominee returns a proxy but does not provide instruction as to how shares should be voted on a particular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Nasdaq Stock Market rules, brokers, banks or other nominees do not have discretionary authority to vote on any of the proposals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they will have (i)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(ii) no effect on the non-binding compensation advisory proposal and (iii) no effect on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count the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 of Broadridge Financial Solutions, Inc. will serve as the independent inspector of election (the “Inspector of Election”) for the LivePerson special meeting and, in such capacity, will count and tabulate the votes, abstentions and broker non-votes.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LivePerson special meeting is adjourned?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 quorum is not present or represented at the LivePerson special meeting, the LivePerson stockholders present at the meeting, in person or represented by proxy, may adjourn the meeting until a quorum is present or represented. The Chair of the LivePerson board of directors may also adjourn the LivePerson special meeting from time to time. Unless a new record date is fixed, your proxy will still be valid at an adjourned LivePerson special meeting and you will still be able to change or revoke your proxy until it is used to vote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expects to disclose final voting results based on the Inspector of Election’s final, certified report on a Current Report on Form 8-K that will be filed with the SEC within four business days after the LivePerson special meeting. If final results are unavailable at that time, LivePerson intends to file preliminary voting results based on the preliminary tabulation by the Inspector of Election and then file the final voting results in an amendment to the Current Report on Form 8-K within four business days of the day the final results are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have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Shares of LivePerson Common Stock are listed on the Nasdaq as of the record date, and LivePerson stockholders other than holders of TASE Shares will receive SoundHound Common Stock pursuant to the First Merger.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that are not TASE Shares will not be entitled to appraisal rights with respect to the shares of LivePerson Common Stock they hold in connection with the Mergers. 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36.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any risks that I should consider as a LivePerson stockholder in deciding 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should read and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 You also should read and carefully consider the risk factors of SoundHound and LivePerson contained in the documents that are incorporated by reference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sell my shares before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LivePerson stockholders entitled to vote at the LivePerson special meeting is earlier than the date of the LivePerson special meeting. If you transfer your shares of LivePerson Common Stock after the Record Date but before the LivePerson special meeting, you will, unless special arrangements are made, retain your right to vote at the LivePerson special meeting but will have transferred the right to receive the Per Share Merger Consideration or Per Share Cash Merger Consideration, as applicable, to the person to whom you transferred your shares of LivePerson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by a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of shares of LivePerson Common Stock for cash or shares of SoundHound Common Stock (and the receipt of cash in lieu of any fractional shares of SoundHound Common Stock)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xml:space="preserve">”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gain realized by a Non-U.S.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material U.S. federal income tax consequences of the Mergers, you should read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in this proxy statement/prospectus. Because individual circumstances may differ, you should consult your own tax advisor as to the particular tax consequences of the Mergers to you,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are the Mergers expected to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working to complete the Mergers as quickly as possible. Subject to the satisfaction or, to the extent permitted by applicable law, waiver of the conditions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including the approval of the merger proposal by LivePerson stockholders at the LivePerson special meeting, the transaction is expected to be completed in the third quarter of 2026. However, neither SoundHound nor LivePerson can predict the actual date on which the Mergers will be completed, nor can the parties assure that the Mergers will be completed, because completion is subject to conditions beyond either company’s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LivePerson stockholder, how will I receive the Per Share Merger Consideration or Per Share Cash Merger Consideration to which I am entitled?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certificates that represent eligible shares of LivePerson Common Stock (excluding Dissenting Shares) (the “LivePerson Common Stock certificates”), a notice advising you of the effectiveness of the Mergers and a letter of transmittal and instructions for the surrender of your LivePerson Common Stock certificates will be mailed to you as soon as practicable after the Second Effective Time. After receiving proper documentation from you, the exchange agent will send to you (i) a statement reflecting the aggregate whole number of shares of SoundHound Common Stock (which will be in uncertificated book-entry form) that you have a right to receive pursuant to the Merger Agreement and (ii) a check in the amount equal to the cash payable in lieu of any fractional shares of SoundHound Common Stock and dividends and other distributions on the shares of SoundHound Common Stock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book-entry shares representing eligible shares of LivePerson Common Stock (excluding Dissenting Shares) (the “LivePerson book-entry shares”) which are held through the Depository Trust Company (“DTC”) or the Tel Aviv Stock Exchange Clearing House Ltd. (the “TASECH”), the exchange agent will transmit to DTC or its nominees, or to TASECH or its nominees, as applicable, at or as soon as reasonably practicable after the Second Effective Time, (i) in the case of shares of LivePerson Common Stock that are not TASE Shares, the Per Share Merger Consideration, cash in lieu of any fractional shares of SoundHound Common Stock and any dividends and other distributions on the shares of SoundHound Common Stock to which you may be entitled pursuant to the Merger Agreement and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holder of record of LivePerson book-entry shares which are not held through DTC or the TASECH, the exchange agent will deliver to you, as soon as practicable after the Second Effective Time, a notice advising you of the effectiveness of the Mergers and a letter of transmittal and instructions for returning such letter of transmittal. After receiving proper documentation from you, the exchange agent will send to you (i) in the case of shares of LivePerson Common Stock that are not TASE Shares, a statement reflecting the aggregate whole number of shares of SoundHound Common Stock (which will be in uncertificated book-entry form) that you have a right to receive pursuant to the Merger Agreement and a check in the amount equal to the cash payable in lieu of any fractional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SoundHound Common Stock and dividends and other distributions on the shares of SoundHound Common Stock to which you may be entitled pursuant to the Merger Agreement or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for shares of LivePerson Common Stock eligible to receive the Per Share Merger Consideration or the Per Share Cash Merger Consideration, as applicable,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exchange of LivePerson Common Stock for the Per Share Merger Consideration or the Per Share Cash Merger Consideration, as applicable, see the section entitled “</w:t>
      </w:r>
      <w:r>
        <w:rPr>
          <w:rFonts w:ascii="Times New Roman PS Std;serif" w:hAnsi="Times New Roman PS Std;serif"/>
          <w:b w:val="false"/>
          <w:i/>
          <w:caps w:val="false"/>
          <w:smallCaps w:val="false"/>
          <w:sz w:val="20"/>
        </w:rPr>
        <w:t>The Merger Agreement — Exchange of LivePerson Common Stock for the Merger Consideration</w:t>
      </w:r>
      <w:r>
        <w:rPr>
          <w:rFonts w:ascii="Times New Roman PS Std;serif" w:hAnsi="Times New Roman PS Std;serif"/>
          <w:b w:val="false"/>
          <w:i w:val="false"/>
          <w:caps w:val="false"/>
          <w:smallCaps w:val="false"/>
          <w:sz w:val="20"/>
        </w:rPr>
        <w:t>” beginning on page 76.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certificates, do I need to send in my stock certificates at this time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Please DO NOT send your LivePerson Common Stock certificates with your proxy card. You should carefully review and follow the instructions set forth in the letter of transmittal, which will be mailed to you, regarding the surrender of your stock certificates.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other than TASE Shares, will the shares of SoundHound Common Stock issued in the Mergers receive a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completion of the Mergers, the shares of SoundHound Common Stock issued in connection with the Merger will carry with them the right to receive any dividends on shares of SoundHound Common Stock as the shares of SoundHound Common Stock held by all other holders of such shares, for any dividend the Record Date for which occurs after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does not currently pay regular dividends on its common stock. Any future SoundHound dividends will remain subject to approval by the SoundHound board of directors and other considerations.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solicit and pay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(“MacKenzie Partners”) to assist in the solicitation process. LivePerson estimates it will pay MacKenzie Partners a base fee of approximately $40,000, in addition to the reimbursement of certain costs and expenses, for these services. LivePerson also has agreed to indemnify MacKenzie Partners against certain liabilities relating to, or arising out of, its retention.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now?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LivePerson Common Stock will be voted in accordance with your instructions.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any other questions I may have?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require any assistance with voting your shares, or if you need additional copies of the proxy materials, please contact LivePerson’s proxy solicitor, MacKenzie Partners: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br/>
        <w:t>7 Penn Plaza</w:t>
        <w:br/>
        <w:t>New York, New York 10001</w:t>
        <w:br/>
        <w:t>Call Toll-Free: (800) 322-2885</w:t>
        <w:b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more information about SoundHound, LivePerson and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find out more information about SoundHound, LivePerson and the Mergers by reading this proxy statement/prospectus and, with respect to SoundHound and LivePerson, from various sources described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2"/>
      <w:bookmarkEnd w:id="2"/>
      <w:r>
        <w:rPr>
          <w:rFonts w:ascii="Times New Roman PS Std;serif" w:hAnsi="Times New Roman PS Std;serif"/>
          <w:b/>
          <w:i w:val="false"/>
          <w:caps w:val="false"/>
          <w:smallCaps w:val="false"/>
          <w:sz w:val="2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included in this proxy statement/prospectus and does not contain all of the information that may be important to you. You should read this proxy statement/prospectus and its annexes carefully and in their entirety and the other documents to which SoundHound and LivePerson refer before you decide how to vote with respect to the proposals to be considered and voted on at the LivePerson special meeting. In addition, SoundHound and LivePerson incorporate by reference important business and financial information about SoundHound and LivePerson into this proxy statement/prospectus, as further described in the section entitled “Where You Can Find More Information” beginning on page 124. You may obtain the information incorporated by reference into this proxy statement/prospectus without charge by following the instructions in the section entitled “Where You Can Find More Information” beginning on page 124. Each item in this summary includes a page reference directing you to a more complete description of that item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Parties to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LivePerson,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530 7th Avenue, Floor M1</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10018</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Mergers and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and conditions of the Mergers are contained in the Merger Agreement, which is attached to this document as Annex A and is incorporated by reference herein in its entirety. SoundHound and LivePerson encourage you to read the Merger Agreement carefully and in its entirety, as it is the legal document that governs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the SoundHound board of directors and the LivePerson board of directors has unanimously approved and adopted the Merger Agreement and the transactions contemplated by the Merger Agreement. Pursuant to the terms and subject to the satisfaction, or to the extent permitted by applicable law, waiver of the conditions included in the Merger Agreement, SoundHound has agreed to acquire LivePerson by means of two mergers whereby Merger Sub I will merge with and into LivePerson, with LivePerson surviving the First Merger as an indirect, wholly owned subsidiary of SoundHound, and immediately following the First Merger, Merger Sub II will merge with and into LivePerson, with LivePerson surviving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terms and conditions of the Merger Agreement, at the First Effective Time, each share of LivePerson Common Stock issued and outstanding immediately prior to the First Effective Time (other than Cancelled LivePerson Shares and TASE Shares) will be automatically converted into the right to receive a number of shares of SoundHound Common Stock equal to the Per Share Merger Consideration. Further, subject to the terms and conditions of the Merger Agreement, at the Second Effective Time, each TASE Share (other than any Dissenting Shares) will be automatically converted into the right to receive an amount in cash equal to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all warrants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stockholders will not be entitled to receive any fractional shares of SoundHound Common Stock in the Mergers,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Treatment of LivePerson Equity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First Effective Time, each In-the-Money Option held by any continuing service provider as of immediately after the Second Effective Time, whether or not then vested or exercisable, will be assumed by SoundHound and converted into an option to acquire shares of SoundHound Common Stock (each,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 A “Net Share” with respect to a LivePerson Option means the quotient obtained from dividing (a) the product of (i) the excess of the Per Share Cash Equivalent Consideration over the per share exercise price of such LivePerson Option, multiplied by (ii) the number of shares of LivePerson Common Stock covered by such LivePerson Option, by (b) the Per Share Cash Equivalent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 restricted stock unit award covering shares of SoundHound Common Stock (such LivePerson RSUs, the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shall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Date, Time, Place and 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bdr w:val="single" w:sz="8" w:space="10" w:color="000000"/>
        </w:rPr>
        <w:t>www.virtualshareholdermeeting.com/LPSN2026SM</w:t>
      </w:r>
      <w:r>
        <w:rPr>
          <w:rFonts w:ascii="Times New Roman PS Std;serif" w:hAnsi="Times New Roman PS Std;serif"/>
          <w:b w:val="false"/>
          <w:i w:val="false"/>
          <w:caps w:val="false"/>
          <w:smallCaps w:val="false"/>
          <w:sz w:val="20"/>
          <w:bdr w:val="single" w:sz="8" w:space="10" w:color="000000"/>
        </w:rPr>
        <w:t xml:space="preserve"> (the “LivePerson Special Meeting Website”). To attend the LivePerson special meeting please follow the instructions provided on the enclosed proxy card and on the LivePerson Special Meeting Website.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purpose of the LivePerson special meeting is to consider and vote on the merger proposal, the non-binding compensation advisory proposal, and the adjournment proposal. Approval of the merger proposal is a condition to the obligation of LivePerson and SoundHound to complete the Mergers. Approval of the non-binding compensation advisory proposal and the adjournment proposal is not a condition to the obligation of either LivePerson or SoundHound to complete the Mergers.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holders of record of issued and outstanding shares of LivePerson Common Stock as of the close of business on July 6, 2026,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bdr w:val="single" w:sz="8" w:space="10" w:color="000000"/>
        </w:rPr>
        <w:t>ABSTAIN</w:t>
      </w:r>
      <w:r>
        <w:rPr>
          <w:rFonts w:ascii="Times New Roman PS Std;serif" w:hAnsi="Times New Roman PS Std;serif"/>
          <w:b w:val="false"/>
          <w:i w:val="false"/>
          <w:caps w:val="false"/>
          <w:smallCaps w:val="false"/>
          <w:sz w:val="20"/>
          <w:bdr w:val="single" w:sz="8" w:space="10" w:color="000000"/>
        </w:rPr>
        <w:t>” in respect of each proposal, your shares of LivePerson Common Stock will be counted for purposes of determining whether a quorum is present for the transaction of business at the LivePerson special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 Failure to vote on the merger proposal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bdr w:val="single" w:sz="8" w:space="10" w:color="000000"/>
        </w:rPr>
        <w:t>LivePerson Stockholder Proposals</w:t>
      </w:r>
      <w:r>
        <w:rPr>
          <w:rFonts w:ascii="Times New Roman PS Std;serif" w:hAnsi="Times New Roman PS Std;serif"/>
          <w:b w:val="false"/>
          <w:i w:val="false"/>
          <w:caps w:val="false"/>
          <w:smallCaps w:val="false"/>
          <w:sz w:val="20"/>
          <w:bdr w:val="single" w:sz="8" w:space="10" w:color="000000"/>
        </w:rPr>
        <w:t>” beginning on page 38.</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 quorum is not present or if there are not sufficient votes for the approval of the merger proposal, LivePerson expects that the LivePerson special meeting will be adjourned by the chairman of the LivePerson special meeting, as permitted by LivePerson’s bylaws, to solicit additional proxies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the Merger Agreement places limitations on LivePerson’s ability to seek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and requires LivePerson to pay the termination fee (as such term is defined in the section entitled “</w:t>
      </w:r>
      <w:r>
        <w:rPr>
          <w:rFonts w:ascii="Times New Roman PS Std;serif" w:hAnsi="Times New Roman PS Std;serif"/>
          <w:b w:val="false"/>
          <w:i/>
          <w:caps w:val="false"/>
          <w:smallCaps w:val="false"/>
          <w:sz w:val="20"/>
          <w:bdr w:val="single" w:sz="8" w:space="10" w:color="000000"/>
        </w:rPr>
        <w:t>Summary — Termination Fee — Termination Fee Payable by LivePerson</w:t>
      </w:r>
      <w:r>
        <w:rPr>
          <w:rFonts w:ascii="Times New Roman PS Std;serif" w:hAnsi="Times New Roman PS Std;serif"/>
          <w:b w:val="false"/>
          <w:i w:val="false"/>
          <w:caps w:val="false"/>
          <w:smallCaps w:val="false"/>
          <w:sz w:val="20"/>
          <w:bdr w:val="single" w:sz="8" w:space="10" w:color="000000"/>
        </w:rPr>
        <w:t>” beginning on page 94)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a meeting held on April 21, 2026, the LivePerson board of directors unanimously (i) approved and declared advisable the Original Merger Agreement and the Notes Restructuring Agreement and the transactions contemplated thereby, (ii) determined that it is in the best interests of LivePerson and its stockholders for LivePerson to enter into the Original Merger Agreement and the Notes Restructuring Agreement, (iii) directed that the Original Merger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and the transactions contemplated by the Original Merger Agreement, be submitted to the LivePerson stockholders for their consideration, adoption, and approval, and (iv) resolved to recommend that the LivePerson stockholders vote to adopt 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 2026, the LivePerson board of directors unanimously (i) approved and declared advisable the Merger Agreement and the transactions contemplated thereby, including the Mergers, (ii) determined that it is in the best interests of LivePerson and its stockholders for LivePerson to enter into the Merger Agreement (and to amend and restate the Original Agreement in its entirety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board of directors unanimously recommends that LivePerson stockholders vote “FOR” the merger proposal, “FOR” the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the factors considered by the LivePerson board of directors in reaching its decision to approve the Merger Agreement, see the section entitled “</w:t>
      </w:r>
      <w:r>
        <w:rPr>
          <w:rFonts w:ascii="Times New Roman PS Std;serif" w:hAnsi="Times New Roman PS Std;serif"/>
          <w:b w:val="false"/>
          <w:i/>
          <w:caps w:val="false"/>
          <w:smallCaps w:val="false"/>
          <w:sz w:val="20"/>
          <w:bdr w:val="single" w:sz="8" w:space="10" w:color="000000"/>
        </w:rPr>
        <w:t>The Mergers — Recommendation of the LivePerson Board of Directors; LivePerson’s Reasons for the Mergers</w:t>
      </w:r>
      <w:r>
        <w:rPr>
          <w:rFonts w:ascii="Times New Roman PS Std;serif" w:hAnsi="Times New Roman PS Std;serif"/>
          <w:b w:val="false"/>
          <w:i w:val="false"/>
          <w:caps w:val="false"/>
          <w:smallCaps w:val="false"/>
          <w:sz w:val="20"/>
          <w:bdr w:val="single" w:sz="8" w:space="10" w:color="000000"/>
        </w:rPr>
        <w:t>” beginning on page 56.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LivePerson’s Financial Advisor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retained Houlihan Lokey Capital, Inc. (“Houlihan Lokey”) to act as a financial advisor in connection with the merger pursuant to the Original Merger Agreement. LivePerson selected Houlihan Lokey based on its qualifications, expertise and reputation and its knowledge of the business and capital structure of LivePerson.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21, 2026, Houlihan Lokey Capital, Inc.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Original Merger Agreement was fair, from a financial point of view, to such holders (solely in their capacity as holders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Houlihan Lokey’s opinion was directed to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Original Merger Agreement and did not address any other aspect or implication of the transactions contemplated by the Original Merger Agreement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LivePerson, SoundHound, any security holder or any other person as to</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how to act or vote with respect to any matter relating to the Mergers or otherwise. Houlihan Lokey’s opinion was not updated in connection with the amendment and restatement of the Original Merger Agreement and does not address any aspect or implication thereof. For more information, see the section of this proxy statement/prospectus entitled “</w:t>
      </w:r>
      <w:r>
        <w:rPr>
          <w:rFonts w:ascii="Times New Roman PS Std;serif" w:hAnsi="Times New Roman PS Std;serif"/>
          <w:b/>
          <w:i/>
          <w:caps w:val="false"/>
          <w:smallCaps w:val="false"/>
          <w:sz w:val="20"/>
          <w:bdr w:val="single" w:sz="8" w:space="10" w:color="000000"/>
        </w:rPr>
        <w:t>The Mergers</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i/>
          <w:caps w:val="false"/>
          <w:smallCaps w:val="false"/>
          <w:sz w:val="20"/>
          <w:bdr w:val="single" w:sz="8" w:space="10" w:color="000000"/>
        </w:rPr>
        <w:t>Opinion of LivePerson’s Financial Advisor.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LivePerson’s Directors and Executive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See the section entitled “</w:t>
      </w:r>
      <w:r>
        <w:rPr>
          <w:rFonts w:ascii="Times New Roman PS Std;serif" w:hAnsi="Times New Roman PS Std;serif"/>
          <w:b w:val="false"/>
          <w:i/>
          <w:caps w:val="false"/>
          <w:smallCaps w:val="false"/>
          <w:sz w:val="20"/>
          <w:bdr w:val="single" w:sz="8" w:space="10" w:color="000000"/>
        </w:rPr>
        <w:t>Interests of LivePerson’s Directors and Executive Officers in the Mergers</w:t>
      </w:r>
      <w:r>
        <w:rPr>
          <w:rFonts w:ascii="Times New Roman PS Std;serif" w:hAnsi="Times New Roman PS Std;serif"/>
          <w:b w:val="false"/>
          <w:i w:val="false"/>
          <w:caps w:val="false"/>
          <w:smallCaps w:val="false"/>
          <w:sz w:val="20"/>
          <w:bdr w:val="single" w:sz="8" w:space="10" w:color="00000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Certain Beneficial Owners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 For additional information regarding beneficial ownership of LivePerson Common Stock, see the section entitled “</w:t>
      </w:r>
      <w:r>
        <w:rPr>
          <w:rFonts w:ascii="Times New Roman PS Std;serif" w:hAnsi="Times New Roman PS Std;serif"/>
          <w:b w:val="false"/>
          <w:i/>
          <w:caps w:val="false"/>
          <w:smallCaps w:val="false"/>
          <w:sz w:val="20"/>
          <w:bdr w:val="single" w:sz="8" w:space="10" w:color="000000"/>
        </w:rPr>
        <w:t>Security Ownership of Certain Beneficial Owners and Management of LivePerson</w:t>
      </w:r>
      <w:r>
        <w:rPr>
          <w:rFonts w:ascii="Times New Roman PS Std;serif" w:hAnsi="Times New Roman PS Std;serif"/>
          <w:b w:val="false"/>
          <w:i w:val="false"/>
          <w:caps w:val="false"/>
          <w:smallCaps w:val="false"/>
          <w:sz w:val="20"/>
          <w:bdr w:val="single" w:sz="8" w:space="10" w:color="000000"/>
        </w:rPr>
        <w:t>” beginning on page 114.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bdr w:val="single" w:sz="8" w:space="10" w:color="000000"/>
        </w:rPr>
        <w:t>The Mergers — Regulatory Approvals</w:t>
      </w:r>
      <w:r>
        <w:rPr>
          <w:rFonts w:ascii="Times New Roman PS Std;serif" w:hAnsi="Times New Roman PS Std;serif"/>
          <w:b w:val="false"/>
          <w:i w:val="false"/>
          <w:caps w:val="false"/>
          <w:smallCaps w:val="false"/>
          <w:sz w:val="20"/>
          <w:bdr w:val="single" w:sz="8" w:space="10" w:color="000000"/>
        </w:rPr>
        <w:t>” beginning on page 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 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Stockholders of LivePerson or SoundHound may file lawsuits challenging the Mergers or the other transactions contemplated by the Merger Agreement, which may name LivePerson, SoundHound, members of the boards of directors of LivePerson or SoundHound, or others as defendants.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bdr w:val="single" w:sz="8" w:space="10" w:color="000000"/>
        </w:rPr>
        <w:t>https://delcode.delaware.gov/title8/c001/sc09/index.html#262</w:t>
      </w:r>
      <w:r>
        <w:rPr>
          <w:rFonts w:ascii="Times New Roman PS Std;serif" w:hAnsi="Times New Roman PS Std;serif"/>
          <w:b w:val="false"/>
          <w:i w:val="false"/>
          <w:caps w:val="false"/>
          <w:smallCaps w:val="false"/>
          <w:sz w:val="20"/>
          <w:bdr w:val="single" w:sz="8" w:space="10" w:color="000000"/>
        </w:rPr>
        <w:t xml:space="preser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bdr w:val="single" w:sz="8" w:space="10" w:color="000000"/>
        </w:rPr>
        <w:t>Appraisal Rights</w:t>
      </w:r>
      <w:r>
        <w:rPr>
          <w:rFonts w:ascii="Times New Roman PS Std;serif" w:hAnsi="Times New Roman PS Std;serif"/>
          <w:b w:val="false"/>
          <w:i w:val="false"/>
          <w:caps w:val="false"/>
          <w:smallCaps w:val="false"/>
          <w:sz w:val="20"/>
          <w:bdr w:val="single" w:sz="8" w:space="10" w:color="000000"/>
        </w:rPr>
        <w:t xml:space="preserve">” beginning on page 116.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the Completion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LivePerson Stockholder Approval</w:t>
      </w:r>
      <w:r>
        <w:rPr>
          <w:rFonts w:ascii="Times New Roman PS Std;serif" w:hAnsi="Times New Roman PS Std;serif"/>
          <w:b w:val="false"/>
          <w:i w:val="false"/>
          <w:caps w:val="false"/>
          <w:smallCaps w:val="false"/>
          <w:sz w:val="20"/>
          <w:bdr w:val="single" w:sz="8" w:space="10" w:color="00000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Regulatory Approval</w:t>
      </w:r>
      <w:r>
        <w:rPr>
          <w:rFonts w:ascii="Times New Roman PS Std;serif" w:hAnsi="Times New Roman PS Std;serif"/>
          <w:b w:val="false"/>
          <w:i w:val="false"/>
          <w:caps w:val="false"/>
          <w:smallCaps w:val="false"/>
          <w:sz w:val="20"/>
          <w:bdr w:val="single" w:sz="8" w:space="10" w:color="00000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No Injunctions or Restraints</w:t>
      </w:r>
      <w:r>
        <w:rPr>
          <w:rFonts w:ascii="Times New Roman PS Std;serif" w:hAnsi="Times New Roman PS Std;serif"/>
          <w:b w:val="false"/>
          <w:i w:val="false"/>
          <w:caps w:val="false"/>
          <w:smallCaps w:val="false"/>
          <w:sz w:val="20"/>
          <w:bdr w:val="single" w:sz="8" w:space="10" w:color="000000"/>
        </w:rPr>
        <w:t>.    No law or order shall have been issued, entered, promulgated or enacted that restrains, enjoins, or otherwise prohibits or makes illegal the consummation of the Mergers and no injunction, order or award restraining or enjoining, or otherwise prohibiting, the consummation of the Mergers shall have issued by any governmental entity having jurisdiction over any party and remain in force (each, a “Legal Impediment”);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Effectiveness of the Registration Statement</w:t>
      </w:r>
      <w:r>
        <w:rPr>
          <w:rFonts w:ascii="Times New Roman PS Std;serif" w:hAnsi="Times New Roman PS Std;serif"/>
          <w:b w:val="false"/>
          <w:i w:val="false"/>
          <w:caps w:val="false"/>
          <w:smallCaps w:val="false"/>
          <w:sz w:val="20"/>
          <w:bdr w:val="single" w:sz="8" w:space="10" w:color="000000"/>
        </w:rPr>
        <w:t>.    The registration statement, of which this proxy statement/prospectus forms a part, must have been declared effective by the SEC under the Securities Act and must not be the subject of any stop order;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Exchange Listing</w:t>
      </w:r>
      <w:r>
        <w:rPr>
          <w:rFonts w:ascii="Times New Roman PS Std;serif" w:hAnsi="Times New Roman PS Std;serif"/>
          <w:b w:val="false"/>
          <w:i w:val="false"/>
          <w:caps w:val="false"/>
          <w:smallCaps w:val="false"/>
          <w:sz w:val="20"/>
          <w:bdr w:val="single" w:sz="8" w:space="10" w:color="000000"/>
        </w:rPr>
        <w:t>.    The shares of SoundHound Common Stock to be issued in the First Merger must have been authorized for listing on the Nasdaq Global Market or such other Nasdaq market on which shares of SoundHound Common Stock are then listed, subject to official notice of issuance.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SoundHound,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April 21, 2026, no material adverse effect with respect to LivePerson, as defined in the Merger Agreement, shall have occurred;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consummation of the Notes Restructuring Transactions (as defined in the section entitled “</w:t>
      </w:r>
      <w:r>
        <w:rPr>
          <w:rFonts w:ascii="Times New Roman PS Std;serif" w:hAnsi="Times New Roman PS Std;serif"/>
          <w:b w:val="false"/>
          <w:i/>
          <w:caps w:val="false"/>
          <w:smallCaps w:val="false"/>
          <w:sz w:val="20"/>
          <w:bdr w:val="single" w:sz="8" w:space="10" w:color="000000"/>
        </w:rPr>
        <w:t>Certain Agreements Related to the Transactions — The Notes Restructuring Agreement</w:t>
      </w:r>
      <w:r>
        <w:rPr>
          <w:rFonts w:ascii="Times New Roman PS Std;serif" w:hAnsi="Times New Roman PS Std;serif"/>
          <w:b w:val="false"/>
          <w:i w:val="false"/>
          <w:caps w:val="false"/>
          <w:smallCaps w:val="false"/>
          <w:sz w:val="20"/>
          <w:bdr w:val="single" w:sz="8" w:space="10" w:color="000000"/>
        </w:rPr>
        <w:t>” beginning on page 97) (the “Notes Restructuring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SoundHound, Merger Sub I and Merger Sub II contained in the Merger Agreement as of April 21, 2026, or July 2, 2026 (as specified in the Merger Agreement) and as of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of Acquisition Proposals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Superior Proposal</w:t>
      </w:r>
      <w:r>
        <w:rPr>
          <w:rFonts w:ascii="Times New Roman PS Std;serif" w:hAnsi="Times New Roman PS Std;serif"/>
          <w:b w:val="false"/>
          <w:i w:val="false"/>
          <w:caps w:val="false"/>
          <w:smallCaps w:val="false"/>
          <w:sz w:val="20"/>
          <w:bdr w:val="single" w:sz="8" w:space="10" w:color="000000"/>
        </w:rPr>
        <w:t xml:space="preserve">” beginning on page 88), LivePerson may furnish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Change of Recommendation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LivePerson special meeting);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of the actions described in the seven bullets directly above is referred to herein as a “recommendation change.”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bdr w:val="single" w:sz="8" w:space="10" w:color="000000"/>
        </w:rPr>
        <w:t>bona fide</w:t>
      </w:r>
      <w:r>
        <w:rPr>
          <w:rFonts w:ascii="Times New Roman PS Std;serif" w:hAnsi="Times New Roman PS Std;serif"/>
          <w:b w:val="false"/>
          <w:i w:val="false"/>
          <w:caps w:val="false"/>
          <w:smallCaps w:val="false"/>
          <w:sz w:val="20"/>
          <w:bdr w:val="single" w:sz="8" w:space="10" w:color="00000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bdr w:val="single" w:sz="8" w:space="10" w:color="000000"/>
        </w:rPr>
        <w:t xml:space="preserve">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bdr w:val="single" w:sz="8" w:space="10" w:color="00000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any Legal Impediment permanently restraining, enjoining or otherwise prohibiting or making illegal the Mergers (or otherwise prohibiting the consummation of the Mergers) becomes final and non-appealable, so long as the terminating party’s material breach of its obligations under the Merger Agreement is not the primary cause of, or resulted in, the issuance of such Legal Impediment (a “Legal Impediment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if the First Effective Time shall not have occurred (or if the Second Effective Time shall not have occurred within one hour following the First Effective Time) on or before October 21, 2026 (the “initial outside date”) (except that, if at such time, all conditions to Closing have been satisfied (other than conditions that by their nature can only be satisfied on the Closing Date) or waived by the parties, as applicable, other than the conditions related to Legal Impediments or regulatory approvals then such date shall be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extended to December 5, 2026) (the “extended outside date”, together with the initial outside date, the “outside date”), so long as the terminating party’s material breach of its obligations under the Merger Agreement is not the primary cause of, or resulted in, the failure of the First Effective Time to occur on or before the initial outside date or the extended outside date, as the case may be (an “outside date termination event”);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LivePerson stockholders do not approve the merger proposal at the LivePerson special meeting (as such meeting may be adjourned or postponed in accordance with the Merger Agreement) (a “LivePerson stockholder approval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SoundHound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LivePerson board of directors has effected a recommendation change or if LivePerson materially breaches its “no solicitation” obligations under the Merger Agreement as described in the section entitled “</w:t>
      </w:r>
      <w:r>
        <w:rPr>
          <w:rFonts w:ascii="Times New Roman PS Std;serif" w:hAnsi="Times New Roman PS Std;serif"/>
          <w:b w:val="false"/>
          <w:i/>
          <w:caps w:val="false"/>
          <w:smallCaps w:val="false"/>
          <w:sz w:val="20"/>
          <w:bdr w:val="single" w:sz="8" w:space="10" w:color="000000"/>
        </w:rPr>
        <w:t>The Merger Agreement — No Solicitation; Change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of Recommendation</w:t>
      </w:r>
      <w:r>
        <w:rPr>
          <w:rFonts w:ascii="Times New Roman PS Std;serif" w:hAnsi="Times New Roman PS Std;serif"/>
          <w:b w:val="false"/>
          <w:i w:val="false"/>
          <w:caps w:val="false"/>
          <w:smallCaps w:val="false"/>
          <w:sz w:val="20"/>
          <w:bdr w:val="single" w:sz="8" w:space="10" w:color="000000"/>
        </w:rPr>
        <w:t>”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LivePerson breaches its representations, warranties or covenants contained in the Merger Agreement such that the relevant Closing conditions applicable to LivePerson are not reasonably capable of being satisfied while such breach is continuing; (ii) SoundHound delivers written notice of such breach to LivePerson and (iii) such breach is not capable of cure in a manner sufficient to allow satisfaction of the relevant Closing conditions applicable to LivePerson prior to the outside date or otherwise is not cured in a manner sufficient to allow the satisfaction of such Closing conditions by the earlier of (x) the business day prior to the outside date or (y) 30 days following the date of delivery of such written notice to LivePerson (a “LivePerson breach termination event”); provided that SoundHound is not entitled to terminate the Merger Agreement for a LivePerson breach termination event if SoundHound is then in material breach of any representation, warranty, covenant or agreement in the Merger Agreement that would result in the failure of the relevant Closing conditions applicable to SoundHound;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Notes Restructuring Agreement is terminated for any reason (a “Notes Restructuring termination event”); provided that, the termination of the Notes Restructuring Agreement does not primarily result from SoundHound’s material breach of the provisions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LivePerson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time that the merger proposal has been approved by the LivePerson stockholders, the LivePerson board of directors (or a committee thereof) determines to terminate the Merger Agreement in order to substantially concurrently with such termination enter into a definitive agreement providing for a Superior Proposal (a “Superior Proposal termination event”); provided that, LivePerson shall not be entitled to terminate the Merger Agreement for a Superior Proposal termination event unless it has complied with its no solicitation obligations with respect thereto and substantially concurrently with, or prior to (and as a condition to), such termination, LivePerson pays to SoundHound the termination fee;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SoundHound breaches its representations, warranties or covenants contained in the Merger Agreement such that the relevant Closing conditions applicable to SoundHound are not reasonably capable of being satisfied while such breach is continuing; (ii) LivePerson delivers written notice of such breach to SoundHound and (iii) such breach is not capable of cure in a manner sufficient to allow satisfaction of the relevant Closing conditions applicable to SoundHound prior to the outside date or otherwise is not cured in a manner sufficient to allow the satisfaction of such Closing conditions by the earlier of (x) the business day prior to the outside date or (y) 30 days following the date of delivery of such written notice to SoundHound (a “SoundHound breach termination event”); provided that LivePerson is not entitled to terminate the Merger Agreement for a SoundHound breach termination event if LivePerson is then in material breach of any representation, warranty, covenant or agreement in the Merger Agreement that would result in the failure of the relevant Closing conditions applicable to LivePerson.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pay SoundHound a termination fee of (i) $5 million, plus (ii) an amount equal to SoundHound’s documented expenses incurred prior to (and including) the date of termination of the Merger Agreement (the “termination fee”)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except that references to “15%” and “85%” therein shall be deemed to be references to “50%.”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prepare their respective financial statements in accordance with GAAP. The Mergers will be accounted for as a business combination using the acquisition method with SoundHound as the accounting acquirer in accordance with Accounting Standards Codification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 are preliminary and subject to revision based on a final determination of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exchange by a Holder (as defined below under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of shares of LivePerson Common Stock for cash or shares of SoundHound Common Stock (and the receipt of cash in lieu of any fractional shares of SoundHound Common Stock), as applicable,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gain realized by a Non-U.S.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for a more detailed discussion of the material U.S. federal income tax consequences of the Mergers. Because individual circumstances may differ, each Holder of LivePerson Common Stock should consult its own tax advisor as to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Stockholders’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rights of LivePerson stockholders who receive shares of SoundHound Common Stock in the First Merger will be governed by the Restated Certificate of Incorporation of SoundHound (the “SoundHound charter”) and the Amended and Restated Bylaws of SoundHound (the “SoundHound bylaws”), which are governed by Delaware law, rather than by the LivePerson organizational documents, which are also governed by Delaware law. Although both SoundHound and LivePerson are Delaware corporations, LivePerson stockholders will have different rights once they become SoundHound stockholders as a result of the First Merger due to the differences in the organizational documents of LivePerson and SoundHound. The key differences are described in the section entitled “</w:t>
      </w:r>
      <w:r>
        <w:rPr>
          <w:rFonts w:ascii="Times New Roman PS Std;serif" w:hAnsi="Times New Roman PS Std;serif"/>
          <w:b w:val="false"/>
          <w:i/>
          <w:caps w:val="false"/>
          <w:smallCaps w:val="false"/>
          <w:sz w:val="20"/>
          <w:bdr w:val="single" w:sz="8" w:space="10" w:color="000000"/>
        </w:rPr>
        <w:t>Comparison of Rights of Stockholders of SoundHound and Stockholders of LivePerson</w:t>
      </w:r>
      <w:r>
        <w:rPr>
          <w:rFonts w:ascii="Times New Roman PS Std;serif" w:hAnsi="Times New Roman PS Std;serif"/>
          <w:b w:val="false"/>
          <w:i w:val="false"/>
          <w:caps w:val="false"/>
          <w:smallCaps w:val="false"/>
          <w:sz w:val="20"/>
          <w:bdr w:val="single" w:sz="8" w:space="10" w:color="000000"/>
        </w:rPr>
        <w:t>” beginning on page 107.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bdr w:val="single" w:sz="8" w:space="10" w:color="000000"/>
        </w:rPr>
        <w:t>The Merger Agreement — Conditions to the Completion of the Mergers</w:t>
      </w:r>
      <w:r>
        <w:rPr>
          <w:rFonts w:ascii="Times New Roman PS Std;serif" w:hAnsi="Times New Roman PS Std;serif"/>
          <w:b w:val="false"/>
          <w:i w:val="false"/>
          <w:caps w:val="false"/>
          <w:smallCaps w:val="false"/>
          <w:sz w:val="20"/>
          <w:bdr w:val="single" w:sz="8" w:space="10" w:color="00000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Closing Date, (i) SoundHound, Merger Sub I and LivePerson will cause a certificate of merger to be executed and filed with the Secretary of State of the State of Delaware in accordance with the relevant provisions of the DGCL and will make all other filings or recordings required under the DGCL and (ii) SoundHound, Merger Sub II and LivePerson will cause a certificate of merger to be executed and filed with the Secretary of State of the State of Delaware in accordance with the relevant provisions of the DGCL and will make all other filings or recordings required under the DGCL. The First Merger will become effective at the time the certificate of merger in respect of the First Merger has been duly filed with the Secretary of State of the State of Delaware, or at such other date and time as is agreed upon by the parties and specified in such certificate of merger in accordance with the DGCL (such time as the First Merger becomes effective, the “First Effective Time”). The Second Merger will become effective at the time the certificate of merger in respect of the Second Merger has been duly filed with the Secretary of State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State of Delaware, or at such other date and time as is agreed upon by the parties and specified in such certificate of merger in accordance with the DGCL, but in any event at least one minute after the First Effective Time (such time as the Second Merger becomes effective, the “Second Effective Time”, and together with the First Effective Time, the “Effective Times”).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Listing of SoundHound Shares; Delisting and Deregistration of LivePerson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the Nasdaq Global Select Market and the TASE and deregistered under the Exchange Act, and LivePerson will no longer be required to file periodic reports with the SEC pursuant to the Exchange Act. Additionally, LivePerson provided notice to the TASE of its intention to delist the TASE Shares, effective on or about September 9, 2026. If the Mergers are not consummated prior to such date, TASE Shares will be delisted from the TASE prior to closing of the Mergers.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Mergers and an investment in SoundHound Common Stock involve risks, some of which are related to the transactions contemplated by the Merger Agreement. You should carefully consider the information about these risks set forth under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20, together with the other information included or incorporated by reference in this proxy statement/prospectus, particularly the risk factors contained in SoundHound’s and LivePerson’s Annual Reports on Form 10-K, Quarterly Reports on Form 10-Q, Current Reports on Form 8-K and other filings they make with the SEC. LivePerson stockholders should carefully consider the risks set out in that section before deciding how to vote with respect to the merger proposal, the non-binding compensation advisory proposal and the adjournment proposal to be considered and voted on at the LivePerson special meeting.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3"/>
      <w:bookmarkEnd w:id="3"/>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communication contains statements regarding SoundHound, LivePerson, the proposed transactions described herein and other matters that are forward looking statements within the meaning of Section 27A of the Securities Act of 1933, as amended, and Section 21E of the Securities Exchange Act of 1934, as amended.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transactions described herein will not be completed or will not provide the expected benefits;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to timely or at all obtain LivePerson stockholder approval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inability to obtain required regulatory approvals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timing of obtaining such approvals and the risk that such approvals may result in the imposition of conditions that could adversely affect the combined company or the expected benefits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a condition to closing of the proposed transactions may not be satisfied on a timely basis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possible occurrence of an event, change or other circumstance that would give rise to the termination of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stockholder litigation in connection with the Mergers, including resulting expense or delay in closing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of the proposed transactions to close for any other reason;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diversion of the attention of SoundHound and LivePerson management from ongoing business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unexpected costs, liabilities, charges or expenses resulting from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integration of SoundHound and LivePerson will be more difficult, time consuming or expensive than anticipated;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customer loss or other business disruption in connection with the proposed transactions, or of the loss of key employees;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unforeseen liabilities of SoundHound or LivePerson may exist;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changes in applicable laws or regulations and extensive and evolving government regulations that impact SoundHound’s or LivePerson’s operations and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investigations, claims, disputes, enforcement actions, litigation and/or other regulatory or legal proceedings, including with respect to AI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that SoundHound may not be able to manage strains associated with its growth;</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dependence on key personnel;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stock price volatility;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SoundHound’s and LivePerson’s ability to protect their intellectual property and litigation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LivePerson’s usage patterns, customer renewals, customer outcomes and similar metrics differ from expectations;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cybersecurity incidents or breaches impacting LivePerson’s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related to the use and regulation of artificial intelligence and machine learning;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general economic, financial, legal, political and business conditions;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other risks inherent in SoundHound’s and LivePerson’s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factors are difficult to predict and, in many cases, may be beyond the control of SoundHound and LivePerson. SoundHound’s and LivePerson’s forward-looking statements are based on assumptions that SoundHound and LivePerson, respectively, believe to be reasonable but that may not prove to be accurate. Consequently, all of the forward-looking statements SoundHound and LivePerson make in this proxy statement/prospectus are qualified by the information contained or incorporated by reference herein, including the information contained under this heading and the information detailed in SoundHound’s Annual Report on Form 10-K for the fiscal year ended December 31, 2025, Quarterly Report on Form 10-Q for the quarterly period ended March 31, 2026, Current Reports on Form 8-K and other filings SoundHound makes with the SEC, which are incorporated herein by reference, and in LivePerson’s Annual Report on Form 10-K for the fiscal year ended December 31, 2025, Quarterly Report on Form 10-Q for the quarterly period ended March 31, 2026, Current Reports on Form 8-K and other filings LivePerson makes with the SEC, which are incorporated herein by reference. For additional information, see the sections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and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pages 20 and 124,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undertake no obligation to update any forward-looking statements or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4" w:name="T9904"/>
      <w:bookmarkEnd w:id="4"/>
      <w:r>
        <w:rPr>
          <w:rFonts w:ascii="Times New Roman PS Std;serif" w:hAnsi="Times New Roman PS Std;serif"/>
          <w:b/>
          <w:i w:val="false"/>
          <w:caps/>
          <w:sz w:val="20"/>
          <w:bdr w:val="single" w:sz="8" w:space="10" w:color="000000"/>
        </w:rPr>
        <w:t xml:space="preserve">Comparison of Market Price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sets forth the closing sale price per share of SoundHound Common Stock and LivePerson Common Stock as reported on the Nasdaq Global Market and the Nasdaq Global Select Market, respectively, on Monday, April 20, 2026, the last trading day prior to the public announcement of the Original Merger Agreement, and on July 7, 2026, the last practicable trading day prior to the mailing of this proxy statement/prospectus. The table also shows the estimated implied value of the Aggregate Consideration Amount (assuming no adjustments thereto) proposed for each share of LivePerson Common Stock as of the same two dates. This implied value was calculated by dividing the Aggregate Consideration Amount by the number of shares of LivePerson Common Stock outstanding as of July 7, 2026 on a fully diluted basis.</w:t>
      </w:r>
    </w:p>
    <w:tbl>
      <w:tblPr>
        <w:tblW w:w="7400" w:type="dxa"/>
        <w:jc w:val="left"/>
        <w:tblInd w:w="0" w:type="dxa"/>
        <w:tblLayout w:type="fixed"/>
        <w:tblCellMar>
          <w:top w:w="0" w:type="dxa"/>
          <w:left w:w="0" w:type="dxa"/>
          <w:bottom w:w="0" w:type="dxa"/>
          <w:right w:w="0" w:type="dxa"/>
        </w:tblCellMar>
      </w:tblPr>
      <w:tblGrid>
        <w:gridCol w:w="1471"/>
        <w:gridCol w:w="146"/>
        <w:gridCol w:w="556"/>
        <w:gridCol w:w="1140"/>
        <w:gridCol w:w="146"/>
        <w:gridCol w:w="555"/>
        <w:gridCol w:w="1140"/>
        <w:gridCol w:w="146"/>
        <w:gridCol w:w="654"/>
        <w:gridCol w:w="1446"/>
      </w:tblGrid>
      <w:tr>
        <w:trPr/>
        <w:tc>
          <w:tcPr>
            <w:tcW w:w="1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Common Stock</w:t>
            </w:r>
          </w:p>
        </w:tc>
        <w:tc>
          <w:tcPr>
            <w:tcW w:w="146" w:type="dxa"/>
            <w:tcBorders/>
            <w:vAlign w:val="bottom"/>
          </w:tcPr>
          <w:p>
            <w:pPr>
              <w:pStyle w:val="TableContents"/>
              <w:bidi w:val="0"/>
              <w:spacing w:before="0" w:after="283"/>
              <w:jc w:val="left"/>
              <w:rPr/>
            </w:pPr>
            <w:r>
              <w:rPr/>
              <w:t> </w:t>
            </w:r>
          </w:p>
        </w:tc>
        <w:tc>
          <w:tcPr>
            <w:tcW w:w="21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Per Share </w:t>
              <w:br/>
              <w:t xml:space="preserve">Value of Merger </w:t>
              <w:br/>
              <w:t>Consideration(1)</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 2026</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2026</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(1)      The implied per share value of merger consideration is calculated by multiplying the SoundHound Closing VWAP Stock Price and the Per Share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SoundHound and LivePerson Common Stock are encouraged to obtain current market quotations for SoundHound Common Stock and LivePerson Common Stock and to review carefully the other information contained in this proxy statement/prospectus or incorporated by reference herein. No assurance can be given concerning the market price of SoundHound Common Stock before or after the effective date of the Mergers.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SELECTED 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balance sheet as of March 31, 2026 combines the historical consolidated balance sheets of SoundHound and LivePerson, giving effect to the Mergers as if they had occurred on March 31, 2026. The unaudited pro forma condensed combined statement of operations for the year ended December 31, 2025 and the three months ended March 31, 2026 gives effect to the Mergers as if they had occurred on January 1, 2025. The unaudited pro forma condensed combined statement of operations for the year ended December 31, 2025 gives effect to the Mergers and the acquisition of Interactions Corporation (“Interactions”), which occurred on September 3, 2025, as if each had occurred on January 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financial information should be read in conjunction with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financial statements have been prepared in accordance with Article 11 of the SEC’s Regulation S-X, with SoundHound treated as the accounting acquirer. Under the acquisition method of accounting, SoundHound will record all assets acquired and liabilities assumed at their respective acquisition date fair values upon the closing dates of the Mergers and the Interactions acquisition. The acquisition method of accounting is dependent upon certain valuations and other studies that have yet to commence or progress to a stage where there is sufficient information for a definitive measure. The sources and amounts of transaction expenses may also differ from those assumed in the following pro forma adjustments. Accordingly, the pro forma adjustments are preliminary, they have been made solely for the purpose of providing pro forma financial statements, and they are subject to revision based on a final determination of fair value as of the respective closing dates. Differences between these preliminary estimates and the final acquisition accounting may have a material impact on the accompanying pro forma financial statements and the combined company’s future results of operations and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condensed combined financial statements are presented for illustrative purposes only and do not necessarily indicate the financial results of the combined companies had the companies actually been combined as of the dates presented herein. In addition, the unaudited pro forma condensed combined financial statements should not be taken as representative of the future results of operations or financial position of the combined company. The unaudited pro forma condensed combined financial statements do not reflect the impacts of any potential operational efficiencies, revenue enhancements, cost savings or economies of scale that the combined company may achieve as a result of the Mergers.</w:t>
      </w:r>
    </w:p>
    <w:tbl>
      <w:tblPr>
        <w:tblW w:w="10205" w:type="dxa"/>
        <w:jc w:val="left"/>
        <w:tblInd w:w="0" w:type="dxa"/>
        <w:tblLayout w:type="fixed"/>
        <w:tblCellMar>
          <w:top w:w="0" w:type="dxa"/>
          <w:left w:w="0" w:type="dxa"/>
          <w:bottom w:w="0" w:type="dxa"/>
          <w:right w:w="0" w:type="dxa"/>
        </w:tblCellMar>
      </w:tblPr>
      <w:tblGrid>
        <w:gridCol w:w="6627"/>
        <w:gridCol w:w="146"/>
        <w:gridCol w:w="313"/>
        <w:gridCol w:w="1040"/>
        <w:gridCol w:w="265"/>
        <w:gridCol w:w="146"/>
        <w:gridCol w:w="1278"/>
        <w:gridCol w:w="390"/>
      </w:tblGrid>
      <w:tr>
        <w:trPr/>
        <w:tc>
          <w:tcPr>
            <w:tcW w:w="66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 share data)</w:t>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 Data</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3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3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diluted</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8789" w:type="dxa"/>
        <w:jc w:val="left"/>
        <w:tblInd w:w="0" w:type="dxa"/>
        <w:tblLayout w:type="fixed"/>
        <w:tblCellMar>
          <w:top w:w="0" w:type="dxa"/>
          <w:left w:w="0" w:type="dxa"/>
          <w:bottom w:w="0" w:type="dxa"/>
          <w:right w:w="0" w:type="dxa"/>
        </w:tblCellMar>
      </w:tblPr>
      <w:tblGrid>
        <w:gridCol w:w="7186"/>
        <w:gridCol w:w="146"/>
        <w:gridCol w:w="286"/>
        <w:gridCol w:w="1171"/>
      </w:tblGrid>
      <w:tr>
        <w:trPr/>
        <w:tc>
          <w:tcPr>
            <w:tcW w:w="7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262,390</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1,015,644</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297,431</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718,213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addressed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16, LivePerson stockholders should carefully consider the following risks before deciding how to vote with respect to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 and the adjournment proposal to be considered and voted on at the LivePerson special meeting. In addition, LivePerson stockholders should also read and consider the risks associated with each of the businesses of SoundHound and LivePerson because these risks will also affect the combined company. These risks can be found in SoundHound’s and LivePerson’s Annual Reports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their subsequent reports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documents they file with the SEC, in each case incorporated by reference into this proxy statement/prospectus. LivePerson stockholders should also read and consider the other information in this proxy statement/prospectus and the other documents incorporated by reference into this proxy statement/prospectus. For additional information, see the section entitled “Where You Can Find More Information”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 value ascribed to the SoundHound Common Stock, the Aggregate Consideration Amount and the Closing TASE Cash Merger Consideration will be subject to adjustment and because the market price of SoundHound Common Stock will fluctuate, LivePerson stockholders cannot be certain of the precise value of the Per Share Merger Consideration they may receive in the First Merger or the Per Share Cash Merger Consideration they may receive in the Second Merger, as applicable.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at the First Effective Time, each issued and outstanding eligible share of LivePerson Common Stock (other than Cancelled LivePerson Shares and TASE Shares)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First Effective Time (other than Cancelled LivePerson Shares and the TASE Shares). The Closing Merger Consideration, being the aggregate amount of consideration payable by SoundHound to holders of LivePerson Common Stock (other than Cancelled LivePerson Shares and TASE Shares) in connection with the First Merger, will be a number of shares of SoundHound Common Stock equal to the quotient of (a) the Aggregate Consideration Amount, divided by (b) the SoundHound Closing Stock Price. The Aggregate Consideration Amount refers to an amount equal to (I) $42,784,532.64, minus (II) the LivePerson Shortfall Cash, plus (III) the aggregate dollar amount of the exercise prices of all In-the-Money Options (other than Assumed Options). LivePerson Shortfall Cash refers to an amount equal to (x) $74,000,000 (or, solely for purposes of the Merger Agreement, $71,000,000 if the closing occurs in July), minus (y) the aggregate principal amount of the 2026 Convertible Notes repurchased by LivePerson between April 1, 2026 and the closing date, minus (z) the cash and cash equivalents on LivePerson’s balance sheet as of 12:01 a.m. Pacific Time on the closing date (net of certain LivePerson transaction expenses) (as estimated in accordance with the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consecutive trading days ending on (and including) the trading day that is three (3) trading days prior to the Closing Date; provided that it will be no greater than $12.00 and no less than $7.00.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Second Merger is completed, at the Second Effective Time, each issued and outstanding eligible TASE Share (other than any Dissenting Shares) will be converted into the right to receive the Per Share Cash Merger Consideration. The Per Share Cash Merger Consideration is calculated by dividing the Closing TASE Cash Merger Consideration by the Fully Diluted TASE Common Number. The Closing TASE Cash Merger Consideration will be equal to the Closing Merger Consideration, multiplied by the SoundHound Closing VWAP Stock Price, multiplied further by the Closing TASE Merger Consideration Percentage, which will be a figure equal to the total number of TASE Shares issued and outstanding immediately prior to the Second Effective Time, divided by the Fully Diluted Common Number. If the Closing TASE Cash Merger Consideration is greater than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there will be a time lapse between each of the date of this proxy statement/prospectus, the date on which LivePerson stockholders vote to approve the merger proposal and the date on which LivePerson stockholders entitled to receive the Per Share Merger Consideration or the Per Share Cash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Consideration, as applicable, actually receive the Per Share Merger Consideration or the Per Share Cash Merger Consideration, as applicable. The market value of shares of SoundHound Common Stock will fluctuate, possibly materially, during and after these periods as a result of a variety of factors, including general market and economic conditions, changes in 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or Per Share Cash Merger Consideration, as applicable, received by LivePerson stockholders at the completion of the Mergers will depend in part on the market value of the shares of SoundHound Common Stock and the cash and cash equivalents on LivePerson’s balance sheet at that time and, in the case of the Per Share Cash Merger Consideration, the total number of TASE Shares issued and outstanding at that time. Additionally, if the market value of the SoundHound shares exceeds $12.00 or is less than $7.00 at the relevant measurement time before Closing, the SoundHound Closing Stock Price used to determine the number of shares of SoundHound Common Stock the LivePerson stockholders will be entitled to receive in the First Merger will be adjusted. Consequently, at the time LivePerson stockholders decide whether to approve the merger proposal, they will not know the actual market value of the Per Share Merger Consideration or the Per Share Cash Merger Consideration, as applicable, they will receive when the Mergers are completed. For additional information about the merger consideration,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completed, and the Merger Agreement may be terminated in accordance with its terms. Failure to complete the Mergers could negatively impact the price of shares of SoundHound Common Stock and the price of shares of LivePerson Common Stock, as well as SoundHound’s and LivePerson’s respective future businesses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are subject to a number of conditions that must be satisfied, including the approval by LivePerson stockholders of the merger proposal, or, to the extent permitted by applicable law, waived, in each case prior to the completion of the Mergers. These conditions are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These conditions to the completion of the Mergers, some of which are beyond the control of SoundHound and LivePerson, may not be satisfied or waived in a timely manner or at all, and, accordingly, the Mergers may be delayed or may not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First Merger is not completed by October 21, 2026, or, in certain instances, on or before December 5, 2026, either SoundHound or LivePerson may choose not to proceed with the Mergers by terminating the Merger Agreement, and the parties can mutually decide to terminate the Merger Agreement at any time, before or after LivePerson stockholder approval. Further, either SoundHound or LivePerson may elect to terminate the Merger Agreement in certain other circumstances as further detailed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be required to pay their respective costs relating to the transactions, which are substantial, such as legal, accounting, financial advisory and printing fees, whether or not the transactions are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may owe a termination fee of $5 million, plus SoundHound transaction expenses, as further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and resources committed by SoundHound’s and LivePerson’s management to matters relating to the transactions could otherwise have been devoted to pursuing other beneficial opportunities;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employees, customers or vendors;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Merger Agreement restricts the conduct of LivePerson’s and SoundHound’s businesses prior to completion of the Mergers, LivePerson or SoundHound may not have been able to take certain actions during the pendency of the Mergers that would have benefited it as an independent company and the opportunity to take such actions may no longer be available. For a description of the restrictive covenants to which SoundHound and LivePerson are subject, see the section entitled “</w:t>
      </w:r>
      <w:r>
        <w:rPr>
          <w:rFonts w:ascii="Times New Roman PS Std;serif" w:hAnsi="Times New Roman PS Std;serif"/>
          <w:b w:val="false"/>
          <w:i/>
          <w:caps w:val="false"/>
          <w:smallCaps w:val="false"/>
          <w:sz w:val="20"/>
        </w:rPr>
        <w:t>The Merger Agreement — Interim Operations of LivePerson and SoundHound Pending the Mergers</w:t>
      </w:r>
      <w:r>
        <w:rPr>
          <w:rFonts w:ascii="Times New Roman PS Std;serif" w:hAnsi="Times New Roman PS Std;serif"/>
          <w:b w:val="false"/>
          <w:i w:val="false"/>
          <w:caps w:val="false"/>
          <w:smallCaps w:val="false"/>
          <w:sz w:val="20"/>
        </w:rPr>
        <w:t>” beginning on page 81.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Mergers, or that such other merger or business combination is completed. If the Merger Agreement is terminated under specified circumstances, LivePerson may be required to pay SoundHound a termination fee of $5 million, plus an additional amount equal to SoundHound’s documented expenses incurred prior to and including the date of the termination of the Merger Agreement. For a description of these circumstances, see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receive the Per Share Merger Consideration will have a reduced ownership and voting interest in the combined company after the First Merger compared to their current ownership in LivePerson and will exercise less influence over the combined company’s management, and LivePerson stockholders who receive the Per Share Cash Merger Consideration as a result of the Second Merger will not have any ownership or voting interest in the combined company after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Merger, each LivePerson stockholder who receives shares of SoundHound Common Stock in the First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July 6, 2026, and assuming there is no cash adjustment to the Aggregate Consideration Amount and the Closing Merger Consideration is approximately 3.0 million to 5.1 million shares of SoundHound Common Stock, after the First Merger LivePerson stockholders who receive the Per Share Merger Consideration are expected to become owners of approximately 1.5% to 0.9%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after the Mergers than they now have on the management and policies of LivePerson.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Required regulatory approvals may not be received, may take longer than expected to be received or may impose conditions that are not presently anticipated or cannot be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While Bulgaria is the remaining open jurisdiction as of the date of this proxy statement/prospectus, and the parties expect that Bulgarian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SoundHound and LivePerson do not believe they meet the thresholds for filing, which could require additional filings or review processes, and which could include seeking to enjoin the completion of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For a more complete summary of the parties’ obligations with respect to regulatory approvals related to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 Failure to obtain the necessary clearance in the specified jurisdictions or any other jurisdiction could substantially delay or prevent the completion of the Mergers, which could negatively impact both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also conditioned upon the authorization for listing of SoundHound Common Stock to be issued in connection with the First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Mergers will be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conditions or changes and the process of obtaining regulatory approvals could have the effect of delaying or impeding consummation of the Mergers or of imposing additional costs or limitations on SoundHound or LivePerson following completion of the Mergers, any of which might have an adverse effect on SoundHound or LivePerson following completion of the Mergers and may diminish the anticipated benefits of the Mergers. For additional information about the regulatory approvals process, see the section entitled “</w:t>
      </w:r>
      <w:r>
        <w:rPr>
          <w:rFonts w:ascii="Times New Roman PS Std;serif" w:hAnsi="Times New Roman PS Std;serif"/>
          <w:b w:val="false"/>
          <w:i/>
          <w:caps w:val="false"/>
          <w:smallCaps w:val="false"/>
          <w:sz w:val="20"/>
        </w:rPr>
        <w:t xml:space="preserve">The Mergers — Regulatory Approvals” </w:t>
      </w:r>
      <w:r>
        <w:rPr>
          <w:rFonts w:ascii="Times New Roman PS Std;serif" w:hAnsi="Times New Roman PS Std;serif"/>
          <w:b w:val="false"/>
          <w:i w:val="false"/>
          <w:caps w:val="false"/>
          <w:smallCaps w:val="false"/>
          <w:sz w:val="20"/>
        </w:rPr>
        <w:t>beginning on page 70 and the section entitled “</w:t>
      </w:r>
      <w:r>
        <w:rPr>
          <w:rFonts w:ascii="Times New Roman PS Std;serif" w:hAnsi="Times New Roman PS Std;serif"/>
          <w:b w:val="false"/>
          <w:i/>
          <w:caps w:val="false"/>
          <w:smallCaps w:val="false"/>
          <w:sz w:val="20"/>
        </w:rPr>
        <w:t xml:space="preserve">The Merger Agreement — Regulatory Approvals” </w:t>
      </w:r>
      <w:r>
        <w:rPr>
          <w:rFonts w:ascii="Times New Roman PS Std;serif" w:hAnsi="Times New Roman PS Std;serif"/>
          <w:b w:val="false"/>
          <w:i w:val="false"/>
          <w:caps w:val="false"/>
          <w:smallCaps w:val="false"/>
          <w:sz w:val="20"/>
        </w:rPr>
        <w:t>beginning on page 89.</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that receive SoundHound Common Stock in the First Merger will not receive cash consideration (other than cash in lieu of fractional shares of SoundHound Common Stock) with which to pay any tax liability resulting from the 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receipt of SoundHound Common Stock and any cash in lieu of fractional shares of SoundHound Common Stock by LivePerson stockholders entitled to receive the Per Share Merger Consideration in exchange for LivePerson Common Stock in the First Merger is intended to be treated as a taxable transaction for U.S. federal income tax purposes. The amount of gain or loss, if any, recognized by such LivePerson stockholders will vary depending on such LivePerson stockholders’ particular situation, including the fair market value of the SoundHound Common Stock and the amount of any cash in lieu of fractional shares of SoundHound Common Stock received by such LivePerson stockholder in the First Merger, and the adjusted tax basis of the LivePerson Common Stock exchanged by such LivePerson stockholder in the First Merger. LivePerson stockholders that receive SoundHound Common Stock in the First Merger will not receive any cash consideration (other than any cash received in lieu of fractional shares of SoundHound Common Stock) with which to pay any tax liability resulting from the First Merger. Please refer to the section of this proxy statement/prospectus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for a description of the material U.S. federal income tax consequences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will be subject to business uncertainties while the Mergers are pending, which could adversely affect their respective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Mergers on employees, industry contacts and business partners may have an adverse effect on SoundHound or LivePerson. These uncertainties may impair SoundHound’s or LivePerson’s ability to attract, retain and motivate key personnel until the Mergers are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Mergers, as employees may experience uncertainty about their roles with SoundHound following the Mergers. In addition, the Merger Agreement restricts LivePerson from entering into certain corporate transactions and taking other specified actions without the consent of SoundHound. These restrictions may prevent LivePerson from pursuing attractive business opportunities that may arise prior to the completion of the Mergers. For a description of the restrictive covenants to which LivePerson is subject, see the section entitled “</w:t>
      </w:r>
      <w:r>
        <w:rPr>
          <w:rFonts w:ascii="Times New Roman PS Std;serif" w:hAnsi="Times New Roman PS Std;serif"/>
          <w:b w:val="false"/>
          <w:i/>
          <w:caps w:val="false"/>
          <w:smallCaps w:val="false"/>
          <w:sz w:val="20"/>
        </w:rPr>
        <w:t xml:space="preserve">The Merger Agreement — Interim Operations of LivePerson Pending the Mergers” </w:t>
      </w:r>
      <w:r>
        <w:rPr>
          <w:rFonts w:ascii="Times New Roman PS Std;serif" w:hAnsi="Times New Roman PS Std;serif"/>
          <w:b w:val="false"/>
          <w:i w:val="false"/>
          <w:caps w:val="false"/>
          <w:smallCaps w:val="false"/>
          <w:sz w:val="20"/>
        </w:rPr>
        <w:t>beginning on page 81.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limits LivePerson’s ability to pursue alternatives to the Mergers, which may discourage certain other companies from making favorable alternative transaction proposals and, in specified circumstances, could require LivePerson to pay SoundHound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submitting a competing proposal to LivePerson that might result in greater value to LivePerson stockholders than the Mergers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Merger Agreement that the LivePerson board of directors not withdraw or modify the LivePerson board of directors recommendation. Although the LivePerson board of directors is permitted to effect a recommendation change, after complying with certain procedures set forth in the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Merger Agreement and receive a cash termination fee in the amount of $5 million, plus an additional amount equal to SoundHound’s documented transaction expenses incurred prior to and including the date of the termination of the Merger Agreement. For additional information, see the sections entitled “</w:t>
      </w:r>
      <w:r>
        <w:rPr>
          <w:rFonts w:ascii="Times New Roman PS Std;serif" w:hAnsi="Times New Roman PS Std;serif"/>
          <w:b w:val="false"/>
          <w:i/>
          <w:caps w:val="false"/>
          <w:smallCaps w:val="false"/>
          <w:sz w:val="20"/>
        </w:rPr>
        <w:t>The Merger Agreement — No Solicitation; Change of Recommendation</w:t>
      </w:r>
      <w:r>
        <w:rPr>
          <w:rFonts w:ascii="Times New Roman PS Std;serif" w:hAnsi="Times New Roman PS Std;serif"/>
          <w:b w:val="false"/>
          <w:i w:val="false"/>
          <w:caps w:val="false"/>
          <w:smallCaps w:val="false"/>
          <w:sz w:val="20"/>
        </w:rPr>
        <w:t>” beginning on page 84 and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associated with the Mergers may cause a loss of management personnel and other key employees, which could adversely affect the future business and operations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dependent on the experience and industry knowledge of their officers and other key employees to execute their business plans. Each company’s success until the Mergers and the combined company’s success after the Mergers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Mergers,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 of LivePerson may have interests in the Mergers that are different from, or in addition to, the interests of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executive officers of LivePerson may have interests in the Mergers that are different from, or in addition to, the interests of LivePerson stockholders generally. These interests include, among others, the treatment of outstanding equity and equity-based awards pursuant to the Merger Agreement, potential severance and other benefits upon a qualifying termination in connection with the Mergers, and rights to ongoing indemnification and insurance coverage. These interests are described in more detail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The LivePerson board of directors was aware of and carefully considered these interests of its directors and officers, among other matters, during its deliberations on the merits, terms, and structure of the Mergers, overseeing the negotiation of the Mergers, approving the Merger Agreement and the transactions contemplated thereby, including the Mergers, and in making its recommendation that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SoundHound and LivePerson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will incur significant transaction and merger-related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costs in connection with the Mergers, which may be in excess of those anticipated by SoundHound or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incurred and expects to continue to incur a number of non-recurring costs associated with negotiating and completing the Mergers and combining the operations of the two companies. These fees and costs have been, and will continue to be, substantial. The substantial majority of non-recurring expenses will consist of transaction costs related to the Mergers and include, among others, employee retention costs, fees paid to financial, legal and accounting advisors, severance and benefit costs, and filing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will also incur transaction fees and costs related to the integration of the companies, which may be substantial. Moreover, each company may incur additional unanticipated expenses in connection with the Mergers and the integration, including costs associated with any stockholder litigation related to the Mergers.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 PS Std;serif" w:hAnsi="Times New Roman PS Std;serif"/>
          <w:b w:val="false"/>
          <w:i/>
          <w:caps w:val="false"/>
          <w:smallCaps w:val="false"/>
          <w:sz w:val="20"/>
        </w:rPr>
        <w:t xml:space="preserve">The integration of LivePerson and SoundHound may not be as successful as anticipated, and SoundHound may not achieve the intended benefits or do so within the intended timeframe” </w:t>
      </w:r>
      <w:r>
        <w:rPr>
          <w:rFonts w:ascii="Times New Roman PS Std;serif" w:hAnsi="Times New Roman PS Std;serif"/>
          <w:b w:val="false"/>
          <w:i w:val="false"/>
          <w:caps w:val="false"/>
          <w:smallCaps w:val="false"/>
          <w:sz w:val="20"/>
        </w:rPr>
        <w:t>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described above, as well as other unanticipated costs and expenses, could have a material adverse effect on the financial condition and operating results of the combined company following the completion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Mergers may trigger change in control or other provisions in certain agreements to which LivePerson or its subsidiaries is a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may trigger change in control or other provisions in certain agreements to which LivePerson or its subsidiaries is a party. If SoundHound and LivePerson are unable to negotiate waivers of those provisions, the counterparties may exercise their rights and remedies under such agreements, potentially terminating the agreement or seeking monetary damages. Additionally, even if SoundHound and LivePerson are able to negotiate waivers, the counterparties may require a fee for such waivers or seek to renegotiate the agreements on terms less favorable to the combined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may be targets of securities class action and derivative lawsuits that could result in substantial costs and may delay or prevent the Mergers from being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Mergers. If a plaintiff is successful in obtaining an injunction prohibiting completion of the Mergers, then that injunction may delay or prevent the Mergers from being completed, which may adversely affect SoundHound’s and LivePerson’s respective business, financial position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conditions to the closing of the Mergers is that no injunction, order or award by any court or governmental entity having jurisdiction over any party has been entered and continues to be in effect and no law has been adopted or is effective, in either case, that prohibits or makes illegal the consummation of the Mergers. Consequently, if a lawsuit is filed and a plaintiff is successful in obtaining an injunction prohibiting consummation of the Mergers, then that injunction may delay or prevent the Mergers from being completed within the expected timeframe or at all, which may adversely affect SoundHound’s and LivePerson’s respective business,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SoundHound Common Stock received by LivePerson stockholders entitled to receive the Per Share Merger Consideration as a result of the First Merger will have different rights from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LivePerson stockholders entitled to receive the Per Share Merger Consideration will no longer be stockholders of LivePerson, and those LivePerson stockholders who receive the Per Share Merger Consideration will become SoundHound stockholders, and their rights as SoundHound stockholders will be governed by the terms of SoundHound’s charter and bylaws. There will be important differences between the current rights of LivePerson stockholders and the rights to which such stockholders will be entitled as SoundHound stockholders. For a discussion of the different rights associated with shares of SoundHound Common Stock as compared to LivePerson Common Stock, see the section entitled “</w:t>
      </w:r>
      <w:r>
        <w:rPr>
          <w:rFonts w:ascii="Times New Roman PS Std;serif" w:hAnsi="Times New Roman PS Std;serif"/>
          <w:b w:val="false"/>
          <w:i/>
          <w:caps w:val="false"/>
          <w:smallCaps w:val="false"/>
          <w:sz w:val="20"/>
        </w:rPr>
        <w:t>Comparison of Rights of Stockholders of SoundHound and Stockholders of LivePerson</w:t>
      </w:r>
      <w:r>
        <w:rPr>
          <w:rFonts w:ascii="Times New Roman PS Std;serif" w:hAnsi="Times New Roman PS Std;serif"/>
          <w:b w:val="false"/>
          <w:i w:val="false"/>
          <w:caps w:val="false"/>
          <w:smallCaps w:val="false"/>
          <w:sz w:val="20"/>
        </w:rPr>
        <w:t>” beginning on page 107.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or LivePerson may waive one or more of the closing conditions without re-soliciting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or LivePerson may determine to waive, in whole or part, one or more of the conditions to closing the Mergers prior to SoundHound or LivePerson, as the case may be, being obligated to consummate the Mergers. Each of SoundHound and LivePerson currently expects to evaluate the materiality of any waiver and its effect on its respective stockholders, in light of the facts and circumstances at the time, to determine whether any amendment of this proxy statement/prospectus or any re-solicitation of proxies by LivePerson is required in light of such waiver. Any determination whether to waive any condition to the Mergers, re-solicit LivePerson stockholder approval or amend or supplement this proxy statement/prospectus as a result of a waiver will be made by SoundHound or LivePerson at the time of such waiver based on the facts and circumstances as they exist at that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do not hold TASE Shares are not entitled to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additional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Combined Company Following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integration of LivePerson into SoundHound may not be as successful as anticipated, and SoundHound may not achieve the intended benefits or do so within the intended timeframe.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involve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successfully integrate the businesses of LivePerson into SoundHound in a manner that permits SoundHound to achieve the full revenue and cost savings anticipated from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complexities associated with managing the larger, more complex, integrated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personnel from the two companies and the loss of key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unknown liabilities and unforeseen expenses, delays or regulatory conditions associated with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relationships with industry contacts and business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shortfalls as a result of the diversion of management’s attention caused by completing the Mergers and integrating LivePerson’s operations into SoundHound;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disruption of, or the loss of momentum in, ongoing business or inconsistencies in standards, controls, procedures and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success of the Mergers will depend, in part, on SoundHound’s ability to realize the anticipated benefits from combining SoundHound’s and LivePerson’s businesses, discussed in more detail under the heading “</w:t>
      </w:r>
      <w:r>
        <w:rPr>
          <w:rFonts w:ascii="Times New Roman PS Std;serif" w:hAnsi="Times New Roman PS Std;serif"/>
          <w:b w:val="false"/>
          <w:i/>
          <w:caps w:val="false"/>
          <w:smallCaps w:val="false"/>
          <w:sz w:val="20"/>
        </w:rPr>
        <w:t>The Mergers — SoundHound’s Reasons for the Mergers</w:t>
      </w:r>
      <w:r>
        <w:rPr>
          <w:rFonts w:ascii="Times New Roman PS Std;serif" w:hAnsi="Times New Roman PS Std;serif"/>
          <w:b w:val="false"/>
          <w:i w:val="false"/>
          <w:caps w:val="false"/>
          <w:smallCaps w:val="false"/>
          <w:sz w:val="20"/>
        </w:rPr>
        <w:t>” beginning on page 56. The anticipated benefits of the Mergers may not be realized fully or at all, may take longer to realize than expected, or could have other adverse effects that SoundHound does not currently foresee.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SoundHound’s results may suffer if it does not effectively manage its expanded operations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Mergers will depend, in part, on SoundHound’s ability to realize the anticipated benefits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anticipated benefits of the Mergers may not be realized fully or at all, may take longer to realize than expected or could have other adverse effects that SoundHound does not currently foresee. Some of the assumptions that SoundHound has made may not be realized. There could also be unknown liabilities and unforeseen expenses associated with the Mergers that were not discovered in the due diligence review conducted by each company prior to entering into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issues currently faced by one company may be imputed to the operations of the other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Mergers which may limit or impede the combined company’s future ability to obtain additional work from those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information and LivePerson’s unaudited forecasted financial information included in this proxy statement/prospectus are presented for illustrative purposes only and do not represent the actual financial position or results of operations of the combined company following the completion of the Mergers. Future results of SoundHound or LivePerson may differ, possibly materially, from the unaudited pro forma condensed combined financial information and LivePerson’s unaudited forecasted financial information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and LivePerson’s unaudited forecasted financial information contained in this proxy statement/prospectus are presented for illustrative purposes only, contains a variety of adjustments, assumptions and preliminary estimates and do not represent the actual financial position or results of operations of SoundHound and LivePerson prior to the Mergers or that of the combined company following the Mergers. Specifically, the unaudited pro forma condensed combined financial statements do not reflect the effect of any potential acquisitions or divestitures that may occur prior to or subsequent to the completion of the Mergers, integration costs or any changes in SoundHound’s debt to capitalization ratio following the completion of the Mergers. For additional information, see the section entitled “</w:t>
      </w:r>
      <w:r>
        <w:rPr>
          <w:rFonts w:ascii="Times New Roman PS Std;serif" w:hAnsi="Times New Roman PS Std;serif"/>
          <w:b w:val="false"/>
          <w:i/>
          <w:caps w:val="false"/>
          <w:smallCaps w:val="false"/>
          <w:sz w:val="20"/>
        </w:rPr>
        <w:t xml:space="preserve">Unaudited Pro Forma Condensed Combined Financial Statements” </w:t>
      </w:r>
      <w:r>
        <w:rPr>
          <w:rFonts w:ascii="Times New Roman PS Std;serif" w:hAnsi="Times New Roman PS Std;serif"/>
          <w:b w:val="false"/>
          <w:i w:val="false"/>
          <w:caps w:val="false"/>
          <w:smallCaps w:val="false"/>
          <w:sz w:val="20"/>
        </w:rPr>
        <w:t>beginning on page 126. In addition, the Mergers and post-Mergers integration process may give rise to unexpected liabilities and costs, including costs associated with the defense and resolution of transaction-related litigation or other claims. Unexpected delays in completing the Mergers or in connection with the post-Mergers integration process may significantly increase the related costs and expenses incurred by SoundHound. The actual financial positions and results of operations of SoundHound and LivePerson prior to the Mergers and that of the combined company following the Mergers may be different, possibly materially, from the unaudited pro forma condensed combined financial statements or LivePerson’s unaudited forecasted financial information included in this proxy statement/prospectus. In addition, the assumptions used in preparing the unaudited pro forma condensed combined financial statements and LivePerson’s unaudited forecasted financial information included in this proxy statement/prospectus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contained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accretive, and may be dilutive, to SoundHound’s earnings per share, which may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shares of SoundHound Common Stock will be issued in the First Merger, it is possible that, although SoundHound currently expects the Mergers to be accretive to earnings per share, the Mergers may be dilutive to SoundHound’s earnings per share, which could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completion of the First Merger, based on the number of issued and outstanding shares of LivePerson Common Stock as of July 6, 2026 and the number of outstanding LivePerson equity awards currently estimated to be payable in SoundHound Common Stock following the First Merger, assuming no adjustments to the Aggregate Consideration Amount, SoundHound will issue between approximately 3.0 million and 5.1 million shares of SoundHound Common Stock to holders of LivePerson Common Stock and between approximately 21.8 million and 37.3 million shares of SoundHound Common Stock to Secured Holders (as defined below).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Mergers. The Merger Agreement does not restrict the ability of former LivePerson stockholders to sell such shares of SoundHound Common Stock following completion of the Mergers. Therefore, these sales (or the perception that these sales may occur), coupled with the increase in the outstanding number of shares of SoundHound Common Stock, may affect the market for, and the market price of, SoundHound Common Stock in an adverse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and stockholders of SoundHound, including former LivePerson stockholders, sell substantial amounts of SoundHound Common Stock in the public market following the consummation of the Mergers, the market price of SoundHound Common Stock may decrease. These sales might also make it more difficult for SoundHound to raise capital by selling equity or equity-related securities at a time and price that it otherwise would deem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will continue to fluctuate after the Mergers and may decline if the benefits of the Mergers do not meet the expectations of financial analysts.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shares of SoundHound Common Stock. The market price of SoundHound Common Stock may fluctuate significantly following completion of the First Merger and holders of LivePerson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may be affected by factors different from those that historically have affected LivePerson Common Stock or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SoundHound Common Stock. The businesses of SoundHound differ from those of LivePerson in certain respects, and, accordingly, the financial position or results of operations and/or cash flows of SoundHound after the Mergers, as well as the market price of SoundHound Common Stock, may be affected by factors different from those currently affecting the financial position or results of operations and/or cash flows of LivePerson and SoundHound as independent standalone companies. In particular, following the completion of the Mergers, LivePerson will be part of a larger company, which means that decisions affecting LivePerson may be made in respect of the larger combined business as a whole rather than the LivePerson businesses individually. For a discussion of the businesses of SoundHound and LivePerson and of some important factors to consider in connection with those businesses, see the documents incorporated by reference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including, in particular,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each of SoundHound’s and LivePerson’s Annual Report on Form 10-K for the year ended December 31, 2025 and Quarterly Reports on Form 10-Q for the quarters ended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also has contracts with customers, vendors, licensors and other business partners which may require LivePerson to obtain consent from these other parties in connection with the Mergers.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financial forecasts relating to LivePerson prepared in connection with the Mergers may not be realized, which may adversely affect the market price of SoundHound Common Stock following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certain financial forecasts considered by LivePerson in connection with its business. These forecasts are inherently based on various estimates and assumptions that are subject to the judgment of those preparing them and, in the view of LivePerson’s management, were prepared on a reasonable basis, reflecting the best available estimates and judgments as of the date they were prepared. These forecasts are also subject to significant economic, competitive, industry and other uncertainties and contingencies, all of which are difficult or impossible to predict and many of which are beyond the control of LivePerson. The financial forecasts are not fact and should not be relied upon as being necessarily indicative of future results and readers are cautioned not to place undue reliance on the information provided. Important factors that may affect the actual results of LivePerson and cause the internal financial forecasts to not be achieved include risks and uncertainties relating to LivePerson’s business, industry performance, the regulatory environment, general business and economic conditions and other factors described under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financial forecasts also reflect assumptions that are subject to change and do not reflect revised prospects for LivePerson’s business,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by its nature becomes less predictive with each successive year. There can be no assurance that LivePerson’s financial condition or results of operations will be consistent with those set forth in such forecasts.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SoundHound’s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SoundHound’s businesses that will also affect the combined company after the completion of the Mergers. These risks are described in Part I, Item 1A of SoundHound’s Annual Report on Form 10-K for the fiscal year ended December 31, 2025, in Part II, Item 1A of SoundHound’s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LivePerson’s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LivePerson’s businesses that will also affect the combined company after the completion of the Mergers. These risks are described in Part I, Item 1A of LivePerson’s Annual Report on Form 10-K for the fiscal year ended December 31, 2025, in Part II, Item 1A of LivePerson’s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PARTIES TO THE MERGER </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7th Avenue, Floor M1</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SPECIAL MEETING OF LIVEPERSON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proxy statement/prospectus is being provided to the LivePerson stockholders as part of a solicitation of proxies by the LivePerson board of directors for use at the LivePerson special meeting to be held at the time and place specified below and at any properly convened meeting following an adjournment or postponement thereof. This proxy statement/prospectus provides LivePerson stockholders with information they need to know to be able to vote or instruct their vote to be cast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the LivePerson Special Meeting Website. To attend the LivePerson special meeting please follow the instructions provided on the enclosed proxy card and on the LivePerson Special Meeting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LivePerson special meeting is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transact no other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that LivePerson stockholders vote: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recommendations of the LivePerson board, see the section entitled “</w:t>
      </w:r>
      <w:r>
        <w:rPr>
          <w:rFonts w:ascii="Times New Roman PS Std;serif" w:hAnsi="Times New Roman PS Std;serif"/>
          <w:b w:val="false"/>
          <w:i/>
          <w:caps w:val="false"/>
          <w:smallCaps w:val="false"/>
          <w:sz w:val="20"/>
        </w:rPr>
        <w:t xml:space="preserve">LivePerson Stockholder Proposals”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 xml:space="preserve">The Mergers — Recommendation of the LivePerson Board of Directors; LivePerson’s Reasons for the Mergers” </w:t>
      </w:r>
      <w:r>
        <w:rPr>
          <w:rFonts w:ascii="Times New Roman PS Std;serif" w:hAnsi="Times New Roman PS Std;serif"/>
          <w:b w:val="false"/>
          <w:i w:val="false"/>
          <w:caps w:val="false"/>
          <w:smallCaps w:val="false"/>
          <w:sz w:val="20"/>
        </w:rPr>
        <w:t>beginning on page 38 and 56,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and Outstanding Shares of LivePerson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issued and outstanding shares of LivePerson Common Stock as of the close of business on July 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make available a list of stockholders of record as of the Record Date for inspection by stockholders for any purpose germane to the LivePerson special meeting from August 10, 2026 through August 19, 2026. Please email ir-lp@liveperson.com for instructions as to how to access the stockholder list online prior to the LivePerson special meeting. The list will also be available electronically on the meeting website during the live webcast of the LivePerson special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Abstentions and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in respect of each proposal, your shares of LivePerson Common Stock will be counted for purposes of determining whether a quorum is present for the transaction of business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Common Stock held in “street name” with respect to which the beneficial owner fails to give voting instructions to the broker, bank or other nominee, and LivePerson Common Stock with respect to which the beneficial owner otherwise fails to vote,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will result if your broker, bank or other nominee returns a proxy but does not provide instruction as to how shares should be voted on a particular matter. Under the applicable stock exchange rules, brokers, banks or other nominees do not have discretionary authority to vote on any of the proposals to be considered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 shares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but unvoted proxies will be voted in accordance with the recommendations of the LivePerson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rPr>
        <w:t>LivePerson Stockholder Proposals</w:t>
      </w:r>
      <w:r>
        <w:rPr>
          <w:rFonts w:ascii="Times New Roman PS Std;serif" w:hAnsi="Times New Roman PS Std;serif"/>
          <w:b w:val="false"/>
          <w:i w:val="false"/>
          <w:caps w:val="false"/>
          <w:smallCaps w:val="false"/>
          <w:sz w:val="20"/>
        </w:rPr>
        <w:t>” beginning on page 38.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Methods of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LivePerson stockholders who hold TASE Shares and intend to vote their shares, there are four ways a LivePerson stockholder of record can vote their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Telephone:    You may vote by telephone by following the instructions specified on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Mail: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LivePerson special meeting: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stockholders who hold TASE Shares is available on the websites: </w:t>
      </w:r>
      <w:r>
        <w:rPr>
          <w:rFonts w:ascii="Times New Roman PS Std;serif" w:hAnsi="Times New Roman PS Std;serif"/>
          <w:b w:val="false"/>
          <w:i/>
          <w:caps w:val="false"/>
          <w:smallCaps w:val="false"/>
          <w:sz w:val="20"/>
        </w:rPr>
        <w:t>https://www.magna.isa.gov.il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their shares in “street name” by a broker, bank or other nominee should refer to the proxy card, voting instruction form or other information forwarded by their broker, bank or other nominee for instructions on how to vote their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held directly in your name as stockholder of record may be voted virtually on the LivePerson Special Meeting Website at the LivePerson special meeting. Even if you plan to attend the LivePerson special meeting, the LivePerson board of directors recommends that you vote your shares in advance as described below so that your vote will be counted if you later decide not to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holder, you will receive separate voting instructions from your broker, bank or other nominee explaining how to vote your shares. Please note that if your shares are held in “street name” by a broker, bank or other nominee and you wish to vote at the LivePerson special meeting to be held virtually on the LivePerson Special Meeting Website, you will not be permitted to vote at the LivePerson special meeting unless you first obtain a legal proxy issued in your name from the record owner. You are encouraged to request a legal proxy from your broker, bank or other nominee promptly as the process can be lengthy.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your shares of LivePerson Common Stock directly as the stockholder of record or beneficially in “street name,” you may direct your vote by proxy without attending the LivePerson special meeting. You can vote by proxy by phone, the Internet or mail by following the instructions provided in the enclosed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About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how to vote or direct a vote in respect of your shares of LivePerson Common Stock, you may contact MacKenzie Partners, Inc., LivePerson’s proxy solicitor, at 800-322-2885 (toll-free in North America) or via email at proxy</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of LivePerson, whether you vote by phone, the Internet or mail, you can change or revoke your proxy before it is voted at the meeting in one of the following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a new proxy card bearing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vote again by phone or the Internet at a later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give written notice before the meeting to LivePerson’s corporate secretary at 530 7th Avenue, Floor M1, New York, New York 10018 stating that you are revoking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 the LivePerson special meeting and vote your shares virtually on the LivePerson Special Meeting Website. Please note that your virtual attendance at the meeting on the LivePerson Special Meeting Website alone will not serve to revoke your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LivePerson’s Israeli counsel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card is being solicited on behalf of the LivePerson board of directors. In addition to solicitation by mail, LivePerson’s directors, officers and employees may solicit proxies in person, by phone or by electronic means. These persons will not be specifically compensated for conducting such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to assist in the solicitation process. LivePerson estimates it will pay MacKenzie Partners, Inc. a base fee of approximately $40,000, in addition to the reimbursement of certain costs and expenses, for these services. LivePerson also has agreed to indemnify MacKenzie Partners, Inc. against various liabilities and expenses that relate to or arise out of its solicitation of proxies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ask brokers, banks and other nominees to forward the proxy solicitation materials to the beneficial owners of shares of LivePerson Common Stock held of record by such nominee holders. LivePerson will reimburse these nominee holders for their customary clerical and mailing expenses incurred in forwarding the proxy solicitation materials to the beneficial owners.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a quorum is present, the holders of a majority of the outstanding shares of LivePerson Common Stock who are present in person or by proxy and entitled to vote at the special meeting may adjourn the meeting from time to time, without notice other than by announcement at the meeting, to another date, place, if any, and time until a quorum is present. Even if a quorum is present, the special meeting may also be adjourned in order to provide more time to solicit additional proxies in favor of the merger proposal if sufficient votes are cast in favor of the adjournment proposal. If the adjournment is for more than 30 days or if after the adjournment, a new record date is fixed for the adjourned meeting, LivePerson will provide a notice of the adjourned meeting to each stockholder of record entitled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bylaws also provide that the Chairman of the board of directors of LivePerson (the “Chairman”) shall have the right and authority to convene and (for any or no reason) to recess and/or adjourn the meeting from time to time, without notice other than announcement at the meeting, to prescribe such rules, regulations and procedures and to do all such acts as, in the judgment of the Chairman, are appropriate for the proper conduct of the meeting. The Chairman at any meeting of stockholders, in addition to making any other determinations that may be appropriate to the conduct of the meeting, shall, if the facts warrant, determine and declare to the meeting that a matter or business was not properly brought before the meeting and if the Chairman should so determine, the Chairman shall so declare to the meeting and any such matter or business not properly brought before the meeting shall not be transacted or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Merger Agreement provides that LivePerson may (i) after good faith consultation with LivePerson’s outside legal counsel and SoundHound, adjourn or postpone the LivePerson special meeting to the extent necessary to ensure that any legally required supplement or amendment to this proxy statement/prospectus is provided to the LivePerson stockholders within a reasonable amount of time in advance of the LivePerson special meeting or (ii) adjourn or postpone the LivePerson special meeting, if, as of the time for which the LivePerson special meeting is scheduled, there are not sufficient affirmative votes in person or by proxy of LivePerson Common Stock to constitute a quorum necessary to conduct business at the LivePerson special meeting or to obtain the approval of the merger proposal. However, unless SoundHound and LivePerson otherwise agree, the LivePerson special meeting will not be adjourned or postponed to a date that is more than thirty five days after the date for which the LivePerson special meeting was previously scheduled (though the LivePerson special meeting may only be adjourned or postponed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SoundHound’s written consent once in the event that the circumstances described in (ii) exists) or if such adjournment or postponement in the event of the circumstances described in (ii) would require the setting of a new record date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sufficient number of shares of LivePerson Common Stock are present in person or represented by proxy and vote in favor of the merger proposal at the LivePerson special meeting such that the merger proposal is approved, LivePerson does not anticipate that it will adjourn or postpone the special meeting. Virtual attendance at the special meeting will constitute presence in person for the purpose of determining the presence of a quorum for the transaction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in respect of their TASE Shares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matters to be considered at the LivePerson special meeting are of great importance to the LivePerson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need assistance in completing your proxy card or have questions regarding the LivePerson special meeting, contact: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MacKenzie Partners,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Penn Plaza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Call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(North America</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800-322-2885.</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of LivePerson’s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LivePerson directors and executive officers, and their affiliates, as a group, owned and were entitled to vote 208,075 shares of LivePerson Common Stock, or approximately 1.7% of the total outstanding shares of LivePerson Common Stock outstanding on that date. For more information regarding the security ownership of LivePerson directors and executive officers, please see “</w:t>
      </w:r>
      <w:r>
        <w:rPr>
          <w:rFonts w:ascii="Times New Roman PS Std;serif" w:hAnsi="Times New Roman PS Std;serif"/>
          <w:b w:val="false"/>
          <w:i/>
          <w:caps w:val="false"/>
          <w:smallCaps w:val="false"/>
          <w:sz w:val="20"/>
        </w:rPr>
        <w:t>Security Ownership of Certain Beneficial Owners of LivePerson Common Stock</w:t>
      </w:r>
      <w:r>
        <w:rPr>
          <w:rFonts w:ascii="Times New Roman PS Std;serif" w:hAnsi="Times New Roman PS Std;serif"/>
          <w:b w:val="false"/>
          <w:i w:val="false"/>
          <w:caps w:val="false"/>
          <w:smallCaps w:val="false"/>
          <w:sz w:val="20"/>
        </w:rPr>
        <w:t>” beginning on page 114.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currently expects that all of its directors and executive officers will vote their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Attending the LivePerson Special Meeting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entitled to attend the LivePerson special meeting only if you were a stockholder of record of LivePerson at the close of business on the Record Date or you held your shares of LivePerson beneficially in the name of a broker, bank or other nominee as of the Record Date, or you hold a valid proxy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stockholder of record of LivePerson at the close of business on the Record Date and wish to attend the LivePerson special meeting virtually on the LivePerson Special Meeting Website, you will be required to enter the control number found on their proxy card or voting instruction form. Beneficial owners that wish to vote at the LivePerson special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four business days following the LivePerson special meeting, LivePerson intends to file the final voting results with the SEC on a Current Report on Form 8-K. If the final voting results have not been certified within that four business day period, LivePerson will report the preliminary voting results on a Current Report on Form 8-K at that time and will file an amendment to the Current Report on Form 8-K to report the final voting results within four days of the date that the final results are certified.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SHOULD CAREFULLY READ THIS PROXY STATEMENT/PROSPECTUS IN ITS ENTIRETY FOR MORE DETAILED INFORMATION CONCERNING THE MERGER PROPOSAL AND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Merger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proposal, LivePerson is asking its stockholders to adopt the Amended and Restated Merger Agreement by and among LivePerson, SoundHound, Merger Sub I and Merger Sub II, dated as of July 2, 2026, pursuant to which (i) Merger Sub I will be merged with and into LivePerson pursuant to the First Merger and (ii) Merger Sub II will be merged with and into LivePerson pursuant to the Second Merger, with LivePerson surviving the Mergers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 condition to completion of the Mergers that LivePerson stockholders approve the merger proposal. In particular, you should read in its entirety the Merger Agreement, which is attached as Annex A to this proxy statement/prospectus. In addition, see the section entitled “</w:t>
      </w:r>
      <w:r>
        <w:rPr>
          <w:rFonts w:ascii="Times New Roman PS Std;serif" w:hAnsi="Times New Roman PS Std;serif"/>
          <w:b w:val="false"/>
          <w:i/>
          <w:caps w:val="false"/>
          <w:smallCaps w:val="false"/>
          <w:sz w:val="20"/>
        </w:rPr>
        <w:t>The Mergers”</w:t>
      </w:r>
      <w:r>
        <w:rPr>
          <w:rFonts w:ascii="Times New Roman PS Std;serif" w:hAnsi="Times New Roman PS Std;serif"/>
          <w:b w:val="false"/>
          <w:i w:val="false"/>
          <w:caps w:val="false"/>
          <w:smallCaps w:val="false"/>
          <w:sz w:val="20"/>
        </w:rPr>
        <w:t xml:space="preserve"> beginning on page 40, and the section entitled “</w:t>
      </w:r>
      <w:r>
        <w:rPr>
          <w:rFonts w:ascii="Times New Roman PS Std;serif" w:hAnsi="Times New Roman PS Std;serif"/>
          <w:b w:val="false"/>
          <w:i/>
          <w:caps w:val="false"/>
          <w:smallCaps w:val="false"/>
          <w:sz w:val="20"/>
        </w:rPr>
        <w:t>The Merger Agreement</w:t>
      </w:r>
      <w:r>
        <w:rPr>
          <w:rFonts w:ascii="Times New Roman PS Std;serif" w:hAnsi="Times New Roman PS Std;serif"/>
          <w:b w:val="false"/>
          <w:i w:val="false"/>
          <w:caps w:val="false"/>
          <w:smallCaps w:val="false"/>
          <w:sz w:val="20"/>
        </w:rPr>
        <w:t>,” beginning on page 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by the LivePerson stockholders of this proposal is required by the DGCL and is a condition to the consummation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Non-Binding Compensation Advisory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also asking its stockholders to approve the non-binding compensation advisory proposal. As required by Section 14A of the Exchange Act and the applicable SEC rules issued thereunder, which were enacted pursuant to the Dodd-Frank Wall Street Reform and Consumer Protection Act, LivePerson is required to provide its stockholders the opportunity to vote to approve, on a non-binding, advisory basis, certain compensation that may be paid or become payable to LivePerson’s named executive officers that is based on or otherwise relates to the Mergers, as described in the section entitled “</w:t>
      </w:r>
      <w:r>
        <w:rPr>
          <w:rFonts w:ascii="Times New Roman PS Std;serif" w:hAnsi="Times New Roman PS Std;serif"/>
          <w:b w:val="false"/>
          <w:i/>
          <w:caps w:val="false"/>
          <w:smallCaps w:val="false"/>
          <w:sz w:val="20"/>
        </w:rPr>
        <w:t>Interests of LivePerson</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 Accordingly, LivePerson stockholders are being provided the opportunity to cast an advisory vote on such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or SoundHound or the SoundHound board of directors, and approval of this proposal is not a condition to completion of the Mergers and is a vote separate and apart from the merger proposal. Accordingly, you may vote to approve the merger proposal and vote not to approve the non-binding compensation advisory proposal and vice versa. Because the executive compensation to be paid in connection with the Mergers is based on the terms of the Merger Agreement as well as the contractual arrangements with LivePerson’s named executive officers, such compensation will be payable, regardless of the outcome of this advisory vote, only if the merger proposal is approved (subject only to the contractual conditions applicable thereto). However, LivePerson seeks the support of its stockholders and believes that stockholder support is appropriate because LivePerson has a comprehensive executive compensation program designed to link the compensation of its executives with LivePerson’s performance and the interests of LivePerson stockholders. Accordingly, holders of shares of LivePerson Common Stock are being asked to vote on the following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RESOLVED, that the stockholders of LivePerson, Inc. approve, on an advisory, non-binding basis, certain compensation that may be paid or become payable to the named executive officers of LivePerson, Inc. that is based on or otherwise relates to the mergers, as disclosed pursuant to Item 402(t) of Regulation S-K under the heading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in the proxy statement/prospectus LivePerson, Inc. with respect to the special meeting of stockholders to be held on August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The Adjournment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LivePerson is asking its stockholders to approve the adjournment of the special meeting, if necessary or appropriate, to solicit additional proxies if there are not sufficient votes to approve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LivePerson stockholders approve the adjournment proposal, subject to the terms of the Merger Agreement, LivePerson could adjourn the special meeting and use the additional time to solicit additional proxies, including soliciting proxies from LivePerson stockholders who have previously voted. LivePerson does not intend to call a vote on the adjournment proposal if the merger proposal is approved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Mergers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Merger Sub I will merge with and into LivePerson, the separate corporate existence of Merger Sub I will cease, and LivePerson will continue as the surviving corporation in the First Merger as an indirect, wholly owned subsidiary of SoundHound. At the Second Effective Time, Merger Sub II will merge with and into LivePerson, the separate corporate existence of Merger Sub II will cease, and LivePerson will continue as the surviving corporation in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 to LivePerson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First Merger, each share of LivePerson Common Stock (other than any Cancelled LivePerson Shares and TASE Shares) issued and outstanding immediately prior to the First Effective Time will be converted into the right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the Second Merger, each TASE Share (other than Dissenting Shares) issued and outstanding immediately prior to the Second Effective Time will be converted into the right to receive the Per Share Cash Merger Consideration. At least two business days prior to the date of the LivePerson special meeting, LivePerson shall notify holders of LivePerson Common Stock of the aggregate number of TASE Shares outstanding as of the most recent practicable determination date (which date shall be specified in such notice).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events, meetings, negotiations, and other actions that led to the execution and public announcement of the Merger Agreement and the transactions contemplated thereby, including the Notes Restructuring Agreement entered into with the holders of LivePerson’s secured debt securities. This summary does not purport to describe every interaction among LivePerson, the LivePerson board of directors, LivePerson’s management team (referred to herein as “LivePerson management”) or its advisors, or any other parties or their respective advisors, representatives, or principals. Rather, it is intended to provide a summary of the material developments over the course of the events and discussions described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together with LivePerson management, reviews LivePerson’s strategic direction, financial performance, and business plans on an ongoing basis with a view towards strengthening LivePerson’s business and identifying opportunities to increase stockholder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beginning of 2024, LivePerson announced financial results for the 2023 fiscal year that reflected a 22% decline in revenue year-over-year, primarily as a result of cancellations, downsells and competitive challenges in expanding and retaining customer relationships. At that time, LivePerson had outstanding $517.5 million in aggregate principal amount 2026 Convertible Notes, which matured in December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appointed John Sabino as LivePerson’s Chief Executive Officer in January 2024 as part of a board-initiated turnaround strategy to strengthen LivePerson’s business and financial position, with the ultimate goal of maximizing stockholder value. Key features of the turnaround strategy involved leadership refreshment, strengthening LivePerson’s capital structure by addressing its significant outstanding debt and right-sizing expenses, strengthening go-to-market operations, execution and customer retention, and pursuing product innovation and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quarter of 2024, although execution of several elements of the turnaround strategy were progressing, enterprise customer concerns regarding LivePerson’s financial profile, specifically its ability to refinance the 2026 Convertible Notes at maturity, became a pronounced and recurring theme in LivePerson’s commercial discussions. Both existing and prospective customers were increasingly expressing reluctance to renew or enter into new contracts with LivePerson due to LivePerson’s significant debt and its upcoming maturity. In an effort to address this critical commercial impediment, the LivePerson board of directors, following discussions with LivePerson management, determined to accelerate efforts with respect to a comprehensive review of LivePerson’s capital structure and refinancing options for the 2026 Convertible Notes. In March 2024, LivePerson engaged Lazard Frères &amp; Co. LLC (“Lazard”) as a financial advisor to assist with this capital structure review. LivePerson selected Lazard because Lazard is a nationally recognized investment banking firm with substantial experience in recapitalization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Keyvan Mohajer, SoundHound’s Chief Executive Officer, contacted Mr. Sabino regarding SoundHound’s interest in exploring strategic opportunities with LivePerson. Mr. Sabino acknowledged the outreach but conversations did not progress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after extensive negotiations and following a review of alternatives by the LivePerson board of directors and LivePerson management, upon consultation with Lazard and LivePerson’s outside legal counsel, Fried, Frank, Harris, Shriver &amp; Jacobson LLP (“Fried Frank”), the LivePerson board of directors approved, and LivePerson entered into, a refinancing agreement with Lynrock Lake Master Fund LP (“Lynrock”), an existing investor in the 2026 Convertible Notes, pursuant to which LivePerson retired approximately $146 million in aggregate principal amount of 2026 Convertible Notes held by Lynrock and received a $100 million cash investment from Lynrock in exchange for $200 million in aggregate principal amount of newly issued first lien secured notes maturing in 2029 (the “First Lien Secured Notes”) and warrants for approximately 11% of LivePerson’s outstanding common stock with an exercise price of $0.75 per share (such transaction, the “First Lien Notes Exchange”). Although the First Lien Secured Notes were scheduled to mature on June 15, 2029, they provided for a springing maturity approximately three months prior to the December 2026 maturity of the 2026 Convertible Notes if more than $60 million in aggregate principal amount of 2026 Convertible Notes then remained outstanding. After giving effect to the First Lien Notes Exchange, there were then approximately $360 million in aggregate principal amount of 2026 Convertible Notes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2024, members of LivePerson management engaged in introductory discussions with representatives from SoundHound regarding SoundHound’s interest in exploring a potential acquisition of LivePerson. On July 24, 2024, representatives of SoundHound sent to representatives of LivePerson a non-binding indication of interest relating to a potential acquisition of LivePerson by SoundHound (the “July 2024 IOI”). The July 2024 IOI did not contain a proposed price, valuation or economic terms, but indicated the consideration would be in the form of SoundHound Common Stock at exchange ratios to be determined during the course of negotiations of definitive agreements with respect to the proposed transaction. At a meeting of the LivePerson board of directors held on July 26, 2024, at which members of LivePerson management and representatives of Lazard were in attendance, the LivePerson board of directors discussed the July 2024 IOI, including that the acquisition of LivePerson by SoundHound would give the holder of the First Lien Secured Notes (the “First Lien Noteholder”) the right to require LivePerson to repurchase the First Lien Secured Notes at a “make-whole” premium under the terms of the First Lien Secured Notes, and that in order for a transaction to be viable, SoundHound would need to raise cash in order to pay off the First Lien Secured Notes. Following that LivePerson board meeting, members of LivePerson management highlighted to members of SoundHound management that the transaction proposed by the July 2024 IOI would trigger this repayment obligation under the First Lien Secured Notes. Members of SoundHound management indicated to members of LivePerson management that SoundHound would need time to assess how to address the repayment of the First Lien Secured Notes. Accordingly, the parties agreed to suspend further discussion regarding the July 2024 IOI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Entering LivePerson’s 2025 fiscal year, although the First Lien Notes Exchange in 2024 had provided reassurance to some LivePerson customers that LivePerson had the ability to refinance the remaining 2026 Convertible Notes, LivePerson continued to face customer concerns regarding its financial viability on a long-term basis due to the 2026 Convertible Notes maturity. Reluctance among new and existing enterprise customers to contract with LivePerson due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its remaining 2026 Convertible Notes remained a significant barrier to strengthening LivePerson’s business and financial position. In addition, the springing maturity feature of the First Lien Notes required LivePerson to address the 2026 Convertible Notes well in advance of their ultimate maturity date. In light of the foregoing issues, after continued discussions with LivePerson’s advisors, Lazard and Fried Frank, regarding potential refinancing options, in the first quarter of 2025 the LivePerson board of directors authorized LivePerson management to pursue discussions with holders of approximately 95% of the outstanding 2026 Convertible Notes (the “Ad Hoc Group”) to explore a potential restructuring of the remaining 2026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LivePerson management and representatives of each of Lazard and Fried Frank engaged in preliminary discussions with representatives of the Ad Hoc Group and its advisors from February 2025 through April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LivePerson entered into confidentiality agreements with members and representatives of the Ad Hoc Group and commenced negotiations regarding a potential transaction involving the exchange of the Ad Hoc Group’s 2026 Convertible Notes to reduce the debt overhang that was then impeding LivePerson’s commercial strategy. Extensive negotiations with the Ad Hoc Group continued for several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June 2025, members of LivePerson management engaged with members of SoundHound management as a follow up to SoundHound’s previous expression of interest in a potential strategic transaction between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John Collins, LivePerson’s Chief Financial Officer and Chief Operating Officer, provided an email update to the LivePerson board of directors regarding the June 2025 conversation between LivePerson management and the management of SoundHound, as well as discussions with two other counterparties with whom LivePerson management had previously engaged with in some preliminary, exploratory conversations in the ordinary course during the first and second quarters of 2025 that did not involve any formal proposal or offer and did not advance any further.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2025, at SoundHound’s request, representatives of each of LivePerson management, Lazard and Fried Frank held a discussion with members of SoundHound management, representatives of Barclays Capital, Inc. (“Barclays”), SoundHound’s financial advisor, and representatives of Latham &amp; Watkins LLP (“Latham”), SoundHound’s legal counsel, to discuss potential approaches to LivePerson’s outstanding debt in the interest of enabling further exploration of an acquisition of LivePerson by SoundHound. At a LivePerson board of directors meeting on that same day, Mr. Collins updated the LivePerson board of directors regarding the continued interest from, and dialogue with, members of SoundHound management. Later that same day, a member of SoundHound management discussed with Mr. Collins a potential letter of intent contemplated by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2025, SoundHound sent a non-binding letter of intent to the LivePerson board of directors (the “July 2025 LOI”). The July 2025 LOI contemplated that, subject to due diligence, LivePerson stockholders would receive shares of SoundHound Common Stock reflecting a 20% premium to LivePerson’s closing price on July 16, 2025 of $14.40 per share (adjusted for LivePerson’s subsequent 15-1 reverse stock split) and holders of the 2026 Convertible Notes then outstanding would be paid in cash 40% of the par value of the 2026 Convertible Notes in exchange for the retirement of the approximately $360 million in aggregate principal amount of the 2026 Convertible Notes then outstanding and the First Lien Noteholder would receive either (i) a to-be-determined combination of cash and SoundHound Common Stock or (ii) newly issued SoundHound debt, in an amount equal to 100% of the par value of the First Lien Secured Notes. The July 2025 LOI contemplated that the First Lien Noteholder would not receive any consideration in respect of the make-whole payments to which it was contractually entitled under the terms of the agreements governing the First Lien Secured Notes. The July 2025 LOI also indicated that SoundHound was open to discussion on reallocating the consideration among the LivePerson stockholders and noteholders. The July 2025 LOI provided for a 45-day exclusivity period. In response to the July 2025 LOI, members of LivePerson management connected representatives of Lazard with members of SoundHound management and representatives of Barclays to discuss SoundHound’s and Barclays’ review of LivePerson’s public filings that they had undertaken prior to submission of the July 2025 LOI.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submission of the July 2025 LOI, the LivePerson board of directors reviewed and discussed the July 2025 LOI with advice and input from representatives of each of Lazard and Fried Frank. Several concerns were noted, including that the July 2025 LOI was preliminary and the proposed consideration was subject to further diligence, and that significant concessions would be required of LivePerson’s noteholders in order for SoundHound’s proposal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contemplated by the July 2025 LOI to be viable. In addition, the 45-day exclusivity period required by the July 2025 LOI would require termination of LivePerson’s discussions with the Ad Hoc Group at a time when the parties were nearing final terms for a viable debt restructuring deal after months of protracted negotiations. Following deliberation in consultation with its advisors and management, in light of the preliminary nature of SoundHound’s proposal, the fact that such proposal was conditioned on further due diligence, the uncertain viability of such proposal given the concessions that would be required of LivePerson’s noteholders, the critical need to address ongoing commercial pressure by refinancing the 2026 Convertible Notes, the nearly final status of protracted negotiations with the Ad Hoc Group, and concern that the Ad Hoc Group discussions to refinance the 2026 Convertible Notes would be extremely difficult to resurrect if paused or disrupted, the LivePerson board of directors determined it was in the best interest of LivePerson’s stockholders to focus on the completion of the debt exchange transaction with the Ad Hoc Group to relieve the commercial impediments caused by the 2026 Convertible Notes maturity and strengthen LivePerson’s capital structure in support of commercial execution and longer term viability.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2025, LivePerson management and representatives of Lazard held a discussion with SoundHound management and representatives of Barclays, during which LivePerson management and representatives of Lazard conveyed that LivePerson was not intending to engage further with SoundHound regarding the July 2025 LOI until following LivePerson’s August 2025 earnings announcement for the quarter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11, 2025, LivePerson entered into an exchange agreement with the Ad Hoc Group, pursuant to which the Ad Hoc Group agreed to exchange 2026 Convertible Notes with an aggregate principal amount of $341.1 million for (i) an aggregate payment of $45.0 million in cash, (ii) $115.0 million in aggregate principal amount of 10.0% Second Lien Senior Subordinated Secured Notes due 2029 (the “Second Lien Secured Notes,” and together with the First Lien Secured Notes, the “Secured Notes”), (iii) shares of LivePerson Common Stock (such shares, the “Common Equity Shares”) and (iv) shares of Series B Fixed Rate Convertible Perpetual Preferred Stock (“Series B Preferred Stock”). The aggregate number of Common Equity Shares and shares of LivePerson Common Stock into which the Series B Preferred Stock were convertible equaled 39.0% of LivePerson’s fully diluted common stock as of the closing date of the exchange (such transaction, the “Second Lien Notes Exchange”). On September 12, 2025, the Second Lien Notes Exchange was consummated, and in October 2025, the Series B Preferred Stock converted into shares of LivePerson Common Stock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and concurrently with the First Lien Notes Exchange and Second Lien Notes Exchange transactions, LivePerson continued to execute on other elements of its turnaround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following the completion of the Second Lien Notes Exchange and after evaluating LivePerson’s position at that time, including continued material headwinds notwithstanding the progress that had been made during 2024 and 2025 in executing the turnaround strategy, the LivePerson board of directors determined to formalize exploration of available strategic alternatives for LivePerson. In connection therewith, the LivePerson board of directors, after considering Lazard’s familiarity with LivePerson and its significant M&amp;A experience, approved the engagement of Lazard as LivePerson’s financial advisor in connection with its evaluation of strategic alternatives, including a potential sale of LivePerson. On September 8, 2025, LivePerson amended and restated its engagement letter with Lazard to provide for Lazard’s services in connection with LivePerson’s evaluation of strategic alternatives.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LivePerson board of directors held a meeting, with members of LivePerson management and representatives of each of Lazard and Fried Frank in attendance. At the meeting, representatives of Lazard discussed with the LivePerson board of directors an overview of strategic alternatives and a list of potential strategic and financial acquirors for LivePerson, including SoundHound. After discussion, the LivePerson board of directors authorized Lazard to reach out to potential strategic and financial acquirors to ascertain their potential interest in an acquisition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representatives of Lazard contacted potential acquirors, including both strategic and financial sponsors. Between September 2025 through the end of January 2026, representatives of Lazard contacted 66 potential counterparties in total as part of its overall outreach and LivePerson entered into non-disclosure agreements with 17 potential acquirors in connection with this outreach, including SoundHound. Each such non-disclosure agreement contained a customary “standstill” provision; however, each also provided that upon the public announcement of a sale of LivePerson, either the standstill restrictions would expire and terminate entirely or, in certain cases, the counterparty would be permitted to make a confidential proposal to the LivePerson board of directors for an acquisition of LivePerson. As part of the outreach process, potential acquirors that executed non-disclosure agreements were provided with confidential business and financial data regarding LivePerson and asked to submit first round indications of interest by November 20,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12, 2025, at LivePerson’s direction, representatives of Lazard contacted members of SoundHound management and representatives of Barclays and informed them that the LivePerson board of directors authorized Lazard to commence a sales process for LivePerson and to begin outreach to potential acquirers, including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Nitesh Sharan, the Chief Financial Officer of SoundHound at the time, and Mr. Collins met to discuss the potential path for an acquisition of LivePerson and the involvement of the First Lien Noteholder and the holders of the Second Lien Secured Notes (the “Second Lien Noteholders”, together with the First Lien Noteholder, the “Secured Holders”) in any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2025, at LivePerson’s direction, representatives of Lazard followed up with members of Barclays to discuss whether SoundHound had genuine interest in an acquisition of LivePerson. Barclays confirmed SoundHound’s continued interest in a strategic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2025, the LivePerson board of directors held a meeting, with members of LivePerson management and representatives of each of Lazard and Fried Frank in attendance. At the meeting, representatives of Lazard provided the LivePerson board of directors with an update on Lazard’s outreach to potential counterparties, along with Lazard’s initial impressions regarding such outreach. It was determined that there were no opportunities that were actionable at that time, and the LivePerson board of directors instructed Lazard to continue with its outreach.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2025, representatives of Lazard, at the direction of LivePerson management, reached out to Barclays requesting an update on SoundHound’s interest in a potential acquisition of LivePerson. Representatives of Barclays noted that their discussions with SoundHound were ongoing and that an update would soon be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at LivePerson’s direction, representatives of each of Lazard and Barclays held further discussions regarding SoundHound’s interest in re-engaging in the process. On behalf of LivePerson, representatives of Lazard provided Barclays with an update on process timing.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members of LivePerson management, together with representatives of Lazard, held a management meeting with members of SoundHound management to discuss certain preliminary diligence matters and the potential of a transaction between LivePerson and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2025, the deadline date established for written indications of interest as part of the Lazard-managed outreach effort, the LivePerson board of directors held a meeting, with members of LivePerson management and representatives of each of Lazard and Fried Frank in attendance, at which representatives of Lazard provided an update with respect to their discussions with potential counterparties. Representatives of Lazard reported to the LivePerson board of directors that no written indications of interest had yet been received, and based on discussions and feedback to date, none were expected. Lazard noted that one counterparty had provided an informal, verbal indication of interest subject to further diligence that contemplated an enterprise value significantly below the face value of LivePerson’s outstanding debt and three counterparties who had been contacted as part of the process did contact Lazard to advise Lazard specifically that they did not intend to submit a formal offer, but requested to be made aware if another credible offer was received by LivePerson. The LivePerson board of directors authorized continued outreach to potential acquirers by Lazard on behalf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at LivePerson’s direction, representatives of each of Lazard and Barclays connected to discuss the initial feedback from the management presentation held on November 18, 2025. During these discussions, representatives of Barclays noted that representatives of SoundHound had diligence requests related to the status of LivePerson’s top customers and wanted to schedule conversations with members of LivePerson management to cover this topic.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2025, LivePerson and SoundHound executed a new non-disclosure agreement based on a form that contemplated a potential strategic transaction (which superseded a non-disclosure agreement previously entered into by LivePerson and SoundHound in the context of commercial discussions which covered prior conversations between the parties), which included a customary mutual “standstill” provision containing a customary fallaway provision and which did not restrict SoundHound from making confidential proposals to the LivePerson board of directors to explore a potential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23, 2025, members of LivePerson management held follow-up conversations with members of SoundHound management and representatives of Barclays regarding the status of LivePerson’s commercial relationships with its top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2026, at LivePerson’s direction, representatives of each of Lazard and Barclays held further discussions, during which Barclays noted SoundHound’s continued interest in a potential transaction with LivePerson. In accordance with LivePerson’s direction, representatives of Lazard encouraged Barclays and SoundHound to submit an updated letter of intent proposing the terms on which SoundHound would be willing to transact.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at LivePerson’s direction, representatives of Barclays met with representatives of Lazard and noted that representatives of Barclays had spoken with Mr. Mohajer and that Mr. Mohajer explained that SoundHound was contemplating a framework for a transaction involving LivePerson including the treatment of LivePerson’s Secured Notes. Representatives of Barclays noted during these discussions that LivePerson’s capital structure would make any potential offer complex. At LivePerson’s continued direction, representatives of Lazard had further discussions with representatives of Barclays related to exploring potential transaction structures on January 14,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LivePerson received a new, non-binding letter of intent from SoundHound (the “January 2026 LOI”) which contemplated an acquisition of LivePerson in a transaction in which LivePerson stockholders, the Secured Holders and holders of the remaining 2026 Convertible Notes would receive consideration consisting of shares of SoundHound Common Stock, and, in the case of holders of the remaining 2026 Convertible Notes, cash. The January 2026 LOI proposed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LivePerson Common Stock would receive, for each share of LivePerson Common Stock, shares of SoundHound Common Stock at a fixed exchange ratio reflecting a value of $3.75 (which represented a 25% premium to the closing price of LivePerson Common Stock on January 20, 2026) based on a volume-weighted average price of SoundHound Common Stock over a to-be-agreed period prior to the execution of a definitive merger agreement (the “SoundHound Pre-Signing VWAP”); based on the $3.75 per share value, the LivePerson’s equityholders would receive, in the aggregate, consideration valued at approximately $48 million based on a fully diluted share count of 12.8 million LivePerson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the remaining 2026 Convertible Notes would receive $20.1 million in cash upon closing (or such lesser amount as would then be owed to holders of 2026 Convertible Notes at the time of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Lien Noteholder would receive a number of shares of SoundHound Common Stock equal to $200 million divided by the SoundHound Pre-Signing VWAP;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Second Lien Noteholders would receive a number of shares of SoundHound Common Stock equal to $90 million divided by the SoundHound Pre-Signing VWAP.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January 2026 LOI reflected an implied enterprise value of LivePerson of $284 million, which was significantly below LivePerson’s approximately $357 million in aggregate principal amount of notes outstanding. However, crucially, the January 2026 LOI contemplated that LivePerson’s stockholders would receive value in the transaction, despite the Secured Holders receiving consideration with a value substantially below the aggregate par value, accrued interest, and applicable make-whole and redemption premia that they would otherwise be contractually entitled to receive under the terms of the Secured Notes. The January 2026 LOI indicated that SoundHound was open to discussion on reallocating the consideration among stockholders and noteholders. The January 2026 LOI also provided that SoundHound’s proposal was premised on LivePerson having at least $74 million of unrestricted cash at closing, and LivePerson agreeing to negotiate exclusively with SoundHound for a 45-day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22, 2026, the LivePerson board of directors held a meeting, with members of LivePerson management and representatives of each of Fried Frank and Lazard in attendance, at which the LivePerson board of directors and the other attendees discussed SoundHound’s acquisition proposal contained in the January 2026 LOI, potential approaches for engaging in discussions with LivePerson’s noteholders regarding the SoundHound acquisition proposal, and potential outreach to other potential acquirors. The LivePerson board of directors and the other attendees at the meeting also discussed the competitive landscape faced by LivePerson, including threats posed to LivePerson by well-capitalized competitors, ongoing business headwinds and longer than originally anticipated timeframes required to complete the turnaround. During this meeting, representatives of Lazard noted to the LivePerson board of directors that, despite expanding the outreach to additional potential counterparties, no incremental interest regarding an acquisition of LivePerson was identified. The LivePerson board of directors authorized LivePerson management and Lazard to engage in further discussions with SoundHound regarding SoundHound’s proposal and to engage in discussions with the Secured Holders regarding such holders accepting a discount to the amounts to which they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contractually entitled under the terms of the Secured Notes in order to facilitate a potential transaction. Additionally, participants discussed that a working group of the LivePerson board of directors, consisting of the Chairman and certain other directors with relevant strategic transaction experience, would work closely with LivePerson management with respect to such discussions with the Secured Noteholders and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23, 2026 through January 29, 2026, members of LivePerson management solicited feedback from representatives of the Secured Holders regarding a potential transaction with SoundHound. In late January 2026, representatives of Lazard assisted LivePerson management with preparing a proposed response to the January 2026 LOI that reflected feedback received from representatives of the Secured Holders regarding their current positions as to the key economic terms. Such feedback included, among other things, that the First Lien Noteholder and Second Lien Noteholders were requesting approximately $238 million and $115 million in value, respectively. This proposed response was shared with the LivePerson board of directors on January 30, 2026, and the LivePerson board of directors subsequently expressed support for LivePerson management to move forward with progressing conversations with SoundHound by conveying the Secured Holders’ response to SoundHound’s representatives. On February 2, 2026, representatives of Lazard, at the direction of LivePerson management, shared that response with Barclays. The Secured Holders’ February 2 counterproposal, which contemplated an increase in the overall consideration being paid by SoundHound, was rejected by SoundHound; however, discussions between SoundHound and LivePerson and their respective advisors nonetheless continued into February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in late January 2026 and early February 2026, at the direction of the LivePerson board of directors, representatives of Lazard reached back out to the four potential counterparties referenced during the LivePerson board of directors meeting on November 20, 2025. Representatives of Lazard informed such parties of LivePerson’s receipt of an offer and inquired whether such parties intended to submit a formal bid. In response, each of the four parties declined to re-engage in further discussions or negotiations regarding a potential transaction with LivePerson. However, three of the four parties orally indicated to Lazard that, if they had elected to re-engage in discussions and negotiations at that time, their estimated offers would have been limited to amounts between approximately $150 million and $200 million, which was materially lower than both the face amount of LivePerson’s outstanding debt and the approximately $284 million enterprise value implied by SoundHound’s proposal in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February 2026, members of LivePerson management and representatives of each of Lazard, with input and direction from the LivePerson board of directors and representatives of the Secured Holders, continued to engage in discussions and negotiations with members of SoundHound management and representatives of Barclays regarding the economic and other key terms of the proposed transaction, including the proposed utilization of a pricing collar to address recent market volatility and the potentially dilutive impacts to SoundHound of a stock-for-stock merger transaction. Members of the working group of the LivePerson board of directors were updated by LivePerson management throughout the course of these discussions.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LivePerson management, with input from members of the LivePerson board of directors, reached a tentative framework with representatives of the Secured Holders regarding the allocation of the transaction consideration under the terms of the January 2026 LOI that would be paid to LivePerson’s stockholders and the Secured Holders (the “February 2026 Terms”). The February 2026 Terms were based on a total enterprise value of LivePerson of $284 million (consistent with the January 2026 LOI) and included approximately (i) $200 million in SoundHound Common Stock payable to the First Lien Noteholder (consistent with the January 2026 LOI), (ii) $95 million in SoundHound Common Stock payable to the Second Lien Noteholders (versus $90 million under the January 2026 LOI) and (iii) value in the form of SoundHound Common Stock being issued to LivePerson stockholders that would reflect a premium of no more than 20% to the market price of LivePerson Common Stock immediately prior to the announcement of the potential transaction, which at the time was approximately $43 million (versus approximately $48 million of value implied by the terms of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Mr. Sabino and Mr. Collins had a discussion with members of SoundHound management, during which SoundHound management acknowledged that they were committed to working on a counter proposal that included a collar mechanism.</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Mr. Kelley proposed to Mr. Collins revisions to the January 2026 LOI that would provide that (i) the number of shares of SoundHound Common Stock issued to LivePerson stockholders and the Secured Holders as consideration in the transactions would be calculated based on a volume-weighted average price of the SoundHound Common Stock over a ten trading day period ending three calendar days prior to closing, subject to a fixed price collar to be mutually agreed at signing of the definitive documentation and (ii) that SoundHound would have the option to substitute cash for all or any portion of the SoundHound Common Stock otherwise issuable to the Secured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the LivePerson board of directors held a meeting, with members of LivePerson management as well as representatives of each of Fried Frank and Lazard in attendance, to discuss and review the status of the negotiations with SoundHound and seek approval from the LivePerson board of directors to execute a letter of intent with SoundHound on the terms and conditions then proposed. The LivePerson board of directors and its advisors discussed and considered, among other things, the substantial outreach process that had been conducted to date and the failure of other potential counterparties to provide a proposal superior to the January 2026 LOI or the currently proposed terms. Following such discussion, the LivePerson board of directors authorized LivePerson management to finalize the terms of, and execute, a letter of intent with SoundHound on terms discussed with the LivePerson board of directors at the meeting. Following this meeting, on March 4, 2026, representatives of Lazard, at the direction of the LivePerson board of directors, sent a revised draft of the January 2026 LOI (the “March 4th LOI”) to SoundHound. The March 4th LOI reflected an implied enterprise value of LivePerson of $284 million (consistent with the January 2026 LOI) and provided that LivePerson stockholders would receive SoundHound Common Stock with an aggregate value of $43 million based on a volume-weighted average price of the SoundHound Common Stock over a to-be-agreed period prior to closing, subject to a 25% symmetrical pricing collar with respect to the shares of SoundHound Common Stock (but also provided SoundHound the ability to pay cash to LivePerson stockholders in lieu of issuing shares of SoundHound Common Stock, based on communications between representatives of SoundHound and LivePerson management in early March 2026), the holders of the remaining 2026 Convertible Notes would receive $20.1 million in cash upon closing (or such lesser amount as would then be owed to holders of 2026 Convertible Notes at the time of closing) (consistent with the January 2026 LOI), the Second Lien Noteholders would receive consideration based on a fixed value of $95 million (consistent with the February 2026 Terms), and the First Lien Noteholder would receive $200 million of consideration (consistent with the January 2026 LOI and February 2026 Terms). The March 4th LOI proposed that any cash consideration payable to the LivePerson stockholders and the Secured Holders would be allocated proportionately among such security holders, as well as a shortened exclusivity period of 30 days. The March 4th LOI further provided that the economic terms therein were premised on LivePerson having at least $74 million of unrestricted cash at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Mr. Sabino held a meeting with members of the aforementioned working group of the LivePerson board of directors, at which representatives of each of Lazard and Fried Frank were in attendance. At the meeting, Mr. Sabino reported that, in late February 2026, Mr. Sabino was contacted by a representative of a financial sponsor, who indicated that one of the financial sponsor’s portfolio companies could be interested in exploring the possibility of a business combination transaction with LivePerson. Representatives of Lazard discussed with the working group that, in light of the relative sizes of the portfolio company and LivePerson, it would be unlikely that the portfolio company would be a viable acquiror of LivePerson. No written indication of interest was ever received from either the financial sponsor or the portfolio company prior to, or following, such meeting. The members of the working group, members of LivePerson management and representatives of Lazard and Fried Frank also discussed the significant work that had been done by members of LivePerson management to negotiate a transaction with terms acceptable to the Secured Holders that would allow LivePerson stockholders to receive consideration in a sale of LivePerson to SoundHound based on the Secured Holders taking a significant discount to the amounts to which they were contractually entitled under the terms of the Secured Notes, SoundHound’s position that it would not proceed toward a transaction absent LivePerson agreeing to negotiate exclusively with SoundHound, the fact that the sponsor and portfolio company had done no diligence on LivePerson, and the low likelihood that the portfolio company would be able to negotiate a transaction on terms that would be more favorable to LivePerson stockholders than the proposed transaction with SoundHound and that would otherwise be acceptable to the Secured Holders. After discussions with LivePerson management and representatives of each of Lazard and Fried Frank, the working group determined that it was in the best interest of LivePerson and its stockholders to continue to pursue a transaction with SoundHound and not engage in further discussions with the financial sponsor or its portfolio company. Following this discussion, Mr. Sabino sent an update to the full LivePerson board of directors summarizing the matters discussed with the working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March 6, 2026, representatives of Barclays sent to Lazard a revised draft of the March 4th LOI (the “March 6th LOI”) with terms revised to reflect, among other things, that the measurement period for purposes of determining the volume-weighted average price of SoundHound Common Stock would be ten trading days ending on the third trading day prior to closing, subject to the above referenced 25% symmetrical collar; additional flexibility for SoundHound to substitute cash in lieu of equity as payment for the consideration to LivePerson stockholders and the Secured Holders; automatic extensions of the exclusivity period, subject to continued negotiation of the definitive agreements by the parties at the time of extension and neither party having notified the other in advance of its intent to terminate exclusivity; and specifying that SoundHound retained the right, prior to signing of definitive agreements, to reduce the consideration on a dollar-for-dollar basis if, following SoundHound’s comprehensive due diligence review, SoundHound determined that the amount of expected cash on LivePerson’s balance sheet at closing would be below $74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at the direction of LivePerson management and with the approval of LivePerson’s board of directors, representatives of Lazard sent Barclays a revised draft of the March 6th LOI (the “March 8th LOI”). The March 8th LOI, contemplated, among other things, (i) that the $74 million minimum cash threshold would be reduced by the amount of cash used by LivePerson to repurchase any 2026 Convertible Notes prior to closing; (ii) that any discount to par captured by any repurchase of the 2026 Convertible Notes, as well as the amount of cash, if any, in excess of such minimum cash threshold, would increase the consideration payable to the Second Lien Noteholders; (iii) that the First Lien Noteholder would be paid the accrued and unpaid interest in cash at the closing; and (iv) that the price of SoundHound Common Stock for purposes of determining the equity consideration would be subject to a collar mechanism.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representatives of Barclays sent to Lazard a revised draft of the March 8th LOI (the “March 9th LOI”), which, among other things, proposed that SoundHound could only elect to pay up to 50% of the aggregate consideration contemplated by the March 9th LOI in cash, rather than equity, in the event SoundHound’s stock price exceeded the high end of the pricing collar and a 30-day exclusivity period with automatic extensions of the exclusivity period so long as LivePerson and SoundHound were in continued discussion on the terms of the definitive agreements and neither party had notified the other in advance of its intent to terminate exclusivity. Members of LivePerson management provided an update to, and solicited feedback from, the LivePerson board of directors regarding the March 9th LOI. Following discussions with representatives of each of Fried Frank and Lazard, LivePerson management concluded that seeking to further negotiate the letter of intent with SoundHound risked jeopardizing SoundHound’s interest in the transaction, and, with the support and approval of the LivePerson board of directors, later that day, SoundHound and LivePerson executed the March 9th LOI. Over the course of the negotiations concerning the March 9th LOI, members of LivePerson’s management and its advisors provided periodic updates to the representatives of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2026, LivePerson granted SoundHound and its advisors access to an electronic data room that was prepared by LivePerson and its advisors. From March 16, 2026, through April 20, 2026, SoundHound and its advisors conducted extensive financial, business and legal due diligence of LivePerson, with specific focus in financial diligence on turnover in LivePerson’s customer base and LivePerson management’s monthly cash projections. SoundHound and its outside advisors held a series of due diligence discussions with various members of the LivePerson management team and LivePerson’s outside advisors in 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17, 2026, representatives of Latham sent an initial draft of the Original Merger Agreement (the “March 17 Original Merger Agreement”) to Fried Frank. The March 17 Original Merger Agreement contained terms consistent with the March 9th LOI and contemplated, among other things, (i) LivePerson stockholders would receive SoundHound Common Stock with an aggregate value of $43 million based on a volume-weighted average price of the SoundHound Common Stock for the ten trading days ending on the third trading day prior to closing, subject to a 25% symmetrical pricing collar with respect to the shares of SoundHound Common Stock, (ii) a closing condition and covenant that would require the full redemption of all outstanding 2026 Convertible Notes prior to closing and (iii) a termination fee equal to 4% of LivePerson’s enterprise value based on the transaction payable under certain circumstances, including in the event the Notes Restructuring Agreement was terminated for any reason other than primarily due to SoundHound’s material breach thereof or in the event the Notes Restructuring Transactions failed to be consummated by the outside date (such termination fee triggers related to the Notes Restructuring Agreement, the “Notes Restructuring Termination Fee Triggers”). The March 17 Original Merger Agreement reserved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representatives of Latham sent an initial draft of the Notes Restructuring Agreement (the “March 20 Notes Restructuring Agreement”) to Fried Frank, and Fried Frank subsequently distributed such draft to Akin Gump Strauss Hauer &amp; Feld LLP (“Akin Gump”), counsel to the First Lien Noteholder, and Gibson, Dunn &amp; Crutcher LLP (“Gibson Dunn”), counsel to the Second Lien Noteholders. The March 20 Notes Restructuring Agreement contemplated, among other things (i) that the Notes Restructuring Agreement would automatically terminate upon any termination of the Original Merger Agreement, (ii) a release of pre-closing claims against LivePerson and SoundHound by the Secured Holders, (iii) a standstill provision applicable to the Secured Holder’s ownership of SoundHound shares, (iv) an obligation on the part of the Secured Holders to vote any LivePerson shares they hold in favor of the transaction contemplated by the Original Merger Agreement and against any actions that may impede or delay the Merger and (v) a restriction on the Secured Holders transferring Secured Notes, or obtaining a short position in SoundHound, prior to closing of the transactions contemplated by the Original Merger Agreement and the Notes Restructuring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23, 2026, representatives of Fried Frank reviewed and discussed with members of LivePerson management certain key provisions mentioned above in the March 17 Original Merger Agreement, including, among other things, (i) SoundHound’s ongoing reservations regarding key economic terms until the completion of SoundHound’s financial due diligence and (ii) the termination fee and the circumstances under which such termination fee would be payable, including upon the occurrence of any Notes Restructuring Termination Fee Trigger. Members of LivePerson management provided an update to, and solicited feedback from, members of the LivePerson board of directors regarding the March 17 Original Merger Agreement. The LivePerson board of directors then instructed LivePerson management to work with Fried Frank to prepare a revised draft of the Original Merger Agreement. Following such discussion, LivePerson management directed Fried Frank to prepare and send a revised draft of the Original Merger Agreement back to Latham, which included, among other revisions, a termination fee equal to 4% of LivePerson’s equity value based on the transaction and the removal of the closing condition and covenant requiring pre-closing redemption of the 2026 Convertible Notes. On March 27, 2026, representatives of Fried Frank sent to Latham a revised draft of the Original Merger Agreement containing, among other things, such revised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March 2026, representatives of Lazard communicated to LivePerson management and members of the LivePerson board of directors that it is not Lazard’s practice to provide to a board an opinion with respect to the fairness to a company’s stockholders of the consideration such stockholders would receive in a transaction in which secured debtholders receive less than full repayment of their secured debt. Representatives of Lazard communicated to the LivePerson board of directors and LivePerson management that this was not a lack of endorsement for the potential transaction with SoundHound. Following discussions among LivePerson management, members of the LivePerson board of directors and Fried Frank, the LivePerson board of directors directed LivePerson management to contact other potential financial advisors, including Houlihan Lokey, who acted as financial advisor to the Ad Hoc Group in connection with the Second Lien Notes Exchange. Following discussions between members of LivePerson management and representatives of Houlihan Lokey, the LivePerson board of directors determined that Houlihan Lokey was no longer actively engaged by the Ad Hoc Group or other debtholders and that Houlihan Lokey’s potential engagement to provide a fairness opinion would not create a conflict of interest. The LivePerson board of directors then determined to engage Houlihan Lokey as an additional financial advisor to LivePerson in light of its familiarity with LivePerson’s business and capital structure as a result of Houlihan Lokey’s prior representation of the Ad Hoc Group in connection with the Second Lien Notes Exchange and Houlihan Lokey’s reputation as a financial advisor. The LivePerson board of directors believed that, given Houlihan Lokey’s extensive experience with LivePerson’s capital structure, such arrangement could be completed quickly. On April 15, 2026, LivePerson and Houlihan Lokey entered into a formal engagement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20, 2026 to April 1, 2026, representatives of Fried Frank held discussions with representatives of each of Akin Gump and Gibson Dunn regarding the March 20 Notes Restructuring Agreement, and Fried Frank consolidated comments on the draft to reflect the comments communicated by Akin Gump and Gibson Dunn on behalf of the Secured Holders. On April 1, 2026, Fried Frank sent to Latham a revised draft of the Notes Restructuring Agreement, which reflected the Secured Holders’ comments, including, among other things, the deletion of the standstill provision and the addition of a termination right on the part of the First Lien Noteholder in the event of a failure by LivePerson to pay any required principal or interest on the First Lien Secured Notes in accordance with the applicable indenture during the pre-closing period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members of LivePerson management informed members of SoundHound management that a large LivePerson customer had recently sent in a notice of non-renewal of its contract with LivePerson and discussed the impact of the non-renewal to LivePerson’s business. Members of SoundHound management indicated they would have additional due diligence requests as a result of the non-renewal.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 2026, representatives of Latham sent Fried Frank a revised draft of the Original Merger Agreement (the “April 2 Original Merger Agreement”), which reflected, among other revisions, (i) a proposed termination fee equal to 4% of LivePerson’s enterprise value based on the transaction payable under certain circumstances, including in the Notes Restructuring Termination Fee Triggers and (ii) a proposed covenant (and not a closing condition) that would require LivePerson to repurchase all of the outstanding 2026 Convertible Notes prior to closing for an amount not to exceed the par value of those notes. The April 2 Original Merger Agreement continued to reserve SoundHound’s right to revisit the economic terms contemplated therein subject to the completion of SoundHound’s financial due diligence.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4, 2026 and April 6, 2026, representatives from Fried Frank reviewed and discussed with LivePerson management the key changes and open points in the April 2 Original Merger Agreement, including, among other things, the termination fee and the Notes Restructuring Termination Fee Triggers and SoundHound’s ongoing reservations regarding key economic terms until it completed its financial due diligence. Members of LivePerson management provided an update to, and solicited feedback from, members of the LivePerson board of directors regarding the April 2 Original Merger Agreement and the Notes Restructuring Agreement. The LivePerson board of directors instructed LivePerson management to continue negotiating the Original Merger Agreement and the Notes Restructuring Agreement on terms and conditions consistent with LivePerson management’s recommendations and those of LivePerson’s advisors.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5, 2026, representatives of Latham sent a revised draft of the Notes Restructuring Agreement to Fried Frank, Akin Gump and Gibson Dunn, which included, among other things, (i) the reinsertion of a standstill provision, (ii) the deletion of the First Lien Holder Termination Right and (iii) a note to discuss the First Lien Noteholder’s entry into a voting and support agreement in light of its large post-closing equity ownership in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6, 2026, representatives of Fried Frank sent a revised draft of the Original Merger Agreement to representatives of Latham, which included, among other things, the deletion of the Notes Restructuring Termination Fee Triggers and revisions to the covenant regarding pre-closing redemption of the 2026 Convertible Notes providing that LivePerson’s obligation would be to use reasonable best efforts to repurchase the 2026 Convertible Notes prior to closing for an amount not to exceed the par value of those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and April 8, 2026, representatives of Fried Frank, Akin Gump, Gibson Dunn and Latham attended calls to discuss outstanding issues raised in the most recent draft of the Notes Restructuring Agreement, including (i) the reinsertion of a standstill provision and (ii) the deletion of the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9, 2026, representatives of Latham sent to Fried Frank a revised draft of the Original Merger Agreement (the “April 9 Original Merger Agreement”), which reflected, among other revisions, a proposed termination fee equal to 3.5% of LivePerson’s enterprise value based on the transaction payable under certain circumstances, including the Notes Restructuring Termination Fee Triggers. The April 9 Original Merger Agreement continued to reserve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2026, representatives of Fried Frank sent the April 9 Original Merger Agreement to Akin Gump and to Gibson Dunn and would circulate subsequent drafts periodically to the Secured Holders’ counsel. Following receipt of the April 9 Original Merger Agreement, representatives of Fried Frank and members of LivePerson management discussed the key terms and open issues in the draft, including the termination fee and the Notes Restructuring Termination Fee Triggers. Members of LivePerson management provided an update to, and solicited feedback from, members of the LivePerson board of directors regarding the April 9 Original Merger Agreement and the Notes Restructuring Agreement. The LivePerson board of directors then instructed LivePerson management to continue negotiating the Original Merger Agreement and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11, 2026, representatives of Fried Frank sent a revised draft of the Notes Restructuring Agreement to Latham, reflecting comments of the Secured Holders that had been communicated to Fried Frank by Akin Gump and Gibson Dunn, including, among other revisions, the deletion of the requirement that the First Lien Noteholder enter a voting and support agreement and the standstill, and the reinsertion of the First Lien Termination Right. The April 11, 2026 draft of the Notes Restructuring Agreement further included an additional termination right in favor of the First Lien Noteholder whereby it would be entitled to terminate the Notes Restructuring Agreement if LivePerson breached a covenant in the indenture governing the First Lien Secured Notes requiring LivePerson to maintain at least $60 million of qualified cash at all times, subject to SoundHound being entitled to cure any such breach.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following further discussions between representatives of Fried Frank and LivePerson management regarding the April 9 Original Merger Agreement, Fried Frank sent to Latham a revised draft of the Original Merger Agreement, which included a termination fee equal to 2% of LivePerson’s enterprise value based on the transaction and the deletion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14, 2026, LivePerson uploaded materials to the electronic data room reflecting LivePerson customer attrition in the first fiscal quarter of 2026 at levels higher than were forecasted in the diligence materials previously provided to SoundHound. Following SoundHound’s review of such diligence materials and the earlier notification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non-renewal by a large LivePerson customer, on April 14, 2026, representatives of Barclays communicated to representatives of Lazard proposed changes to key economic terms of the transactions as compared to the terms in the March 9th LOI (the “Revised Offer Terms”). The Revised Offer Terms included: (i) a proposed reduction to LivePerson’s enterprise value for the transaction, from $284 million to $250 million; (ii) a collar with a range of $7.00 per share to $12.00 per share, rather than the symmetrical 25% collar, and (iii) a dollar-for-dollar reduction in the overall consideration payable by SoundHound in the transactions if LivePerson had less than $74 million of cash and cash equivalents on its balance sheet at closing (less the amount of cash used by LivePerson to repurchase and retire its remaining 2026 Convertible Notes and after giving effect to certain transaction expenses of LivePerson). Between April 15 and April 16, 2026, members of LivePerson management provided an update to, and solicited feedback from, members of the LivePerson board of directors regarding the Revised Offer Terms. Following the receipt of feedback from the LivePerson board of directors and input from LivePerson’s legal and financial advisors regarding the Revised Offer Terms, Mr. Sabino and Mr. Collins contacted Mr. Mohajer to confirm receipt of the Revised Offer Terms and notify him that LivePerson would need to discuss the terms with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extensive discussions between members of LivePerson management and representatives of the Secured Holders regarding the Revised Offer Terms between April 15, 2026 and April 18, 2026, representatives of the Secured Holders communicated that, as a condition to accepting the Revised Offer Terms and further reductions to the amounts payable to the Secured Holders, the Secured Holders would require both (i) that the baseline value of the consideration payable to LivePerson stockholders not exceed the market capitalization of LivePerson based on the market price of LivePerson Common Stock immediately prior to announcement of the potential transaction, and any positive difference between $43 million and such baseline value would be reallocated to the Secured Holders and (ii) that any further downward adjustment to transaction consideration as a result of LivePerson’s closing cash falling below the specified target would result in a reduction only to consideration payable to LivePerson stockholders, such that the Secured Holders would not bear any risk of a downward adjustment as a result of such cash shortfall. Following multiple discussions between members of LivePerson management and representatives of the Secured Holders, LivePerson and the Secured Holders reached an agreement to allocate the $34 million reduction in LivePerson’s enterprise value to the Secured Holders, subject to the limitation and potential adjustment to the value of the consideration to LivePerson’s stockholders described in (i) and (ii) of the preceding sentence.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2026, representatives of Latham sent a revised draft of the Original Merger Agreement (the “April 17 Original Merger Agreement”) to representatives of Fried Frank. The April 17 Original Merger Agreement reflected, among other things, (i) a collar applicable to the SoundHound Closing Stock Price with a range of $7.00 per share to $12.00 per share consistent with the Revised Offer Terms and (ii) a termination fee equal to $5,000,000, plus SoundHound’s out-of-pocket expenses incurred in connection with the transaction. The April 17 Original Merger Agreement also contemplated that SoundHound’s willingness to accept the deletion of the Notes Restructuring Termination Fee Triggers was subject to the Secured Holders agreeing to pay the termination fee in the event of a Notes Restructuring Termination Fee Trigger.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17, 2026, representatives of Latham sent to representatives of each of Fried Frank, Akin Gump and Gibson Dunn a revised draft of the Notes Restructuring Agreement (the “April 17 Notes Restructuring Agreement”). The April 17 Notes Restructuring Agreement included, among other things, (i) a downward adjustment to the transaction consideration payable to the Secured Holders based on any shortfall in achieving the $74 million cash target as contemplated by the Revised Offer Terms, (ii) a requirement for the First Lien Holder to deliver a post-closing voting and support agreement, (iii) the deletion of the First Lien Holder’s ability to terminate the Notes Restructuring Agreement in the event of LivePerson’s failure to maintain at least $60 million of qualified cash at all times, and (iv) the addition of a provision requiring the Secured Holders to pay SoundHound the termination fee in the event the Merger Agreement is terminated due to any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17, 2026, the LivePerson board of directors held a meeting, with members of LivePerson’s management and representatives of each of Fried Frank, Lazard, and Houlihan Lokey in attendance, to receive an update on the status of the transactions and recent discussions among SoundHound, LivePerson and the Secured Holders. During the meeting, Mr. Sabino provided an update on the process relating to the potential transaction with SoundHound and the Secured Holders. A representative of Lazard discussed and reviewed with the LivePerson board of directors the Revised Offer Terms proposed by SoundHound. Mr. Collins then reported on his discussions with the Secured Holders and key open issues with respect to the Secured Holders, including the Secured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positions regarding the baseline value of the consideration to be received by the LivePerson stockholders and the application of any downward cash adjustment, as described above. Representatives of Fried Frank also discussed the key open items in the April 17 Original Merger Agreement and the April 17 Notes Restructuring Agreement, including, among other things, with respect to the Original Merger Agreement, the amount of the termination fee, the triggers for such termination fee, required regulatory filings and interim operating covenants, and with respect to the Notes Restructuring Agreement, the allocation of excess equity premium to the Secured Holders and the inclusion of a standstill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representatives of Akin Gump sent a revised draft of the Original Merger Agreement to Fried Frank and Gibson Dunn, which included, among other things, the deletion of the concept that the termination fee would be payable by LivePerson under certain circumstances in connection with LivePerson’s entry into a definitive agreement for an alternative transaction within 12 months following termination of the Original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April 19, 2026, the LivePerson board of directors held a meeting, with members of LivePerson’s management as well as representatives of each of Fried Frank, Lazard and Houlihan Lokey in attendance. At this meeting, representatives of LivePerson management and representatives of Fried Frank, Lazard and Houlihan Lokey provided an update regarding certain key terms of the transactions and the definitive agreements that were still in the process of being negotiated with SoundHound and the Secured Holders. Representatives of Lazard discussed with the LivePerson board of directors certain financial aspects of the transaction, including the Revised Offer Terms. Representatives of Fried Frank reviewed with the LivePerson board of directors the key terms of the April 17 Original Merger Agreement and the April 17 Notes Restructuring Agreement, including identifying key open terms, such as required regulatory filings, the outside date, and the concept of a cap on the proposed expense reimbursement aspect of the proposed termination fee construct in the April 17 Original Merger Agreement, as well as feedback from the representatives of the Secured Holders that the Secured Holders would not agree to pay a termination fee to SoundHound under any circumstances. Representatives of Fried Frank also reviewed with the LivePerson board of directors their fiduciary duties in connection with the proposed transactions. Representatives of Houlihan Lokey reviewed Houlihan Lokey’s preliminary financial analysis with respect to LivePerson and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representatives of Fried Frank, Latham, Akin Gump and Gibson Dunn attended a call to discuss the remaining open points in the Original Merger Agreement and the Notes Restructuring Agreement. Among other things, the parties discussed the fact that the Secured Holders would be unwilling to pay a termination fee to SoundHound in the event of any termination of the Original Merger Agreement or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 in the evening of April 19, 2026, representatives of Fried Frank sent a revised draft of the Original Merger Agreement to representatives of Latham, Akin Gump and Gibson Dunn, which included, among other things, (i) a proposed “outside date” of nine months from the date of the Original Merger Agreement, (ii) the re-insertion of the Notes Restructuring Termination Fee Triggers, subject to a to-be-determined cap on LivePerson’s obligation to reimburse SoundHound for its transaction expenses in the event of such termination and (iii) the re-insertion of the concept that the termination fee would be payable by LivePerson under certain circumstances in connection with LivePerson’s entry into a definitive agreement for an alternative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late in the evening on April 19, 2026, representatives of Akin Gump sent representatives of Fried Frank and Latham a revised draft of the Notes Restructuring Agreement, which included feedback from Gibson Dunn. The draft of the Notes Restructuring Agreement included, among other things, (i) the deletion of the requirement for the First Lien Holder to deliver a post-closing voting and support agreement, (ii) the reinsertion of the First Lien Holder’s ability to terminate the Notes Restructuring Agreement in the event of a LivePerson’s failure to maintain at least $60 million of qualified cash, subject to SoundHound’s and LivePerson’s ability to cure, and (iii) the deletion of any obligation of the Secured Holders to pay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representatives of Latham sent to Fried Frank, Akin Gump and Gibson Dunn a revised draft of the Original Merger Agreement (the “April 20 Original Merger Agreement”), which included (i) a downward adjustment to the merger consideration payable to LivePerson’s stockholders in the event that the cash and cash equivalents estimated to be on LivePerson’s balance sheet at closing is less than the Closing Cash Target, (ii) footnotes indicating the expectation that regulatory filings would be required in certain jurisdictions, (iii) an outside date of six months plus a three month automatic extension if certain approvals were not received by the initial outside date, and (iv) a reimbursement cap for SoundHound’s expenses of $4.0 million with such cap only being applicable in the event the Merger Agreement is terminated due to the termination of the Notes Restructuring Agreement due to a breach by a Secured 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20, 2026, Latham circulated a revised draft of the Notes Restructuring Agreement (the “April 20 Notes Restructuring Agreement”) to Fried Frank, Akin Gump and Gibson Dunn. The April 20 Notes Restructuring Agreement included, among other things, the reinsertion of the requirement for the First Lien Holder to deliver a post-closing voting and 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evening of April 20, 2026, representatives of Fried Frank, Latham, Akin Gump, Gibson Dunn, members of SoundHound management and LivePerson management, as well as representatives of the First Lien Noteholder and certain of the Second Lien Noteholders held a teleconference to discuss open points in the Notes Restructuring Agreement and certain comments from the Secured Holders to the Original Merger Agreement, including, among other things, (i) a downward adjustment mechanic in the event LivePerson did not have $74 million in cash at closing, (ii) required regulatory filings and potential closing conditions in connection therewith and (iii) an expense reimbursement cap in the event the Merger Agreement was terminated due to a breach of the Notes Restructuring Agreement by a Secured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representatives of Fried Frank sent to Latham, Akin Gump and Gibson Dunn a revised draft of the Original Merger Agreement, which included, among other things, (i) a modification to the specified cash target at Closing providing that, if the Closing occurs in July, such target will be $71 million rather than $74 million, and (ii) a reduction to the expense reimbursement cap from $4 million to $3.75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21, 2026, representatives of Latham sent to representatives of Fried Frank, Akin Gump and Gibson Dunn, a revised draft of the Notes Restructuring Agreement, reflecting input from further discussions with representatives of Fried Frank, Akin Gump and Gibson Dunn.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early morning of April 21, 2026, each of the parties worked to finalize the Original Merger Agreement and Notes Restructuring Agreement and exchanged additional drafts. Once the drafts were substantially finalized, the Original Merger Agreement was revised to reflect aggregate consideration payable by SoundHound to the LivePerson stockholders of $42,784,532.64 based on the closing price of a share of LivePerson Common Stock as of April 20, 2026, consistent with the requirement of the Secured Holders that the stated value of the consideration to LivePerson stockholders not reflect a premium to the pre-signing market price of LivePerson Common Stock. The $215,467.36 difference was reallocated to the Secured Holders, and the Original Merger Agreement and the Notes Restructuring Agreement were finalized on the terms and conditions described throughout this proxy statement/prospectus.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morning of April 21, 2026, the LivePerson board of directors held a meeting with members of LivePerson’s management as well as representatives of each of Fried Frank, Lazard and Houlihan Lokey in attendance. The LivePerson board of directors was informed that the deal terms and the transaction documents had, subject to LivePerson board of directors’ approval, been finalized among LivePerson, SoundHound, and the Secured Holders. Representatives of Fried Frank reviewed and discussed the LivePerson board of directors’ fiduciary duties under Delaware law, and an overview of the key terms of the Original Merger Agreement and the Notes Restructuring Agreement. A representative of Houlihan Lokey reviewed Houlihan Lokey’s financial analysis with respect to LivePerson and the proposed transaction and then, at the request of the LivePerson board of directors, delivered Houlihan Lokey’s oral opinion to the LivePerson board of directors (which was subsequently confirmed in writing) to the effect that, as of April 21, 2026, and based upon and subject to the assumptions, qualifications, limitations and other matters considered in connection with the preparation of such opinion, the consideration to be received by the holders of LivePerson Common Stock in the merger for their shares of LivePerson Common Stock was fair, from a financial point of view, to such holders (solely in their capacity as holders of LivePerson Common Stock). The LivePerson board of directors discussed the reasons for the merger, including those reasons discussed in “— </w:t>
      </w:r>
      <w:r>
        <w:rPr>
          <w:rFonts w:ascii="Times New Roman PS Std;serif" w:hAnsi="Times New Roman PS Std;serif"/>
          <w:b w:val="false"/>
          <w:i/>
          <w:caps w:val="false"/>
          <w:smallCaps w:val="false"/>
          <w:sz w:val="20"/>
        </w:rPr>
        <w:t>Recommendation of the LivePerson Board of Directors; LivePerson’s Reasons for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discussion, the LivePerson board of directors unanimously (i) approved and declared advisable the Original Merger Agreement and the Notes Restructuring Agreement and the transactions contemplated thereby, including the merger contemplated by the Original Merger Agreement,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contemplated by the Original Merger Agreement, be submitted to the LivePerson stockholders for their consideration, adoption, and approval, and (iv) resolved to recommend that the LivePerson stockholders vote to adopt the Original Merger Agreement. The Original Merger Agreement and the Notes Restructuring Agreement were executed on April 21, 2026, and LivePerson and SoundHound issued a joint press release announcing the transactions prior to the opening of trading on Nasdaq on April 21,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execution of the Original Merger Agreement, over the course of May 2026 and the first week of June 2026, LivePerson and SoundHound each instructed their respective legal advisors, including Fried Frank and Arnon, Tadmor-Levy (“Arnon”), LivePerson’s local counsel in Israel, and Latham and Herzog, Fox &amp; Ne’eman (“HFN”), SoundHound’s local counsel in Israel, to coordinate in seeking to determine whether the parties would be able to obtain a no-action letter from the Israeli Securities Authority (the “ISA”) stipulating that SoundHound would not be required to file an Israeli securities law-compliant prospectus in connection with the proposed offering and issuance of SoundHound Common Stock to holders of TASE Shares as contemplated by the Original Merger Agreement as a result of the fact that LivePerson Common Stock is dual-listed on the TASE and SoundHound Common Stock is not dual-listed on the TASE (such requirement, the “Israeli prospectus requirement”).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several such discussions among HFN and Arnon, it was determined that, in light of the volume of shares of LivePerson common stock traded on the TASE, the parties would not be able to obtain a no-action letter from the ISA such that the Israeli prospectus requirement would apply. Additionally, following the consideration of various other alternative means of potentially obtaining an exemption to the Israeli prospectus requirement, it was determined that SoundHound would not be eligible for an exemption. The parties also determined that, if the TASE Shares were delisted from the TASE (the “LivePerson delisting option”), the likelihood of obtaining a no-action letter from the ISA regarding the Israeli prospectus requirement would be significantly improved but the LivePerson delisting option entailed a ninety (90) day statutory waiting period before the delisting would be effective, and the LivePerson special meeting could not be called until after the effectiveness of such delisting and obtaining such no-action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2026, representatives of Latham and Fried Frank held a teleconference and discussed potentially modifying the terms of the transaction to provide that holders of TASE Shares receive cash consideration instead of shares of SoundHound Common Stock (the “TASE Share cashout option”) as a means of avoiding the substantial delays that would have resulted from either complying with the Israeli prospectus requirement or delaying calling the LivePerson special meeting until the end of the 90-day statutory waiting period in connection with the LivePerson delisting option. Representatives of Latham indicated that they would consider and discuss the TASE Share cashout option with SoundHound, but that it was SoundHound’s preference that LivePerson nonetheless commence the delisting process to start the statutory waiting period required in connection therewith.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next day, representatives of Latham communicated to representatives of Fried Frank that SoundHound was open to considering the TASE Share cashout option as a means to ensuring the parties could close the transaction on their desired timeline; however, representatives of Latham noted that because SoundHound had originally agreed to pay all-stock consideration to LivePerson stockholders, SoundHound was concerned with the cash outlay that may be required in connection with the TASE Share cashout option, including that it could potentially entitle all LivePerson stockholders to appraisal rights under Delaware law to which they were not entitled to under the terms of the Original Merger Agreement, which could result in further cash outlay that could not be quantified.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4, 2026, representatives of Latham and Fried Frank held a telephone conference to further discuss the LivePerson delisting option and the TASE Share cashout option. Representatives of Fried Frank suggested that the transaction structure be revised to contemplate two mergers so that only the holders of TASE Shares would be entitled to appraisal rights as a means to assuage SoundHound’s concerns. Representatives of Latham indicated that they would consider and discuss with SoundHound, and again requested that LivePerson proceed with the TASE delisting process in order to commence the 90-day waiting period.</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5, 2026, members of management of SoundHound and LivePerson as well as representatives of Latham, Fried Frank, HFN, Arnon, Richards, Layton &amp; Finger, P.A., SoundHound’s Delaware counsel, and Morris, Nichols, Arsht &amp; Tunnell LLP, LivePerson’s Delaware counsel, held a telephone conference to discuss the TASE Share cashout option (the “June 5 All-Hands Call”). Representatives of LivePerson management confirmed that LivePerson was proceeding with the process for delisting from the TASE and that the necessary filings for the delisting would be completed in the next few days. The parties then discussed the TASE Share cashout option, including how the TASE Share cashout option would allow the parties to avoid the risk of significant delays and uncertainty that would result from complying with or seeking exemptions under Israeli securities laws, as well as the potential risks associated with the TASE Share cashout option. Representatives of SoundHound noted that while SoundHound was aligned with LivePerson in pursuing alternatives that would allow the transaction to proceed on the parties’ desired timeline, the Original Merger Agreement contemplated that LivePerson stockholders would only receive stock consideration and cash in lieu of fractional shares and reiterated that SoundHound was concerned with the cash outlay in connection with the TASE Share cashout option, particularly if the number of TASE Shares outstanding and SoundHound’s stock price fluctuated during the interim period. The parties discussed the possibility of placing a reasonable upper limit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cash that SoundHound would be required to pay to holders of TASE Shares. The parties discussed the TASE Share cashout option further and agreed to continue considering alternatives for limiting the cash outlay required by SoundHound to complete the transaction. At the conclusion of the call, representatives agreed to prepare a draft amendment to the Original Merger Agreement reflecting the construct discussed on the June 5 All-Hands Call.</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7, 2026, LivePerson provided notice to the TASE of its intention to delist LivePerson Common Stock from the TASE, with such delisting to be effective on or about September 9, 2026.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8, 2026, representatives of Latham, Fried Frank, HFN and Arnon and members of LivePerson management held a teleconference, during which representatives of Latham indicated that the TASE Share cashout option, including a specific cap on the total amount of cash payable by SoundHound to holders of TASE Shares, would likely be acceptable to SoundHound. Later that same day, representatives of Latham emailed representatives of Fried Frank to propose a cap on the aggregate cash merger consideration to be paid to the holders of TASE Shares in an amount equal to $7.5 million. This cap represented approximately 17.5% of the $42,784,532.64 Aggregate Consideration Amount, which at the time was the percentage of LivePerson’s issued and outstanding shares on a fully diluted basis that constituted TASE Shares.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9, 2026, representatives of Fried Frank sent to representatives of Latham a draft amendment to the Original Merger Agreement (the “June 9 Merger Agreement Amendment”) reflecting a construct consistent with the parties’ prior communications. The June 9 Merger Agreement Amendment reflected, among other things, the TASE Share cashout option, a dual-merger structure, an appraisal rights provision for the holders of TASE Shares, and a provision that provided for a restriction on transfers of shares of LivePerson Common Stock to the TASECH. The June 9 Merger Agreement Amendment continued to reflect the same terms for the holders of LivePerson Common Stock who held their shares on the Nasdaq in that such holders would continue to receive the Per Share Merger Consideration for their shares of LivePerson Common Stock and not be entitled to appraisal rights.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11, 2026, representatives of Latham sent to representatives of Fried Frank a revised draft of the June 9 Merger Agreement Amendment (the “June 11 Merger Agreement Amendment”). The June 11 Merger Agreement Amendment reflected, among other things, a notice requirement for LivePerson to inform LivePerson stockholders of the aggregate number of TASE Shares outstanding as of the most recent practicable determination date at least two business days prior to the LivePerson special meeting and a requirement for LivePerson to use reasonable best efforts to take all actions under Israeli securities laws to facilitate the delisting of the shares of LivePerson Common Stock from the TASE.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13, 2026, and June 16, 2026, representatives of Fried Frank and Latham exchanged further drafts of the amendment to the Original Merger Agreement, including drafts that reflected a full amendment and restatement of the Original Merger Agreement (the “A&amp;R Merger Agreement”) reflecting, among other things, minor modifications to certain representations and warranties and covenants therein and a new provision requiring that LivePerson obtain a final report on the number of TASE Shares to be delivered to SoundHound prior to the consummation of the transactions.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2026, the LivePerson board of directors held a meeting with members of LivePerson’s management as well as representatives of Fried Frank in attendance. The LivePerson board of directors was informed of the deal terms reflected in the A&amp;R Merger Agreement and that the A&amp;R Merger Agreement had, subject to LivePerson board of directors’ approval, been substantially finalized among LivePerson and SoundHound. Representatives of Fried Frank reviewed the key terms of the A&amp;R Merger Agreement.</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 2026, representatives of Fried Frank and Latham exchanged a finalized version of the A&amp;R Merger Agreement. On July 2, 2026, the LivePerson board of directors reviewed the final A&amp;R Merger Agreement and unanimously (i) approved and declared advisable the A&amp;R Merger Agreement and the transactions contemplated thereby, including the Mergers, (ii) determined that it is in the best interests of LivePerson and its stockholders for LivePerson to enter into the A&amp;R Merger Agreement and, (iii) directed that the A&amp;R Merger Agreement and the transactions contemplated by the A&amp;R Merger Agreement, including the Mergers, be submitted to the LivePerson stockholders for their consideration, adoption, and approval, and (iv) resolved to recommend that the LivePerson stockholders vote to adopt the A&amp;R Merger Agreement. The A&amp;R Merger Agreement was executed on July 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places limitations on LivePerson’s ability to seek an Acquisition Proposal and requires LivePerson to pay the termination fee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meeting held on April 21, 2026, the LivePerson board unanimously (i) approved and declared advisable the Original Merger Agreement and the Notes Restructuring Agreement and the transactions contemplated thereby, including the Merger,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be submitted to the LivePerson stockholders for their consideration, adoption, and approval, and (iv) resolved to recommend that the LivePerson stockholders vote to adopt the Original Merger Agreement. On July 2, 2026, the LivePerson board unanimously (i) approved and declared advisable the Merger Agreement and the transactions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contemplated thereby, including the Mergers, (ii) determined that it is in the best interests of LivePerson and its stockholders for LivePerson to enter into the Merger Agreement and to amend and restate the Original Merger Agreement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 </w:t>
      </w:r>
      <w:r>
        <w:rPr>
          <w:rFonts w:ascii="Times New Roman PS Std;serif" w:hAnsi="Times New Roman PS Std;serif"/>
          <w:b/>
          <w:i w:val="false"/>
          <w:caps w:val="false"/>
          <w:smallCaps w:val="false"/>
          <w:sz w:val="20"/>
        </w:rPr>
        <w:t>The LivePerson board unanimously recommends that LivePerson stockholders vote “FOR” the merger proposal,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Agreement (and the Original Merger Agreement), the Notes Restructuring Agreement, and the transactions contemplated by those agreements, the LivePerson board of directors consulted with LivePerson’s senior management, financial advisors, and outside counsel. The LivePerson board of directors determined that entering into the Original Merger Agreement and the Notes Restructuring Agreement, and the subsequent entry into the Merger Agreement, provided the best alternative for maximizing stockholder value reasonably available to LivePerson, including when compared to continuing to operate LivePerson on a standalone basis.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recommending that LivePerson stockholders vote their shares of LivePerson Common Stock to approve and adopt the Merger Agreement, the LivePerson board of directors also considered a number of factors, including the following factors (not necessarily in order of relative importance) that the LivePerson board of directors viewed as generally positive or favorable to its determination, approval and related recommendation: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Attractive Value to LivePerson Stockholders.    </w:t>
      </w:r>
      <w:r>
        <w:rPr>
          <w:rFonts w:ascii="Times New Roman PS Std;serif" w:hAnsi="Times New Roman PS Std;serif"/>
          <w:b w:val="false"/>
          <w:i w:val="false"/>
          <w:caps w:val="false"/>
          <w:smallCaps w:val="false"/>
          <w:sz w:val="20"/>
        </w:rPr>
        <w:t>The LivePerson board of directors considered that, under the circumstances, the LivePerson stockholders would be receiving attractive value in the Mergers, supported by the fact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LivePerson stockholders would be receiving consideration in the Mergers notwithstanding that the aggregate consideration payable by SoundHound in the transaction is substantially less than the approximately $350 million of estimated net debt of LivePerson at closing (assuming the Mergers close during the third quarter of 2026 and after taking into account the aggregate par value, accrued interest, and applicable make-whole and redemption premia that would otherwise be contractually payable at closing under the terms of LivePerson’s outstanding debt, and LivePerson’s expected cash at closing) - meaning that, absent the Secured Holders’ agreement to accept a substantial discount to their contractual entitlements pursuant to the Notes Restructuring Agreement, there would be no value available to distribute to LivePerson stockholders whatsoever;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the Notes Restructuring Agreement, the Secured Holders will be receiving consideration with a value substantially below the aggregate par value, accrued interest, and applicable make-whole and redemption premia which they would otherwise be contractually entitled to receive at closing under the terms of their notes;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consideration payable to LivePerson equityholders of approximately $43 million, or approximately $3.33 per share of LivePerson Common Stock (assuming LivePerson’s achievement of the target closing cash level specified in the Merger Agreement) represented a premium of approximately 22% to volume-weighted average price of the shares LivePerson Common Stock over the 30 days ending on the date of the LivePerson board of directors’ approval of the Original Merger Agreement and is identical to the consideration that would have been received by such holders pursuant to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stock consideration offers LivePerson stockholders (other than holders of TASE Shares) the opportunity to participate in any potential value accretion of the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shares of SoundHound Common Stock to be issued in the First Merger to LivePerson stockholders (other than holders of TASE Shares) will be registered and freely tradeable when issued, allowing LivePerson stockholders to attain substantially immediate liquidity should any LivePerson stockholder choose not to retain its shares of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Cash Merger Consideration payable to holders of TASE Shares would be substantially equivalent to the value of the Per Share Merger Consideration (unless LivePerson stockholders elect to transfer shares to the TASECH between the date of the Merger Agreement and the Second Effective Time and/or the SoundHound Closing VWAP Stock Price is significantly higher than $12.00 per share);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other alternatives were reasonably likely in the near term to create greater value for LivePerson stockholders than the Merger, taking into account business, competitive, industry and market risks.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LivePerson’s Business, Financial Condition and Prospects.    </w:t>
      </w:r>
      <w:r>
        <w:rPr>
          <w:rFonts w:ascii="Times New Roman PS Std;serif" w:hAnsi="Times New Roman PS Std;serif"/>
          <w:b w:val="false"/>
          <w:i w:val="false"/>
          <w:caps w:val="false"/>
          <w:smallCaps w:val="false"/>
          <w:sz w:val="20"/>
        </w:rPr>
        <w:t>The LivePerson board of directors also considered the risks of continuing to operate as a standalone business in light of LivePerson’s current and historical financial condition, results of operations, business, competitive position, and future prospects,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debt burden to which LivePerson is subject, including that, if the proposed transactions are not completed, LivePerson may not have sufficient capital to satisfy its debt obligations;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increasing competition in the AI-powered customer engagement and conversational AI markets, including from competitors with substantial competitive advantages, including significantly larger financial, marketing, resource and development budgets, access to larger customer bases, larger and more established marketing and distribution relationships, and more diverse product and service offerings;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customer attrition experienced by LivePerson in recent years and reductions in net revenue retention, leading to significant year-over-year revenue declines in 2023, 2024, and 2025;</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ongoing strategic business plans and the execution risks associated therewith, and uncertainty of future revenue growth and return-to-profitability timelines;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LivePerson’s stock price may continue to decline in the foreseeable future if LivePerson continues to operate on a standalone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a further degradation of LivePerson’s business and financial results may result in the delisting of LivePerson Common Stock from the Nasdaq Global Select Market, which would force LivePerson to offer to repurchase all of LivePerson’s outstanding debt securities, and, given its substantial indebtedness — which already exceeds the total enterprise value implied by the Merger Agreement — may eventually lead to a voluntary or involuntary filing for protection under the Bankruptcy Code, in which case LivePerson stockholders would in all likelihood receive no recovery on account of their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Benefits of a Combined Company.    </w:t>
      </w:r>
      <w:r>
        <w:rPr>
          <w:rFonts w:ascii="Times New Roman PS Std;serif" w:hAnsi="Times New Roman PS Std;serif"/>
          <w:b w:val="false"/>
          <w:i w:val="false"/>
          <w:caps w:val="false"/>
          <w:smallCaps w:val="false"/>
          <w:sz w:val="20"/>
        </w:rPr>
        <w:t>The belief of the LivePerson board of directors that the combined company resulting from a merger of SoundHound and LivePerson would be well positioned to achieve future free cash flow growth and generate superior returns for LivePerson’s former stockholders and benefits to customers and partners, as a result of the benefits of (1) integrating SoundHound’s voice and agentic AI platform with LivePerson’s digital engagement capabilities to expand product offerings and offer customers a combined platform with a single, end-to-end integrated solution for managing the full lifecycle of customer conversations across both voice and digital channels; and (2) leveraging the combined capabilities of SoundHound and LivePerson to strengthen model performance, orchestration, and enterprise-grade automation outcomes.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Interactions with Other Potentially Interested Counterparties.    </w:t>
      </w:r>
      <w:r>
        <w:rPr>
          <w:rFonts w:ascii="Times New Roman PS Std;serif" w:hAnsi="Times New Roman PS Std;serif"/>
          <w:b w:val="false"/>
          <w:i w:val="false"/>
          <w:caps w:val="false"/>
          <w:smallCaps w:val="false"/>
          <w:sz w:val="20"/>
        </w:rPr>
        <w:t>The LivePerson board of directors also considered that, from September 2025 to January 2026, the LivePerson board of directors conducted a comprehensive review of strategic alternatives to maximize shareholder value. As part of that process, LivePerson engaged in discussions with a variety of parties that initially expressed interest in a potential transaction and, in consultation with Lazard, subsequently contacted representatives of 66 potential counterparties and executed confidentiality agreements with 17 of those counterparties, and no potentially interested party other than SoundHound submitted an offer or indication of interest. The LivePerson board of directors believed that, given the outcome of its broad outreach and public and private strategic review process, it was unlikely that an alternative bidder would consummate a transaction on superior terms and provide LivePerson stockholders with more valuable consideration than provided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Negotiation Process.    </w:t>
      </w:r>
      <w:r>
        <w:rPr>
          <w:rFonts w:ascii="Times New Roman PS Std;serif" w:hAnsi="Times New Roman PS Std;serif"/>
          <w:b w:val="false"/>
          <w:i w:val="false"/>
          <w:caps w:val="false"/>
          <w:smallCaps w:val="false"/>
          <w:sz w:val="20"/>
        </w:rPr>
        <w:t xml:space="preserve">The LivePerson board of directors considered the fact that the terms of the Mergers, including the merger consideration, were the result of robust, arm’s length negotiations conducted by LivePerson at the direction of the LivePerson board of directors, and with the assistance of independent financial advisors and outside legal counsel. The LivePerson board of directors believed that the merger consideration represented the best value that LivePerson could reasonably obtain from SoundHound for the shares of LivePerson Common Stock, taking into account (i) SoundHound’s statements, including that the value of the merger consideration payable under the final terms of the Original Merger Agreement and the Notes Restructuring Agreement was SoundHound’s final offer following due diligence and assessment of business strength, and, in the case of the amendment and restatement of the Original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Agreement, the amount of $7.5 million was the maximum amount of cash consideration that SoundHound was willing to pay to holders of TASE Shares; (ii) the LivePerson board of directors’ assessment, after consultation with its financial advisors, that other parties did not have any interest in acquiring LivePerson at a higher price or on terms that would be acceptable to the Secured Holders, which acceptance would be required to facilitate an acquisition of LivePerson; and (iii) the LivePerson board of directors’ familiarity with the business, operations, prospects, business strategy, assets, liabilities, and general financial condition of LivePerson on a historical and prospective basis and its assessment of associated risks, including execution risks with respect to LivePerson’s business plan and growth targets. The LivePerson board of directors believed, after consultation with representatives of Lazard, that further negotiations would have created a risk of causing SoundHound to abandon the proposed transaction altogether or materially delaying the entry into definitive transaction agreements with respect to the proposed transaction, that it was unlikely that any other potential acquiror would be willing and able to acquire LivePerson at a price in excess of the merger consideration, even if LivePerson were to conduct additional outreach, and that it was unlikely that any other potential counterparties would be willing and able to consummate a transaction with LivePerson that the LivePerson of directors would view as more value-maximizing for LivePerson stockholders than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Support of the Holders of LivePerson’s Secured Debt.    </w:t>
      </w:r>
      <w:r>
        <w:rPr>
          <w:rFonts w:ascii="Times New Roman PS Std;serif" w:hAnsi="Times New Roman PS Std;serif"/>
          <w:b w:val="false"/>
          <w:i w:val="false"/>
          <w:caps w:val="false"/>
          <w:smallCaps w:val="false"/>
          <w:sz w:val="20"/>
        </w:rPr>
        <w:t>The LivePerson board of directors considered the fact that, under the Notes Restructuring Agreement, the Secured Holders agreed to exchange their notes for SoundHound shares at a value reflecting a substantial discount to the aggregate par value, accrued interest, and applicable make-whole and redemption premia that they would otherwise be contractually entitled to receive at closing under the terms of their notes — representing a significant economic concession made by such holders in order to facilitate a transaction with SoundHound that preserves value for LivePerson stockholders. Given LivePerson’s valuation and substantial debt, no strategic transaction that allows LivePerson stockholders to receive any value for their shares may have been possible without such material noteholder concessions.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Opinion of LivePerson’s Financial Advisor.    </w:t>
      </w:r>
      <w:r>
        <w:rPr>
          <w:rFonts w:ascii="Times New Roman PS Std;serif" w:hAnsi="Times New Roman PS Std;serif"/>
          <w:b w:val="false"/>
          <w:i w:val="false"/>
          <w:caps w:val="false"/>
          <w:smallCaps w:val="false"/>
          <w:sz w:val="20"/>
        </w:rPr>
        <w:t>The LivePerson board of directors considered the oral opinion of Houlihan Lokey, subsequently confirmed in Houlihan Lokey’s written opinion dated April 21, 2026, to the LivePerson board of directors, as to, as of such date, the fairness, from a financial point of view, to the holders of LivePerson Common Stock (solely in their capacity as holders of LivePerson Common Stock) of the consideration to be received by such holders for their shares of LivePerson Common Stock in the Merger pursuant to the Original Merger Agreement, which opinion was based on and subject to various assumptions made, procedures followed, qualifications, limitations, conditions and other matters considered, as more fully described below in the section titled “— </w:t>
      </w:r>
      <w:r>
        <w:rPr>
          <w:rFonts w:ascii="Times New Roman PS Std;serif" w:hAnsi="Times New Roman PS Std;serif"/>
          <w:b w:val="false"/>
          <w:i/>
          <w:caps w:val="false"/>
          <w:smallCaps w:val="false"/>
          <w:sz w:val="20"/>
        </w:rPr>
        <w:t>Opinion of LivePerson’s Financial Advisor</w:t>
      </w:r>
      <w:r>
        <w:rPr>
          <w:rFonts w:ascii="Times New Roman PS Std;serif" w:hAnsi="Times New Roman PS Std;serif"/>
          <w:b w:val="false"/>
          <w:i w:val="false"/>
          <w:caps w:val="false"/>
          <w:smallCaps w:val="false"/>
          <w:sz w:val="20"/>
        </w:rPr>
        <w:t>.” Although Houlihan Lokey’s opinion was not updated in connection with the amendment and restatement of the Original Merger Agreement, the LivePerson board of directors also considered such opinion of Houlihan Lokey and the relevance thereof in connection with the amendment and restatement of the Original Merger Agreement, including the fact that the Merger Agreement did not change or modify the terms of the Original Merger Agreement relating to the determination of the Per Share Merger Consideration, and that, unless LivePerson stockholders elect to transfer shares to the TASECH between the date of the Merger Agreement and the Second Effective Time and/or the SoundHound Closing VWAP Stock Price is significantly higher than $12.00 per share, the value of the Per Share Cash Merger Consideration would be substantially equivalent to the value of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Timing and Likelihood of Completion.    </w:t>
      </w:r>
      <w:r>
        <w:rPr>
          <w:rFonts w:ascii="Times New Roman PS Std;serif" w:hAnsi="Times New Roman PS Std;serif"/>
          <w:b w:val="false"/>
          <w:i w:val="false"/>
          <w:caps w:val="false"/>
          <w:smallCaps w:val="false"/>
          <w:sz w:val="20"/>
        </w:rPr>
        <w:t>The LivePerson board of directors considered the timing and likelihood that the Mergers would be consummated based upon,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terms and conditions of the Merger Agreement as compared to the Original Merger Agreement, including the payment of the Per Share Cash Merger Consideration to the holders of the TASE Shares as contemplated by the Merger Agreement, would allow for the transactions to proceed to a potential closing on a more timely basis than would have otherwise been possible under the terms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conditions to SoundHound’s obligation to consummate the Mergers as provided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anticipated substantive issues in connection with obtaining required regulatory clearances in certain jurisdictions;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reputation, capabilities and financial condition of SoundHound.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Terms of the Merger Agreement.    </w:t>
      </w:r>
      <w:r>
        <w:rPr>
          <w:rFonts w:ascii="Times New Roman PS Std;serif" w:hAnsi="Times New Roman PS Std;serif"/>
          <w:b w:val="false"/>
          <w:i w:val="false"/>
          <w:caps w:val="false"/>
          <w:smallCaps w:val="false"/>
          <w:sz w:val="20"/>
        </w:rPr>
        <w:t>The LivePerson board of directors reviewed and considered the terms of the Merger Agreement, taken as a whole,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LivePerson board of directors to furnish information to, and conduct negotiations with, third parties in certain circumstances, and to terminate the Merger Agreement to accept a Superior Proposal upon payment of a termination fee of $5 million plus reimbursement of SoundHound’s transaction expenses, under the circumstances specified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parties’ representations, warranties and covenants, and the circumstances under which the Merger Agreement may be terminated;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terms of the Merger Agreement provide LivePerson with sufficient operating flexibility to conduct its business in the ordinary course until the earlier of the consummation of the Mergers or the 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also considered a number of uncertainties, risks and factors it deemed generally negative or unfavorable in making its determination, approval and related recommendation, including the following (not necessarily in order of relative importance):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Potential Reduction of Closing Merger Consideration.    </w:t>
      </w:r>
      <w:r>
        <w:rPr>
          <w:rFonts w:ascii="Times New Roman PS Std;serif" w:hAnsi="Times New Roman PS Std;serif"/>
          <w:b w:val="false"/>
          <w:i w:val="false"/>
          <w:caps w:val="false"/>
          <w:smallCaps w:val="false"/>
          <w:sz w:val="20"/>
        </w:rPr>
        <w:t>The risks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per share of the SoundHound Common Stock prior to closing and utilized for the determination of the merger consideration falls outside of the collar provision applicable to the SoundHound Closing Stock Price and the LivePerson Stockholders either receive fewer shares of SoundHound Common Stock as consideration than they would otherwise be entitled to in the absence of the collar or do not benefit from increases in the price per share of the SoundHound Common Stock to which they would otherwise be entitled in the absence of the collar, and that the application of the collar (together with the application of the $7.5 million cap) could result in the value of the Per Share Merger Consideration being greater, on a per share basis, than the value of the Per Share Cash Merger Consideration;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cash and cash equivalents on its balance sheet at the pre-closing testing date may be less than the required minimum cash requirement set forth in the Merger Agreement, which will reduce the merger consideration payable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 Appraisal Rights.    </w:t>
      </w:r>
      <w:r>
        <w:rPr>
          <w:rFonts w:ascii="Times New Roman PS Std;serif" w:hAnsi="Times New Roman PS Std;serif"/>
          <w:b w:val="false"/>
          <w:i w:val="false"/>
          <w:caps w:val="false"/>
          <w:smallCaps w:val="false"/>
          <w:sz w:val="20"/>
        </w:rPr>
        <w:t>The fact that LivePerson stockholders, other than certain holders of TASE Shares that are Dissenting Shares, will not be entitled to appraisal or dissenters’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Interim Operating Covenants.    </w:t>
      </w:r>
      <w:r>
        <w:rPr>
          <w:rFonts w:ascii="Times New Roman PS Std;serif" w:hAnsi="Times New Roman PS Std;serif"/>
          <w:b w:val="false"/>
          <w:i w:val="false"/>
          <w:caps w:val="false"/>
          <w:smallCaps w:val="false"/>
          <w:sz w:val="20"/>
        </w:rPr>
        <w:t>The restrictions placed on the conduct of LivePerson’s business prior to the completion of the Mergers pursuant to the terms of the Merger Agreement, which, despite providing sufficient flexibility for LivePerson to operate its business in the ordinary course, could delay or prevent LivePerson from undertaking business opportunities that may arise or any other action it would otherwise take with respect to the operations of the LivePerson absent the pending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Risks Associated with the Pendency of the Mergers.    </w:t>
      </w:r>
      <w:r>
        <w:rPr>
          <w:rFonts w:ascii="Times New Roman PS Std;serif" w:hAnsi="Times New Roman PS Std;serif"/>
          <w:b w:val="false"/>
          <w:i w:val="false"/>
          <w:caps w:val="false"/>
          <w:smallCaps w:val="false"/>
          <w:sz w:val="20"/>
        </w:rPr>
        <w:t>The risks and contingencies relating to the announcement and pendency of the Mergers (including the likelihood of litigation or other opposition brought by or on behalf of LivePerson stockholders or SoundHound stockholders challenging the Mergers and the other transactions contemplated by the Merger Agreement) and the risks and costs to LivePerson if the Mergers are not completed in a timely manner or if the Mergers do not close at all, including potential employee attrition, the impact on LivePerson’s relationships with third parties, the potential payment of a termination fee and the effect termination of the Merger Agreement may have on the trading price of LivePerson Common Stock and LivePerson’s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Opportunity to Receive Acquisition Proposals and Inability to Terminate the Mergers in Order to Accept a Superior Proposal; Termination Fees; Expense Reimbursement.    </w:t>
      </w:r>
      <w:r>
        <w:rPr>
          <w:rFonts w:ascii="Times New Roman PS Std;serif" w:hAnsi="Times New Roman PS Std;serif"/>
          <w:b w:val="false"/>
          <w:i w:val="false"/>
          <w:caps w:val="false"/>
          <w:smallCaps w:val="false"/>
          <w:sz w:val="20"/>
        </w:rPr>
        <w:t xml:space="preserve">The LivePerson board of directors considered the possibility that a third party may be willing to enter into a strategic combination with LivePerson on terms more favorable than the Mergers. In connection therewith, the LivePerson board of directors considered the terms of the Merger Agreement relating to no-shop covenants and termination fee and expense reimbursement obligations and the potential that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might deter alternative bidders that might have been willing to submit an Acquisition Proposal. The LivePerson board of directors also considered that, under specified circumstances, LivePerson may be required to pay a termination fee or expenses in the event the Merger Agreement is terminated and the effect this could have on LivePerson,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termination fee and expense reimbursement obligations could discourage other potential parties from making an Acquisition Proposal, although the LivePerson board of directors believed that the termination fee and expense reimbursement obligation was reasonable in amount and would not unduly deter any other party that might be interested in making an Acquisition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Agreement could be terminated, and the termination fee and expense reimbursement obligations could be payable by LivePerson, due to termination of the Notes Restructuring Agreement as a result of breaches by other parties thereto, which is outside of LivePerson’s control;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Mergers are not consummated, LivePerson will generally be obligated to pay its own expenses incident to preparing for and entering into and carrying out its obligations under the Merger Agreement and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Regulatory Approval.    </w:t>
      </w:r>
      <w:r>
        <w:rPr>
          <w:rFonts w:ascii="Times New Roman PS Std;serif" w:hAnsi="Times New Roman PS Std;serif"/>
          <w:b w:val="false"/>
          <w:i w:val="false"/>
          <w:caps w:val="false"/>
          <w:smallCaps w:val="false"/>
          <w:sz w:val="20"/>
        </w:rPr>
        <w:t>The LivePerson board of directors considered that the Mergers and the related transactions require regulatory approval to complete such transactions and the risk that the applicable governmental entities may seek to impose unfavorable terms or conditions, or otherwise fail to grant, such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Interests of Certain LivePerson Directors and Executive Officers and Other Concerns Related to Conflicts or the Potential Appearance of Conflicts.    </w:t>
      </w:r>
      <w:r>
        <w:rPr>
          <w:rFonts w:ascii="Times New Roman PS Std;serif" w:hAnsi="Times New Roman PS Std;serif"/>
          <w:b w:val="false"/>
          <w:i w:val="false"/>
          <w:caps w:val="false"/>
          <w:smallCaps w:val="false"/>
          <w:sz w:val="20"/>
        </w:rPr>
        <w:t>The LivePerson board of directors considered that LivePerson’s directors and executive officers may have interests in the Mergers that may be different from, or in addition to, those of LivePerson stockholders. For more information about such interests, see the section titled “—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 Costs.    </w:t>
      </w:r>
      <w:r>
        <w:rPr>
          <w:rFonts w:ascii="Times New Roman PS Std;serif" w:hAnsi="Times New Roman PS Std;serif"/>
          <w:b w:val="false"/>
          <w:i w:val="false"/>
          <w:caps w:val="false"/>
          <w:smallCaps w:val="false"/>
          <w:sz w:val="20"/>
        </w:rPr>
        <w:t>The LivePerson board of directors considered the costs associated with the completion of the Mergers, including LivePerson management’s time and energy and potential opportunity cost that will be incurred by the combined company as a result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Trading Price.    </w:t>
      </w:r>
      <w:r>
        <w:rPr>
          <w:rFonts w:ascii="Times New Roman PS Std;serif" w:hAnsi="Times New Roman PS Std;serif"/>
          <w:b w:val="false"/>
          <w:i w:val="false"/>
          <w:caps w:val="false"/>
          <w:smallCaps w:val="false"/>
          <w:sz w:val="20"/>
        </w:rPr>
        <w:t>The trading price of LivePerson Common Stock could be materially and adversely affected, including to an extent such that LivePerson Common Stock could be delisted from the Nasdaq Global Select Market; and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Risks.    </w:t>
      </w:r>
      <w:r>
        <w:rPr>
          <w:rFonts w:ascii="Times New Roman PS Std;serif" w:hAnsi="Times New Roman PS Std;serif"/>
          <w:b w:val="false"/>
          <w:i w:val="false"/>
          <w:caps w:val="false"/>
          <w:smallCaps w:val="false"/>
          <w:sz w:val="20"/>
        </w:rPr>
        <w:t>The LivePerson board of directors considered risks of the type and nature described under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 16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believed that, overall, the potential benefits of the Mergers to LivePerson stockholders outweighed the risks and uncertainties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factors considered by the LivePerson board of directors is not intended to be exhaustive but includes the material factors considered by the LivePerson board of directors. In light of the variety of factors considered in connection with its evaluation of the Mergers, the LivePerson board of directors did not find it practicable to, and did not, quantify or otherwise assign relative weights to the specific factors considered in reaching its determinations and recommendations. Moreover, each member of the LivePerson board of directors applied his or her own personal business judgment to the process and may have given different weight to different factors. The LivePerson board of directors did not undertake to make any specific determination as to whether any factor, or any particular aspect of any factor, supported or did not support its ultimate determination. The LivePerson board of directors based its recommendation on the totality of the information presented.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LivePerson’s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contemplated by the Original Merger Agreement (the “original merger proposal”) was fair, from a financial point of view, to such holders (solely in their capacity as holders of LivePerson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Houlihan Lokey’s opinion was furnished for the use of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pursuant to the Original Merger Agreement and did not address any other aspect or implication of the original merger proposal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any security holder or any other person as to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how to act or vote with respect to any matter relating to the Mergers or otherwise. Houlihan Lokey’s opinion was not updated in connection with the amendment and restatement of the Original Merger Agreement and does not address any aspect or implication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Houlihan Lokey made such reviews, analyses and inquiries as it deemed necessary and appropriate under the circumstances. Among other things, Houlihan Lokey: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 draft, dated April 21, 2026, of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LivePerson and SoundHound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information relating to the historical, current and future operations, financial condition and prospects of LivePerson made available to Houlihan Lokey by LivePerson, including financial projections prepared by the management of LivePerson relating to LivePerson through the year ending December 31, 2029 (the “Projections”);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spoke with certain members of the management of LivePerson and certain of LivePerson’s representatives and advisors regarding the respective businesses, operations, financial condition and prospects of LivePerson and SoundHound, the original merger proposal and related matters;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and operating performance of LivePerson with that of other companies with publicly traded equity securities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current and historical market prices and trading volume for certain of LivePerson’s and SoundHound’s publicly traded equity securities and the current and historical market prices of the publicly traded securities of certain other companies that Houlihan Lokey deemed to be relevant;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studies, analyses and inquiries and considered such other information and factors as Houlihan Lokey deemed appropriate.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As the LivePerson board of directors was aware, Houlihan Lokey was not provided with access to the management of SoundHound. Houlihan Lokey, at the direction of the LivePerson board of directors, assumed that, were they to have had access to such management, any information received from such management would not have affected or changed its opinion. Houlihan Lokey also understood that financial projections relating to the future financial performance of SoundHound prepared by the management of SoundHound or the management of LivePerson were not available. Houlihan Lokey did not perform, rely upon or take into account any valuation of SoundHound or any assets or securities thereof for purposes of evaluating the Per Share Merger Consideration or otherwise. Accordingly, Houlihan Lokey assumed, at the direction of the LivePerson board of directors, that then-recent trading prices of SoundHound Common Stock provided a reasonable basis on which to evaluate SoundHound and the SoundHound Common Stock for purposes of its opinion. In addition, Houlihan Lokey assumed, at the direction of the LivePerson board of directors, that the SoundHound Common Stock and the Class B common stock, par value $0.0001 per share, of SoundHound have equivalent value per share, notwithstanding the different voting rights and other non-financial terms of such shares that could impact their value. Management of LivePerson advised Houlihan Lokey, and, at the direction of the LivePerson board of directors, Houlihan Lokey assumed, that the Projections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reasonably prepared in good faith on bases reflecting the best currently available estimates and judgments of such management as to the future financial results and condition of LivePerson and the other matters covered thereby. At the direction of the LivePerson board of directors, Houlihan Lokey assumed that the Projections provided a reasonable basis on which to evaluate LivePerson and the original merger proposal and Houlihan Lokey, at the direction of the LivePerson board of directors, used and relied upon the Projections for purposes of its analyses and opinion. Houlihan Lokey expressed no view or opinion with respect to the Projections or the assumptions on which they were based. In addition, management of LivePerson advised Houlihan Lokey that they expected the LivePerson Shortfall Cash would be $0, and Houlihan Lokey, at the direction of the LivePerson board of directors, assumed the LivePerson Shortfall Cash would be $0. Houlihan Lokey relied upon and assumed, without independent verification, that there had been no change in the businesses, assets, liabilities, financial condition, results of operations, cash flows or prospects of LivePerson or SoundHound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also relied upon, without independent verification, the assessments of the management of LivePerson as to the existing and future relationships, agreements and arrangements with, and LivePerson’s and SoundHound’s ability to attract and retain, key customers, distributors, vendors and other commercial relationships, and employees of LivePerson and SoundHound. Houlihan Lokey further relied upon, without independent verification, the assessments of the management of LivePerson as to LivePerson’s and SoundHound’s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direction of the LivePerson board of directors, that there would be no developments with respect to any such matters that in any respect would affect Houlihan Lokey’s analyses or its opinion. In addition, Houlihan Lokey relied upon, without independent verification, the assessment of the management of LivePerson as to the ability of the managements of LivePerson and SoundHound to integrate the businesses of LivePerson and SoundHound, and Houlihan Lokey assumed, at the direction of the LivePerson board of directors, that there would be no developments with respect to any such matters that would affect Houlihan Lokey’s analyses or its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relied upon and assumed, without independent verification, that (a) the representations and warranties of all parties to the Original Merger Agreement and all other related documents and instruments referred to therein were true and correct, (b) each party to the Original Merger Agreement and such other related documents and instruments would fully and timely perform all of the covenants and agreements required to be performed by such party, (c) all conditions to the consummation of the original merger proposal and the Notes Restructuring Transactions would be satisfied without waiver thereof, and (d) the original merger proposal and the Notes Restructuring Transactions would be consummated in a timely manner in accordance with the terms described in the Original Merger Agreement and the Notes Restructuring Agreement and such other related documents and instruments, without any amendments or modifications thereto. Houlihan Lokey relied upon and assumed, without independent verification, that (i) the original merger proposal and the Notes Restructuring Transactions would be consummated in a manner that complies in all respects with all applicable foreign, federal and state statutes, rules and regulations, and (ii) all governmental, regulatory, and other consents and approvals necessary for the consummation of the original merger proposal and the Notes Restructuring Transaction would be obtained and that no delay, limitations, restrictions or conditions would be imposed or amendments, modifications or waivers made that would result in the disposition of any assets of LivePerson or SoundHound, or otherwise have an effect on the original merger proposal, the Notes Restructuring Transactions, LivePerson or SoundHound or any expected benefits of the original merger proposal or the Notes Restructuring Transactions that would be material to Houlihan Lokey’s analyses or opinion. In addition, Houlihan Lokey relied upon and assumed, without independent verification, that the final form of the Original Merger Agreement would not differ in any respect from the draft of the Original Merger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in connection with its opinion, Houlihan Lokey was not requested to, and did not, make any physical inspection or independent appraisal or evaluation of any of the assets, properties or liabilities (fixed, contingent, derivative, off-balance-sheet or otherwise) of LivePerson, SoundHound or any other party, nor was Houlihan Lokey provided with any such appraisal or evaluation. Houlihan Lokey did not estimate, and expressed no opinion regarding,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liquidation value of any entity or business. Houlihan Lokey did not undertake any independent analysis of any potential or actual litigation, regulatory action, possible unasserted claims or other contingent liabilities, to which LivePerson or SoundHound was or may have been a party or was or may have been subject, or of any governmental investigation of any possible unasserted claims or other contingent liabilities to which LivePerson or SoundHound was or may have been a party or was or may have been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not requested to, and did not, (a) initiate or participate in any discussions or negotiations with, or solicit any indications of interest from, third parties with respect to the original merger proposal, the Notes Restructuring Transactions, any related transaction, the securities, assets, businesses or operations of LivePerson, SoundHound or any other party, or any alternatives to the original merger proposal, the Notes Restructuring Transactions or any related transaction, (b) negotiate the terms of the original merger proposal, the Notes Restructuring Transactions or any related transaction, or (c) advise the LivePerson board of directors, LivePerson or any other party with respect to alternatives to the original merger proposal, the Notes Restructuring Transactions or any related transaction. Houlihan Lokey’s opinion was necessarily based on financial, economic, market and other conditions as in effect on, and the information made available to Houlihan Lokey as of, the date of its opinion. As the LivePerson board of directors was aware, the credit, financial and stock markets were experiencing unusual volatility at the time Houlihan rendered its opinion, and Houlihan Lokey expressed no opinion or view as to any potential effects of such volatility on LivePerson, SoundHound, the Per Share Merger Consideration, the original merger proposal, the Notes Restructuring Transactions or any related transaction, and Houlihan Lokey’s opinion did not purport to address potential developments in any such markets. Houlihan Lokey did not undertake, and is under no obligation, to update, revise, reaffirm or withdraw its opinion, or otherwise comment on or consider events occurring or coming to its attention after the date of its opinion. Houlihan Lokey did not express any view or opinion as to what the value of SoundHound Common Stock actually would be when issued in the original merger proposal or the price or range of prices at which LivePerson Common Stock or SoundHound Common Stock may be purchased or sold, or otherwise be transferable, at any time. Houlihan Lokey assumed that the SoundHound Common Stock to be issued in the original merger proposal to holders of LivePerson Common Stock would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was furnished for the use of the LivePerson board of directors (in its capacity as such) in connection with its evaluation of the original merger proposal and may not be used for any other purpose without Houlihan Lokey’s prior written consent. Houlihan Lokey has consented to the inclusion of its opinion in this proxy statement/prospectus. Houlihan Lokey’s opinion was not intended to be, and does not constitute, a recommendation to the LivePerson board of directors, any security holder of LivePerson or any other party as to how to act or vote with respect to any matter relating to the Mergers,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was not requested to opine as to, and its opinion did not express an opinion as to or otherwise address, among other things: (i) the underlying business decision of the LivePerson board of directors, LivePerson, its security holders or any other party to proceed with or effect the original merger proposal, the Notes Restructuring Transactions or any related transaction, (ii) the terms of any arrangements, understandings, agreements or documents related to, or the form, structure or any other portion or aspect of, the original merger proposal or otherwise (other than the Per Share Merger Consideration to the extent expressly specified in its opinion), including, without limitation, the Notes Restructuring Transaction or any related transaction, (iii) the fairness of any portion or aspect of the original merger proposal to the holders of any class of securities, creditors or other constituencies of LivePerson, or to any other party (except if and only to the extent expressly set forth in the last sentence of Houlihan Lokey’s opinion), including without limitation, the holders of the Secured Notes, holders of the 2026 Notes and their respective affiliates, (iv) the relative merits of the original merger proposal, the Notes Restructuring Transactions or any related transaction as compared to any alternative business strategies or transactions that might have been available for LivePerson or any other party, (v) the fairness of any portion or aspect of the original merger proposal, the Notes Restructuring Transactions or any related transaction to any one class or group of LivePerson’s or any other party’s security holders or other constituents vis-à-vis any other class or group of LivePerson’s or such other party’s security holders or other constituents, including, without limitation, (a) the fairness of the Per Share Merger Consideration to be received by the holders of LivePerson Common Stock relative to the Notes Restructuring Consideration to be received by the LivePerson Noteholders or amounts received by holders of the 2026 Notes to repurchase such notes, or vice versa, (b) the allocation of the Per Share Merger Consideration, the Notes Restructuring Consideration or any amounts paid to repurchase the 2026 Notes as among the holders of LivePerson Common Stock, the LivePerson Noteholders and holders of the 2026 Notes, and (c) the allocation of the Per Share Merger Consideration among the holders of LivePerson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(vi) whether or not LivePerson, SoundHound, their respective security holders or any other party is receiving or paying reasonably equivalent value in the original merger proposal, the Notes Restructuring Transactions or any related transaction, (vii) the solvency, creditworthiness or fair value of LivePerson, SoundHound or any other participant in the original merger proposal, the Notes Restructuring Transactions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original merger proposal, the Notes Restructuring Transactions or any related transaction, any class of such persons or any other party, relative to the Per Share Merger Consideration or otherwise.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LivePerson board of directors, on the assessments by the LivePerson board of directors, LivePerson and their respective advisors, as to all legal, regulatory, environmental, accounting, insurance, tax and other similar matters with respect to LivePerson, SoundHound, the original merger proposal,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Houlihan Lokey considered general business, economic, industry and market conditions, financial and otherwise, and other matters as they existed on, and could be evaluated as of, the date of its opinion. No company used in Houlihan Lokey’s analyses for comparative purposes is identical to LivePerson and an evaluation of the results of those analyses is not entirely mathematical. The estimates contained in the Projections and the implied value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LivePerson and SoundHound. Much of the information used in, and accordingly the results of, Houlihan Lokey’s analyses are inherently subject to substantial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in respect of the original merger proposal was only one of many factors considered by the LivePerson board of directors in evaluating the Mergers. Neither Houlihan Lokey’s opinion nor its analyses were determinative of the Per Share Merger Consideration or of the views of the LivePerson board of directors or LivePerson management with respect to the original merger proposal or the Per Share Merger Consideration. Under the terms of its engagement by LivePerson, neither Houlihan Lokey’s opinion nor any other advice or services rendered by it in connection with the original merger proposal or otherwise, should be construed as creating, and Houlihan Lokey should not be deemed to have, any fiduciary duty to, or agency relationships with, the LivePerson board of directors, LivePerson, SoundHound, any security holder or creditor of LivePerson or SoundHound or any other person, regardless of any prior or ongoing advice or relationships. The type and amount of consideration payable in the Mergers were determined through negotiation between LivePerson and SoundHound, and the decision to enter into the Original Merger Agreement and the Merger Agreement was solely that of the LivePerson board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Material Financial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LivePerson board of directors,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analyses performed by Houlihan Lokey in connection with the preparation of its opinion and reviewed with the LivePerson board of directors on April 21, 2026.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indicates otherwise, share prices used in the selected companies’ analysis described below were based on the closing price of the common stock of the selected companies listed below as of April 20, 2026. The estimates of the future financial performance of LivePerson relied upon for the financial analyses described below were based on the Projections. The estimates of the future financial performance of the selected companies listed below were based on publicly available research analyst estimates for those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Companies Analysis.    </w:t>
      </w:r>
      <w:r>
        <w:rPr>
          <w:rFonts w:ascii="Times New Roman PS Std;serif" w:hAnsi="Times New Roman PS Std;serif"/>
          <w:b w:val="false"/>
          <w:i w:val="false"/>
          <w:caps w:val="false"/>
          <w:smallCaps w:val="false"/>
          <w:sz w:val="20"/>
        </w:rPr>
        <w:t>Houlihan Lokey reviewed certain financial data for selected companies with publicly traded equity securities that Houlihan Lokey deemed relevant.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data reviewed included: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2026 (“CY 2026E Revenue”);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2027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selected companies and resulting high, mean, median and low financial data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Bandwidth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Five9,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LINK Mobility Group Holding ASA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NICE Ltd.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RingCentral,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Sangoma Technologies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Sprinklr,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8x8, Inc.</w:t>
      </w:r>
    </w:p>
    <w:tbl>
      <w:tblPr>
        <w:tblW w:w="3835" w:type="dxa"/>
        <w:jc w:val="left"/>
        <w:tblInd w:w="0" w:type="dxa"/>
        <w:tblLayout w:type="fixed"/>
        <w:tblCellMar>
          <w:top w:w="0" w:type="dxa"/>
          <w:left w:w="0" w:type="dxa"/>
          <w:bottom w:w="0" w:type="dxa"/>
          <w:right w:w="0" w:type="dxa"/>
        </w:tblCellMar>
      </w:tblPr>
      <w:tblGrid>
        <w:gridCol w:w="916"/>
        <w:gridCol w:w="146"/>
        <w:gridCol w:w="1291"/>
        <w:gridCol w:w="146"/>
        <w:gridCol w:w="1336"/>
      </w:tblGrid>
      <w:tr>
        <w:trPr/>
        <w:tc>
          <w:tcPr>
            <w:tcW w:w="9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2026E </w:t>
              <w:br/>
              <w:t>Revenue</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2027E </w:t>
              <w:br/>
              <w:t>Revenue</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High</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Mean</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1.16x</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Median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Low</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0.74x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0.73x</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results of the selected companies’ analysis, Houlihan Lokey applied a selected multiple range of 0.75x to 1.25x to LivePerson’s CY 2026E Revenue and CY 2027E Revenue. The selected companies’ analysis indicated implied enterprise value reference ranges for LivePerson of $152.8 million to $254.6 million based on the selected range of multiples of LivePerson’s CY 2026E Revenue and $137.6 million to $229.3 million based on the selected range of multiples of LivePerson’s CY 2027E Revenue. After adding LivePerson’s cash and cash equivalents of $101.5 million and deducting LivePerson’s total debt of $367.8 million (each as provided by LivePerson management), the selected companies analysis indicated a de minimis implied total equity value for LivePerson based on the selected range of multiples of LivePerson’s CY 2026E Revenue and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Houlihan Lokey performed a discounted cash flow analysis of LivePerson based on the Projections. Houlihan Lokey applied a range of terminal value multiples of 1.25x to 1.75x to LivePerson’s estimated total revenue for the calendar year ending December 31, 2029, and discount rates ranging from 14.0% to 15.0%. The discounted cash flow analysis indicated an implied enterprise value reference range for LivePerson of $120.5 million to $188.1 million. After adding LivePerson’s cash and cash equivalents of $101.5 million and deducting LivePerson’s total debt of $367.8 million (each as provided by LivePerson management), the discounted cash flow analysis indicated a de minimis implied total equity value for LivePerson.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engaged by the LivePerson board of directors to render an opinion to the LivePerson board of directors as to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 pursuant to the Original Merger Agreement. The LivePerson board of directors engaged Houlihan Lokey based on Houlihan Lokey’s experience and reputation. Houlihan Lokey is regularly engaged to render financial opinions in connection with mergers, acquisitions, divestitures, leveraged buyouts, and for other purposes. Pursuant to its engagement by the LivePerson board of directors, Houlihan Lokey became entitled to a fee of $1,500,000, of which $150,000 became payable upon its retention by the LivePerson board, $150,000 became payable on April 6, 2026 upon notice from LivePerson that Houlihan Lokey should continue to proceed in its work, and the remainder became payable to Houlihan Lokey upon the delivery of its opinion. Houlihan Lokey will not become entitled to any additional or separate fees upon the consummation of the Mergers. LivePerson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LivePerson, SoundHound, or any other party that may be involved in the Mergers, the Notes Restructuring Transaction or any related transaction and their respective affiliates or security holders or any currency or commodity that may be involved in the Mergers,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LivePerson’s deleveraging transaction, which closed in September 2025, for which Houlihan Lokey and its affiliates received aggregate compensation of approximately $3,000,000. Houlihan Lokey and certain of its affiliates may provide investment banking, financial advisory and/or other financial or consulting services to LivePerson, SoundHound, other participants in the Mergers, the Notes Restructuring Transactions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LivePerson, SoundHound, or other participants in the Mergers, the Notes Restructuring Transactions or any related transaction or certain of their respective affiliates or security holders, for which advice and services Houlihan Lokey and its affiliates have received and may receive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Unaudited Forecasted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does not, as a matter of course, publicly disclose long term projections as to future performance, operating income or other financial results. However, LivePerson’s management prepared the Projections that were utilized in connection with the Mergers. The Projections are included in this proxy statement/prospectus only because (1) the Projections were made available to SoundHound in connection with SoundHound’s due diligence review of LivePerson; (2) the Projections were made available to the LivePerson board of directors in connection with its consideration of the Mergers; and (3) the Projections were also made available to Houlihan Lokey, LivePerson’s financial advisor, who was authorized and directed to use and rely upon the Projections for purposes of its analyses and opinion to the LivePerson board of directors, as more fully described below under the section titled “</w:t>
      </w:r>
      <w:r>
        <w:rPr>
          <w:rFonts w:ascii="Times New Roman PS Std;serif" w:hAnsi="Times New Roman PS Std;serif"/>
          <w:b w:val="false"/>
          <w:i/>
          <w:caps w:val="false"/>
          <w:smallCaps w:val="false"/>
          <w:sz w:val="20"/>
        </w:rPr>
        <w:t>The Mergers — Opinion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of LivePerson’s Financial Advisor” </w:t>
      </w:r>
      <w:r>
        <w:rPr>
          <w:rFonts w:ascii="Times New Roman PS Std;serif" w:hAnsi="Times New Roman PS Std;serif"/>
          <w:b w:val="false"/>
          <w:i w:val="false"/>
          <w:caps w:val="false"/>
          <w:smallCaps w:val="false"/>
          <w:sz w:val="20"/>
        </w:rPr>
        <w:t>beginning on page 61. The Projections are not included in this proxy statement/prospectus to influence any stockholder to make any investment decision with respect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are forward-looking statements. In the view of LivePerson’s management, the information in the Projections was prepared on a reasonable basis and reflected the best estimates and judgments available to LivePerson’s management at the time. However, this information should not be relied upon as being necessarily indicative of future results. The Projections are subject to many risks and uncertainties that could cause actual results to differ materially from the results forecasted in the Projections, including, but not limited to, the risk that the proposed transaction may not be completed on a timely basis, or at all, that LivePerson may be adversely affected by other economic, business and/or competitive factors, some of which may be outside of LivePerson’s control, and risks related to LivePerson’s financial condition, results of operations, business strategy, short-term and long-term business operations and objectives, and financial needs. Important factors that may affect actual results and cause the Projections to materially differ include, but are not limited to, the risks and uncertainties described herein and those described in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xml:space="preserve"> beginning on page 16 and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beginning on page 20 and in the section titled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in LivePerson’s annual report for the year ended December 31, 2025 and in LivePerson’s subsequent quarterly reports on Form 10-Q. There can be no assurance that the Projections will be realized or that actual results will not be significantly higher or lower than forecast. In addition, the Projections will be affected by LivePerson’s ability to achieve strategic goals, objectives and targets over the applicable periods. The Projections cannot, therefore, be considered a guarantee of future operating results, and this information should not be relied on as such. The Projections cover a number of years and such information by its nature becomes less reliable with each successive year. The Projections were prepared on a standalone basis without giving effect to the Mergers. Furthermore, the Projections do not take into account the effect of any failure of the Mergers to be completed and should not be viewed as accurate or continuing in that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were not prepared with a view toward public disclosure. The inclusion of the Projections should not be regarded as an indication that LivePerson, Houlihan Lokey, any of their respective affiliates, officers, directors, advisors or other representatives or anyone who received this information then considered, or now considers, them a reliable prediction of future events, and this information should not be relied upon as such. The inclusion of the Projections herein should not be deemed an admission or representation by LivePerson that it views such Projections as material information. The inclusion of the Projections in this proxy statement/prospectus should not be regarded as an indication that the Projections will necessarily be predictive of actual future events given the inherent risks and uncertainties associated with such long-range forecasts.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representation is made by LivePerson or any other person regarding the Projections or LivePerson’s ultimate performance compared to such information. The Projections should be evaluated in conjunction with the historical financial statements and other information about LivePerson contained in its public filings with the SEC. For additional information, see the section titled “</w:t>
      </w:r>
      <w:r>
        <w:rPr>
          <w:rFonts w:ascii="Times New Roman PS Std;serif" w:hAnsi="Times New Roman PS Std;serif"/>
          <w:b w:val="false"/>
          <w:i/>
          <w:caps w:val="false"/>
          <w:smallCaps w:val="false"/>
          <w:sz w:val="20"/>
        </w:rPr>
        <w:t>Where You Can Find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Information” </w:t>
      </w:r>
      <w:r>
        <w:rPr>
          <w:rFonts w:ascii="Times New Roman PS Std;serif" w:hAnsi="Times New Roman PS Std;serif"/>
          <w:b w:val="false"/>
          <w:i w:val="false"/>
          <w:caps w:val="false"/>
          <w:smallCaps w:val="false"/>
          <w:sz w:val="20"/>
        </w:rPr>
        <w:t xml:space="preserve">beginning on page 124. </w:t>
      </w:r>
      <w:r>
        <w:rPr>
          <w:rFonts w:ascii="Times New Roman PS Std;serif" w:hAnsi="Times New Roman PS Std;serif"/>
          <w:b/>
          <w:i w:val="false"/>
          <w:caps w:val="false"/>
          <w:smallCaps w:val="false"/>
          <w:sz w:val="20"/>
        </w:rPr>
        <w:t>In light of the foregoing factors, and the uncertainties inherent in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Projections, LivePerson stockholders are cautioned not to place undue, if any, reliance on the Projections.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included in this document have been prepared by, and are solely the responsibility of, LivePerson’s management. Neither LivePerson’s independent auditor, BDO USA, P.C., nor any other independent accountant has compiled, examined or performed any procedures with respect to the Projections, nor have they expressed any opinion or any other form of assurance on such information or its achievability, and assume no responsibility for, and disclaim any association with, the Projections. The report of BDO USA, P.C. incorporated by reference relates solely to LivePerson’s previously issued audited financial statements. It does not extend to the Projections and should not be read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Projections are “non-GAAP financial measures,” which are financial performance measures that are not calculated in accordance with the published guidelines of the SEC regarding projections or accounting principles generally accepted in the United States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to the most directly comparable GAAP measure were not provided to or relied upon by the board of directors of LivePerson or Houlihan Lokey.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Projections (in millions):</w:t>
      </w:r>
    </w:p>
    <w:tbl>
      <w:tblPr>
        <w:tblW w:w="9582" w:type="dxa"/>
        <w:jc w:val="left"/>
        <w:tblInd w:w="0" w:type="dxa"/>
        <w:tblLayout w:type="fixed"/>
        <w:tblCellMar>
          <w:top w:w="0" w:type="dxa"/>
          <w:left w:w="0" w:type="dxa"/>
          <w:bottom w:w="0" w:type="dxa"/>
          <w:right w:w="0" w:type="dxa"/>
        </w:tblCellMar>
      </w:tblPr>
      <w:tblGrid>
        <w:gridCol w:w="3601"/>
        <w:gridCol w:w="146"/>
        <w:gridCol w:w="301"/>
        <w:gridCol w:w="781"/>
        <w:gridCol w:w="256"/>
        <w:gridCol w:w="146"/>
        <w:gridCol w:w="301"/>
        <w:gridCol w:w="781"/>
        <w:gridCol w:w="256"/>
        <w:gridCol w:w="146"/>
        <w:gridCol w:w="301"/>
        <w:gridCol w:w="781"/>
        <w:gridCol w:w="256"/>
        <w:gridCol w:w="146"/>
        <w:gridCol w:w="301"/>
        <w:gridCol w:w="781"/>
        <w:gridCol w:w="301"/>
      </w:tblGrid>
      <w:tr>
        <w:trPr/>
        <w:tc>
          <w:tcPr>
            <w:tcW w:w="36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35"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Projected Calendar Year Ending December 31,</w:t>
            </w:r>
          </w:p>
        </w:tc>
      </w:tr>
      <w:tr>
        <w:trPr/>
        <w:tc>
          <w:tcPr>
            <w:tcW w:w="3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2026E(1)</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&amp; Marketing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&amp;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&amp;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EBITDA</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Earnings</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&amp;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(Inc.)/Dec. in Net Working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Free Cash Flows</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a nine-month period based on projected cash flows provided by LivePerson management for April 1, 2026 through December 31, 2026 and 75% of projected depreciation and amortization expense, stock-based compensation expense, and (increase)/decrease in net working capital, each as estimated by LivePerson management for the calendar year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Adjusted EBITDA, a non-GAAP financial measure, refers to earnings before interest, taxes, depreciation and amortization, and stock-based compensation expenses.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Adjusted EBIT, a non-GAAP financial measure, refers to earnings before interest and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Unlevered Earnings, a non-GAAP financial measure, is calculated as Adjusted EBIT, subtracting for the impact of expected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Unlevered Free Cash Flows, a non-GAAP financial measure, is calculated as Unlevered Earnings, adjusted to include the net impact of depreciation and amortization, capital expenditures and changes in net working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will occur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their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and beneficial owners of TASE Shares who elect to exercise appraisal rights in respect of such shares must not vote in favor of the merger agreement and must comply with the strict procedures set forth in Section 262, the full text of which appears in Annex C of this proxy statement/prospectus, or may be accessed without subscription or cost at the following publicly available website: https://delcode.delaware.gov/title8/c001/sc09/index.html#262,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prepare their respective financial statements in accordance with GAAP. The Mergers will be accounted for as a business combination using the acquisition method with SoundHound as the accounting acquirer in accordance with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 beginning on page 126 and related notes included in this proxy statement/prospectus are preliminary and subject to revision based on a final determination of fair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file lawsuits challenging the Mergers, which may name LivePerson, SoundHound, members of the boards of directors of LivePerson or SoundHound, or others as defendants.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SoundHound Common Stock; Delisting and Deregistration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Nasdaq and the TASE and deregistered under the Exchange Act, and LivePerson will no longer be required to file periodic reports with the SEC pursuant to the Exchange Act. Additionally, LivePerson provided notice to the TASE of its intention to delist LivePerson Common Stock on the TASE, effective on or about September 9, 2026, so if the Mergers are not consummated prior to such date, LivePerson Common Stock will be delisted from the TASE prior to closing of the Mergers.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NAMED EXECUTIVE OFFICER MERGER-RELATED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Dodd-Frank Wall Street Reform and Consumer Protection Act, enacted in July 2010, requires that LivePerson provide LivePerson stockholders with the opportunity to cast a nonbinding, advisory vote on the compensation that may become payable to LivePerson’s named executive officers in connection with the Mergers, as disclosed in this proxy statement/prospectus, including as described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beginning on page 99. This vote is commonly referred to as a “say on golden parachute” vote. This non-binding, advisory proposal relates only to contractual obligations of LivePerson that may result in a payment to LivePerson’s named executive officers in connection with, or following, the consummation of the Mergers, and does not relate to any new compensation or other arrangements between LivePerson’s named executive officers and SoundHound. As such, this proposal applies only in the event that the Merger Agreement is approved and the Mergers are effected. Further, this proposal does not relate to any compensation arrangements that are or may become applicable to LivePerson’s directors or executive officers who are not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Approval of this proposal is not a condition to completion of the Mergers, and this vote is separate from the other proposals at the special meeting. Accordingly, you may vote to approve such other proposals to be considered and vote not to approve the advisory (non-binding) proposal to approve certain compensation that may be paid or become payable to the named executive officers of LivePerson in connection with the Mergers, and vice versa.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LivePerson is contractually obligated to pay the compensation, such compensation will be payable, subject only to the conditions applicable thereto, regardless of the outcome of the advisory vote. These payments are a part of LivePerson’s comprehensive executive compensation program and are intended to align LivePerson’s named executive officers’ interests with yours as stockholders by ensuring their continued retention and commitment during critical events such as the Mergers, which may create significant personal uncertainty for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recommends that LivePerson’s stockholders vote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following resolution, on a non-binding, advisory basis:</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compensation that may be paid or become payable to LivePerson’s named executive officers, in connection with the mergers, and the agreements or understandings pursuant to which such compensation may be paid or become payable, in each case as disclosed pursuant to Item 402(t) of Regulation S-K in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are hereby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the Amended and Restated Merger Agreement, dated July 2, 2026, which amended and restated in its entirety the Original Merger Agreement. The description of the Merger Agreement in this section and elsewhere in this proxy statement/prospectus is qualified in its entirety by reference to the complete text of the Merger Agreement, a copy of which is attached as Annex A to this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are included solely to provide you with information regarding the terms of the Merger Agreement.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Merger Agreement. The representations, warranties and covenants made in the Merger Agreement by SoundHound, LivePerson, Merger Sub I and Merger Sub II were made solely for the purposes of the Merger Agreement and as of specific dates and were qualified and subject to important limitations agreed to by SoundHound, LivePerson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disclosure schedule that LivePerson delivered to SoundHound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April 21, 2026 (the date of the Original Merger Agreement, which is the date as of which certain representations and warranties in the Merger Agreement are deemed to have been made) or July 2, 2026 (the date of the Merger Agreement, the date on which certain which certain representations and warranties in the Merger Agreement are deemed to have been made). You should not rely on the Merger Agreement representations, warranties, covenants or any descriptions thereof as characterizations of the actual state of facts of SoundHound, LivePerson, Merger Sub I and Merger Sub II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First Effective Time, Merger Sub I will merge with and into LivePerson, the separate corporate existence of Merger Sub I will cease and LivePerson will continue as the surviving corporation in the First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the First Merger, will have the effects set forth in the Merger Agreement and the applicable provisions of the DGCL and all of the property, rights, privileges, immunities, powers and franchises of each of LivePerson and Merger Sub I will vest in the surviving corporation, and all of the debts, liabilities and duties of each of LivePerson and Merger Sub will become the debts, liabilities and duties of the first surviving corporation.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Second Effective Time, Merger Sub II will merge with and into the first surviving corporation, the separate corporate existence of Merger Sub II will cease and the first surviving corporation will continue as the surviving corporation in the Second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Second Effective Time, the Second Merger will have the effects set forth in the Merger Agreement and the applicable provisions of the DGCL and all of the property, rights, privileges, immunities, powers and franchises of each of the first surviving corporation and Merger Sub II will vest in the surviving corporation, and all of the debts, liabilities and duties of each of the first surviving corporation and Merger Sub II will become the debts, liabilities and duties of the surviving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shall take place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on Capital Stock;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by virtue of the First Merger and without any action on the part of SoundHound, Merger Sub I, LivePerson, or any holder of any securities of SoundHound, Merger Sub 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 issued and outstanding immediately prior to the First Effective Time will be converted into a number of shares of common stock of the first surviving corporation equal to the number of shares of LivePerson Common Stock cancelled pursuant to the following bullet (such shares, the “Merger Sub I Merger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LivePerson Common Stock issued and outstanding immediately prior to the First Effective Time (other than Cancelled LivePerson Shares and TASE Shares) will be automatically converted into the right to receive the Per Share Merger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such shares of LivePerson Common Stock (other than Cancelled LivePerson Shares and TASE Shares), when so converted in accordance with the terms of the Merger Agreement, will cease to be outstanding and will automatically be cancelled and cease to exist and, each LivePerson stockholder holding such shares of LivePerson Common Stock will cease to have any rights with respect thereto, except the right to receive the Per Share Merger Consideration (together with any dividends or other distributions paid with respect to such shares and any cash to be paid in lieu of any fractional shares of SoundHound Common Stock) in accordance with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Cancelled LivePerson Shares will automatically be cancelled and cease to exist, and no consideration will be delivered in exchange for such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TASE Shares issued and outstanding immediately prior to the First Effective Time will remain issued and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warrant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Second Effective Time, by virtue of the Second Merger and without any action on the part of SoundHound, Merger Sub II, LivePerson, or any holder of any securities of SoundHound, Merger Sub II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TASE Share issued and outstanding immediately prior to the Second Effective Time (excluding Dissenting Shares) will be automatically converted into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Merger Sub I Merger Share will automatically be cancelled for no consideration.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II issued and outstanding immediately prior to the Second Effective Time will be converted into one fully paid and nonassessable share of common stock of the surviving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prior to the First Effective Time or the Second Effective Time, SoundHound or LivePerson should split, subdivide, consolidate, combine or otherwise reclassify the SoundHound Common Stock or LivePerson Common Stock, as applicable, or pay a stock dividend or other stock distribution in SoundHound Common Stock or LivePerson Common Stock, as applicable, or otherwise change SoundHound Common Stock or LivePerson Common Stock, as applicable, into any other securities, or make any other such stock dividend or stock distribution, then any number or amount contained in the Merger Agreement which is based upon the price or the number or fraction of shares of SoundHound Common Stock or LivePerson Common Stock, as applicable, will be appropriately adjusted to proportionately reflect such split, combination, stock dividend or other stock distribution or 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LivePerson Equity Awards in the First Merger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In-the-Money Option held by any continuing service provider, whether or not then vested or exercisable, will be assumed by SoundHound and converted into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will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LivePerson Common Stock for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First Effective Time, SoundHound has agreed to designate a reputable bank or trust company (reasonably acceptable to LivePerson) to act as the exchange agent for purposes of effecting the issuances and payments contemplated by the Merger Agreement. At or prior to the First Effective Time, SoundHound has agreed to deposit with the exchange agent (I) (x) an amount of uncertificated, book-entry shares representing the number of shares of SoundHound Common Stock sufficient to effect the issuances contemplated by the Per Share Merger Consideration and (y) an amount of cash sufficient to deliver payments in lieu of fractional shares and (II) an amount of cash sufficient to deliver the Per Share Cash Merger Consideration. Following the First Effective Time, SoundHound has agreed to pay, or cause to be paid to the exchange agent, from time to time as needed, cash sufficient to pay any dividends and other distributions on the shares of SoundHound Common Stock issuable as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has agreed to cause the exchange agent to mail to each person that was a holder of record of shares of LivePerson Common Stock certificates immediately prior to the First Effective Time (A) a letter of transmittal and (B) instructions for effecting the surrender of LivePerson Common Stock certificates in exchange for the Per Share Merger Consideration. Upon surrender of any LivePerson Common Stock certificates to the exchange agent, together with a letter of transmittal, duly executed and in proper form, the holder of such LivePerson Common Stock certificates will be entitled to receive in exchange therefor (i) credit in the stock ledger and other appropriate books and records of SoundHound for the number of shares of SoundHound Common Stock into which such shares have been converted pursuant to the Merger Agreement and (ii) any dividends or other distributions or any cash payment that such holder has the right to receive pursuant to the Merger Agreement, and any such LivePerson Common Stock certificates so surrendered will be cancelled.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Non-DTC Book-Entry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will cause the exchange agent to mail to each person that was, immediately prior to the First Effective Time, a holder of record of LivePerson book-entry shares, but not through The Depository Trust Company, (I) a letter of transmittal and (II) instructions for returning such letter of transmittal in exchange for the Per Share Merger Consideration or the Per Share Cash Merger Consideration, as applicable. Upon delivery of such duly executed letter of transmittal, each holder of record of LivePerson book-entry shares not held through The Depository Trust Company shall be entitled to receive, and SoundHound will cause the exchange agent to issue and pay as promptly as practicable after such delivery, (A) credit in the stock ledger and other appropriate books and records of SoundHound for the number of shares of SoundHound Common Stock into which such LivePerson book-entry shares have been converted, (B) any dividends or other distributions or any cash payment that such holder has the right to receive pursuant to the Merger Agreement and (C) a cash payment for the Per Share Cash Merger Consideration into which such LivePerson book-entry shares have been converted.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val="false"/>
          <w:i/>
          <w:caps w:val="false"/>
          <w:smallCaps w:val="false"/>
          <w:sz w:val="20"/>
        </w:rPr>
        <w:t>DTC Book-Entry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caps w:val="false"/>
          <w:smallCaps w:val="false"/>
          <w:sz w:val="20"/>
        </w:rPr>
        <w:t>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holder of record of one or more LivePerson book-entry shares held through The Depository Trust Company whose shares were converted into the right to receive the Per Share Merger Consideration or the Per Share Cash Merger Consideration will automatically, upon the First Effective Time (in the case of such shares other than TASE Shares)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Effective Time (in the case of such shares that are TASE Shares), be entitled to receive, and SoundHound will cause the exchange agent to issue and pay as promptly as practicable after the First Effective Time (in the case of such shares other than TASE Shares) or the Second Effective Time (in the case of such shares that are TASE Shares), (i) in the case of such shares other than TASE Shares,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 and (ii) in the case of such shares that are TASE Shares, a cash payment to the Depository Trust Company of the Per Share Cash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upon due surrender of shares of LivePerson Common Stock eligible to receive the Per Share Merger Consideration or the Per Share Cash Merger Consideration pursuant to the Merger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issued upon conversion of shares of LivePerson Common Stock pursuant to and in accordance with the Merger Agreement (together with dividends or other distributions or any cash payment pursuant to the Merger Agreement) or the payment of the Per Share Cash Merger Consideration in respect of TASE Shares, as applicable, will be deemed to have been delivered or paid in full satisfaction of all rights pertaining to such LivePerson Common Stock. From and after (i) the First Effective Time, (x) LivePerson stockholders (other than holder of TASE Shares) will cease to have any rights as LivePerson stockholders other than the right to receive the Per Share Merger Consideration (together with any dividends or other distributions or any cash payment that the holder has the right to receive pursuant to the Merger Agreement) and (y) the stock transfer books of LivePerson will be closed and there will be no further registration of transfers of shares of LivePerson Common Stock thereafter on the records of LivePerson and (ii) the Second Effective Time, all holders of TASE Shares (other than Dissenting Shares) will cease to have any rights as LivePerson stockholders other than the right to receive the Per Share Cash Merger Consideration. If, (i) after the First Effective Time, LivePerson Common Stock certificates (other than TASE Shares) are presented to SoundHound, the first surviving corporation or the surviving corporation for any reason, such LivePerson Common Stock certificates will be cancelled and exchanged for the Per Share Merger Consideration (together with any dividends or other distributions or any cash payment that the holder has the right to receive pursuant to the Merger Agreement) or (ii) after the Second Effective Time, any LivePerson Common Stock certificates that are TASE Shares are presented to SoundHound or the surviving corporation for any reason, such LivePerson Common Stock certificates will be cancelled and exchanged for the Per Share Cash Merger Consideration, in each case, subject to abandoned property, escheat or similar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Fund; No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shares or funds (including any interest received with respect thereto) made available to the exchange agent that remains unclaimed by the LivePerson stockholders on the first anniversary of the Second Effective Time will be returned to SoundHound upon demand, and any LivePerson stockholder shall thereafter look only to SoundHound (subject to abandoned property, escheat or other similar laws) for delivery of the Per Share Merger Consideration (together with any dividends or other distributions or any cash payment that such holder has the right to receive pursuant to the Merger Agreement) or the Per Share Cash Merger Consideration. Any shares or funds remaining unclaimed by the LivePerson stockholders immediately prior to such time as such amounts would otherwise escheat to, or become property of, any governmental entity will, to the extent permitted by applicable law, become the property of SoundHound, free and clear of any claim or interest of any person previously entitled thereto. None of SoundHound, LivePerson, the surviving corporation, the exchange agent or their respective affiliates will be liable to any LivePerson stockholder for any amount of the Per Share Merger Consideration (or any dividends or other distributions or any cash payable in connection therewith) or Per Share Cash Merger Consideration, as applicable, properly delivered to a public official pursuant to any applicable abandoned property, escheat, or similar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Lost, Stolen, or Destroyed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any LivePerson Common Stock certificates have been lost, stolen or destroyed, upon the making of an affidavit of that fact by the holder thereof, the exchange agent will issue in exchange for such lost, stolen or destroyed LivePerson Common Stock certificates the Per Share Merger Consideration (together with dividends or other distributions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payment that the holder has the right to receive pursuant to the Merger Agreement) or Per Share Cash Merger Consideration, as applicable. SoundHound may, in its reasonable discretion and as a condition precedent to such payment, require the owner of such lost, stolen or destroyed LivePerson Common Stock certificates to deliver a bond in a reasonable sum as it may reasonably direct as indemnity against any claim that may be made against SoundHound, the first surviving corporation, the surviving corporation or the exchange agent with respect to the LivePerson Common Stock certificates alleged to have been lost, stolen or destroyed.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Fractional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Merger Sub I, Merger Sub II, LivePerson, the first surviving corporation, the surviving corporation, the exchange agent, the trustee appointed by LivePerson in accordance with Israeli tax law, and any member of the TASE are entitled to deduct and withhold from any amounts otherwise payable pursuant to the Merger Agreement such amounts as are required to be deducted and withheld with respect to the making of such payment under the Code or any provision of applicable law. To the extent that any withholding obligation cannot be satisfied by the retention of cash amounts otherwise payable, the relevant withholding party may sell or instruct to sell, on behalf of the applicable recipient, such portion of the shares of SoundHound Common Stock otherwise deliverable to such recipient as is necessary to generate proceeds sufficient to satisfy the applicable withholding obligation. Withholding with respect to amounts payable to beneficial owners of TASE Shares is expected to be administered through the applicable TASE member or other applicable Israeli intermediaries at the beneficial-owner level, to the extent required under applicable law, any applicable tax ruling and such intermediaries’ standard procedures. The parties have agreed to reasonably cooperate with each other in good faith to minimize any such deduction or withholding, including, to the extent feasible and practicable, by seeking appropriate tax rulings. To the extent such amounts are so deducted and withheld, such amounts will be remitted to the applicable governmental authority as required by applicable law and treated for all purposes of the Merger Agreement as having been paid to the person in respect of which such deduction and withholding was made.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by the parties that are subject, in some cases, to specified exceptions and qualifications contained in the Merger Agreement, as set forth in the disclosure schedule delivered by LivePerson to SoundHound concurrent with the execution of the Original Merger Agreement, or as otherwise disclosed or identified in the reports, schedules, forms, statements, registration statements, prospectuses and other documents required to be filed or furnished by LivePerson or SoundHound, as applicable, with the SEC on or after January 1, 2024 and at least two business days prior to April 21, 2026. The representations and warranties of LivePerson relate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 and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and other employment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and title to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anti-corruption;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trade;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opinion of financial advisor;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contains customary representations and warranties of SoundHound, Merger Sub I and Merger Sub II, including with respect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Merger Sub I and Merger Sub II;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valid issuance;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Material Adverse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“material adverse effect” means, when used with respect to SoundHound or LivePerson, as applicable, any change, event, occurrence, condition or development that, individually or in the aggregate, has or would reasonably be expected to have a material adverse effect on the business, condition (financial or otherwise), assets, liabilities, operations or results of operations of such party and its subsidiaries, taken as a whole; provided, however, that any such effects arising out of, or resulting from the following will not constitute a material adverse effect, and will not otherwise be taken into account in determining whether a material adverse effect has occurred or would reasonably be expected to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interpretation or enforcement thereof) or changes in GAAP (or the interpretation or enforcement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or regulatory conditions, or changes in securities, credit or other financial markets, including interest rates or exchange rates in the United States or globally, or changes in conditions in the industries (including seasonal fluctuations) in which such party or its subsidiaries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actions or omissions expressly required of such party by the terms of the Original Merger Agreement or the Merger Agreement or taken or not taken with the prior written consent of the other party (other than such party’s obligations to operate its business in the ordinary course);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execution, announcement, pendency or consummation of the Merger Agreement and the transactions contemplated thereby, including any litigation arising out of or relating to the Original Merger Agreement, the Merger Agreement or the Mergers, the identity of the other party, departures of officers or employees, changes in relationships with suppliers or customers or other business relations, in each case solely to the extent resulting from the execution, announcement, pendency or consummation of the Original Merger Agreement, the Merger Agreement and the transactions contemplated thereby (other than with respect to any breach or inaccuracy of a representation or warranty in the Merger Agreement that is intended to address the consequences of the execution, announcement, existence, pendency or consummation of the Original Merger Agreement, the Merger Agreement or the transactions contemplated thereby or to address the consequences of litigation of, or the compliance with or performance under, the Original Merger Agreement or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trading price or trading volume of such party’s common stock (provided, that the underlying cause of such change may be taken into account in determining whether a material adverse effect has occurred);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such party or any of its subsidiaries to meet any internal or published revenue, earnings or other financial projections, estimates, expectations or forecasts for any period (provided, that the underlying cause of such failure may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such effects directly or indirectly resulting from, arising out of, attributable to or related to the matters described in the first three bullets above disproportionately and adversely impact such party or its subsidiaries, taken as a whole, relative to other companies operating in the same industries, then such effects will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“LivePerson material adverse effect” means a material adverse effect with respect to LivePerson, and a “SoundHound material adverse effect” means a material adverse effect with respect to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Interim Operations of LivePerson Pending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and will cause each of its subsidiaries to, use its reasonable best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operations in all material respects in the ordinary course consistent with past practice (including with respect to its customary cash management policies and the maintenance of unrestricted cash and cash equivalents on its balance sheet at levels consistent with those maintained in the ordinary course of business consistent with past practice);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preserve substantially intact its present business organization and comply with all applicable laws in all material respects.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LivePerson has further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not, and will not permit its subsidiaries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sell, pledge, dispose of, grant, transfer or encumber any shares of capital stock of, or other equity interests in, LivePerson or any of its subsidiaries,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LivePerson Common Stock upon the exercise, vesting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as applicable, of LivePerson equity awards and LivePerson warrants outstanding as of the date of the Original Merger Agreement in accordance with their terms or upon the exercise of purchase rights under the LivePerson employee stock purchase plan (subject to the terms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pledge, dispose of, transfer, lease, license, abandon, guarantee or encumber any material property or tangible assets of LivePerson or any of its subsidiaries (other than transactions between LivePerson and any wholly owned subsidiary of LivePerson or among wholly owned subsidiaries of LivePerson), except (i) pursuant to contracts in effect prior to April 21, 2026 (as such contracts may be modified, extended or amended in the ordinary course of business) or (ii) certain permitted liens defined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(whether payable in cash, stock, property or a combination thereof) with respect to any of its capital stock or other equity interests (other than dividends paid by a wholly owned subsidiary of LivePerson to LivePerson or another wholly owned subsidiary of LivePerson),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LivePerson equity awards in accordance with the terms of such awards as in effect on the date of the Original Merger Agreement or (ii) upon the forfeiture of outstanding LivePerson equity awards pursuant to their terms upon the termination of the employment of the holder thereof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LivePerson or any of its subsidiaries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the Merger Agreement on or before the outside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LivePerson and its wholly owned subsidiaries or solely among wholly owned subsidiaries of LivePerson, or (ii) repay any indebtedness, except (A) in accordance with the repayment provisions of the Merger Agreement relating to the 2026 Notes and the Note Restructuring Transactions or (B) payment of interest due and payable pursuant to the terms of the First Lien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or capital contributions to, or investments in, any other person (other than any wholly owned subsidiary of LivePerson), except for (i) loans solely among LivePerson and its wholly owned subsidiaries or solely among LivePerson’s wholly owned subsidiaries or (ii) advances for reimbursable employee expenses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enter into any contract that would, if entered into prior to the date of the Original Merger Agreement, be a material contract, except with respect to certain specified categories of material contracts that may be entered, subject to certain conditions, in the ordinary course of business consistent with past practice or (ii) (A) materially modify, materially amend, extend (except in the case of a renewal of a material contract in the ordinary course of business consistent with past practice, provided that the terms other than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expiration date of such contract have not changed in a manner adverse to LivePerson) or affirmatively terminate any material contract or (B) waive, release or assign any rights or claims thereunder, in the case of this clause (B)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otherwise required by applicable law, the terms of the Merger Agreement or an existing LivePerson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LivePerson or any of its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LivePerson benefit plan (or any other benefit or compensation plan, policy, program, agreement or arrangement that would be a LivePerson benefit plan if in effect on April 21, 2026) or (vii) accelerate the vesting, funding or time of payment of any compensation or other benefit (including any LivePerson equity award) with respect to any current or former individual service provider;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modify (in any manner adverse to LivePerson and its subsidiaries), or release any material noncompetition, non-solicitation, nondisclosure, noninterference, non-disparagement or other similar material restrictive covenant obligation of any current or former employee, officer, director or individual independent contractor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or announce any “mass layoff” or “plant closing,” in each case as defined in an applicable WARN Act, or take any other action that would reasonably be expected to trigger an applicable WARN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LivePerson under Item 404 of Regulation S-K of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compromise, settle or agree to settle any legal proceeding other than compromises, settlements or agreements that involve only the payment of monetary damages by LivePerson or any of its subsidiaries not in excess of $100,000, in any case without the imposition of equitable relief on, or the admission of a violation of law by,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Merger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sell, assign, pledge or otherwise encumber, transfer, license, abandon, place in the public domain, permit to lapse or otherwise dispose of any owned intellectual property, except for non-exclusive licenses granted in the ordinary course of business consistent with past practice and otherwise except the abandonment or lapse of registered intellectual property in LivePerson’s reasonable business judgment, or (ii) compromise, settle or agree to settle, or consent to judgment in, any one or more actions (except in the ordinary course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business consistent with past practice) concerning any owned intellectual property in a manner that materially and adversely affects LivePerson’s rights in or to any material owned intellectual property, or (iii) license or disclose any source code for the owned intellectual property to any person who is not an employee or consultant acting on behalf of LivePerson or any of its subsidiaries pursuant to customary confidentiality protections;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any material refunds, credits, rebates or other allowances by LivePerson to any end user, customer, reseller or distributor, in each case, other than in the ordinary course of business consistent with past practice, or change in any material respect the manner in which LivePerson or any of its subsidiaries extends discounts, credits or warranties to customers or otherwise deals with customers or suppliers;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materially amend or terminate any transaction with any related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use commercially reasonable efforts to maintain LivePerson’s insurance policies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acquire any real property or enter into any lease or sublease of real property (whether as a lessor, sublessor, lessee or sublessee), (ii) materially modify or amend or exercise any right to renew 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LivePerson, or any interest therein or part thereof, (iv) commit any waste or nuisance on any such property or (v) make any material changes in the construction or condition of any such property, in the case of each of clauses (ii) through (iv),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convene any special meeting (or any adjournment or postponement thereof) of LivePerson’s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or modify or waive in any material respect any right under any material permit;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capital expenditure or expenditures, or enter into any agreement or arrangement providing for, or otherwise commit to providing, any capital expenditure or expenditures, except (i) in accordance with LivePerson’s capital budget provided to SoundHound prior to the date of the Original Merger Agreement or (ii) with respect to capital expenditures or expenditures in respect of capitalized software equal to or less than $250,000 in the aggregate;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or delay the collection of any accounts receivable or the payment of any accounts payable or the accrual of deferred revenue or otherwise alter the management of working capital or the cash or cash equivalents of LivePerson, except, in each case, in the ordinary course of business consistent with past practice, including with respect to monthly fluctuations in working capital;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authorize or enter into any contract to do any of the foregoing or otherwise make any commitment to do any of the foregoing.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April 21, 2026, in the event LivePerson receives any (i) Acquisition Proposal (or any inquiry, offer or request for discussions or negotiations that could reasonably be expected to lead to an Acquisition Proposal), (ii) request for non-public information relating to LivePerson or its subsidiaries by any person who has made or would reasonably be expected to make an Acquisition Proposal, or (iii) inquiry or request for discussions or negotiations regarding any Acquisition Proposal then, in each case, LivePerson has agreed to promptly (and in any event within 24 hours) notify SoundHound, either orally or in writing, of the receipt of such proposal, inquiry or request and advise SoundHound if LivePerson determines to begin providing information in connection with, or to engage in discussions or negotiations concerning, an Acquisition Proposal in accordance with the terms of the Merger Agreement. Such notice to SoundHound will include (a) the identity of the person making the Acquisition Proposal, inquiry, offer or request, (b) if in writing, a copy of such Acquisition Proposal, inquiry, offer or request (and, if available, drafts of any related contracts) and copies of any financing commitments (but excluding any customarily redacted fee letters) received by LivePerson in connection with such proposal, inquiry, offer, or request and (c) if made orally, a reasonably detailed summary of the material terms and conditions of such Acquisition Proposal. From and after April 21, 2026 until the earlier of the Second Effective Time or the termination of the Merger Agreement in accordance with its terms, LivePerson has agreed to (I) keep SoundHound reasonably informed of the status and any material changes to the material terms and conditions of any such Acquisition Proposal (including by providing unredacted copies of all amendments and proposed amendments) and (II) notify SoundHound promptly (and, in any event, within 24 hours) after it first enters into discussions or negotiations concerning such Acquisition Proposal or provides non-public information or data to any person in connection therewith.</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LivePerson may furnish 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meeting of LivePerson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actions described in the seven bullets directly above is referred to herein as a “recommendation change.”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rPr>
        <w:t>The Merger 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Permitted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or duly authorized committee thereof may disclose to the LivePerson stockholders a position contemplated by Rule 14d-9 or Rule 14e-2(a) promulgated under the Exchange Act or make any other disclosure to the LivePerson stockholders that is required to comply with applicable law with regard to an Acquisition Proposal (and the parties agree that the issuance by LivePerson or the LivePerson board of directors of a “stop, look and listen” communication to the LivePerson stockholders pursuant to Rule 14d-9(f) promulgated under the Exchange Act will not constitute a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Intervening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above, an “Intervening Event” shall occur when any change, event, occurrence, condition or development that occurs or arises after April 21, 2026, that is material to LivePerson and its subsidiaries (taken as a whole) that (a) was not known or reasonably foreseeable to LivePerson or the LivePerson board of directors as of or prior to April 21, 2026 and becomes known to the LivePerson board of directors following April 21, 2026 and (b) does not involve or relate to an Acquisition Proposal. Notwithstanding the foregoing, the following events will not constitute an “Intervening Event”: (i) changes in the price or trading volume of LivePerson Common Stock or SoundHound Common Stock (but the facts or occurrences giving rise to or contributing to such changes may be taken into account in determining whether there has been an Intervening Event) or changes in the credit rating of LivePerson or SoundHound, (ii) LivePerson or SoundHound meeting, failing to meet, or exceeding any internal or published projections, forecasts, estimates or predictions in respect of revenues, earnings or other financial or operating metrics for any period (but the facts or occurrences giving rise to or contributing to such circumstances may be taken into account in determining whether there has been an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Acquisition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“Acquisition Proposal” means any offer, proposal or indication of interest from any person or group of persons as defined in Section 13(d)(3) of the Exchange Act (other than SoundHound and its subsidiaries) at any time relating to any transaction or series of related transactions (other than the Mergers) involving: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or purchase by any person, directly or indirectly, of more than 15% of any class of outstanding voting or equity securities of LivePerson (whether by voting power or number of shares), or any tender offer (including a self-tender offer) or exchange offer that, if consummated, would result in any person beneficially owning more than 15% of any class of outstanding voting or equity securities of LivePerson (whether by voting power or number of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merger, consolidation, share exchange, business combination, joint venture, recapitalization, reorganization or other similar transaction involving LivePerson and a person pursuant to which the stockholders of LivePerson immediately preceding such transaction hold less than 85% of the equity interests in the surviving, resulting or ultimate parent entity of such transaction (whether by voting power or number of shares),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sale, lease, exchange, transfer or other disposition to a person of more than 15% of the consolidated assets of LivePerson and its subsidiaries (measured by the fair market value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Superior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“Superior Proposal” means a bona fide, written Acquisition Proposal (except the references therein to “15%” shall be replaced by “80%” and the references to “85%” shall be replaced by “25%”) made by a third party which the LivePerson board of directors determines in good faith (after consultation with its outside counsel and, with respect to financial matters, its financial advisors), taking into account all relevant factors (including all the terms and conditions of such proposal or offer (including the transaction consideration, conditionality, timing, certainty of financing or regulatory approvals and likelihood of consummation)) and the Merger Agreement (and any changes thereto proposed by SoundHound pursuant to the relevant provisions in the Merger Agreement)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accepted, is reasonably likely to be consummated on the terms proposed, taking into account any required redemption, exchange, repayment or restructuring of LivePerson’s outstanding notes required in connection with such Acquisition Proposal in accordance with the indentures and other agreements governing such notes (and whether the holders of such notes would be reasonably expected to consent to such Acquisition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more favorable to LivePerson’s stockholders from a financial point of view than the Mergers.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Preparation of Proxy Statement/Prospectus and Registration Statement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use its reasonable best efforts to cause the registration statement, of which this proxy statement/prospectus forms a part, to become effective under the Securities Act as soon after such filing as practicable and to ensure that this proxy statement/prospectus and the registration statement, of which this proxy statement/prospectus forms a part, complies in all material respects with the applicable provisions of the Securities Act and the Exchange Act, as applicable. SoundHound has agreed to use its reasonable best efforts to keep the registration statement, of which this proxy statement/prospectus forms a part, effective for as long as is necessary to consummate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not prohibited by law, each of SoundHound and LivePerson has agreed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this proxy statement/prospectus and the registration statement, of which this proxy statement/prospectus forms a part, and any other statement, filing, notice or application made by or on behalf of SoundHound, LivePerson, or their respective subsidiaries to the SEC, Nasdaq, or pursuant to any state securities or “blue sky” laws, in connection with the Mergers, the issuance of SoundHound Common Stock in connection with the transactions contemplated thereby and any other transactions contemplated thereby.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have agreed to promptly provide the other party with copies of any written comments received from the SEC with respect to this proxy statement/prospectus or the registration statement, of which this proxy statement/prospectus forms a part, and to promptly advise the other party of any oral comments received by the SEC. Prior to filing the registration statement (or any amendment or supplement thereto), of which this proxy statement/prospectus forms a part, or the mailing this proxy statement/prospectus (or any amendment or supplement thereto) or responding to any comments of the SEC with respect thereto, SoundHound and LivePerson have agreed to cooperate and provide the other party a reasonable opportunity to review and comment on such document or response in advance (including the proposed final version of such document or response).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advise the other, promptly after it receives notice thereof, of (a) the time when the registration statement, of which this proxy statement/prospectus forms a part, has become effective or any supplement or amendment has been filed, (b) the issuance of any stop order or (c) the suspension of the qualification of the SoundHound Common Stock issuable in connection with the First Merger for offering or sale in any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First Effective Time, any information relating to SoundHound or LivePerson, or any of their respective affiliates, directors or officers, should be discovered by SoundHound or LivePerson which should be set forth in an amendment or supplement to either the registration statement, of which this proxy statement/prospectus forms a part, or this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party and an appropriate amendment or supplement describing such information shall be promptly filed with the SEC and, to the extent required by law, disseminated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notify LivePerson stockholders two business days prior to the LivePerson special meeting of the aggregate number of TASE Shares outstanding as of the most recent practicable determination date (which date will be specified in such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from April 21, 2026, to the earlier of the Second Effective Time and the termination of the Merger Agreement in accordance with its terms, LivePerson and its subsidiaries have agreed to: (i) provide SoundHound’s representatives with reasonable access during normal business hours, in such a manner as not to interfere unreasonably with the operation of any business conducted by LivePerson or any of its subsidiaries and upon reasonable prior written notice to LivePerson, to the officers, employees, properties, offices and other facilities of LivePerson and its subsidiaries and to the books and records thereof, and (ii) furnish during normal business hours upon prior notice such information concerning the business, properties, contracts, assets and liabilities of LivePerson and its subsidiaries as SoundHound or its representatives may reasonably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entered into a confidentiality agreement dated as of December 18, 2025, and a clean team agreement, dated March 19, 2026, each of which applies to all information furnished under the access to information provisions of the Merger Agreement and will survive any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have agreed to use their respective reasonable best efforts to take all appropriate action and do all things necessary, proper or advisable under applicable law to consummate and make effective the Mergers and the other transactions contemplated by the Merger Agreement as promptly as practicable, including taking any actions that may be required to cause the expiration of the notice periods under applicable regulatory laws with respect to the transactions contemplated by the Merger Agreement and obtaining from any governmental entities any consents, licenses, permits, waivers, approvals, authorizations or orders required to be obtained by SoundHound or LivePerson in order to effect the Closing by not later than two business days prior to the outside date. LivePerson and SoundHound have agreed to cooperate with, and furnish information to, each other in connection with the foregoing actions. LivePerson may not consent to any voluntary extension of the outside date or otherwise delay the Closing at the behest of any governmental entity without SoundHound’s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SoundHound is not obligated to, and, without the prior written consent of SoundHound, LivePerson, its subsidiaries and their respective affiliates cannot, (i) propose, negotiate, commit to, or effect the sale, divestiture, licensing or disposition of any assets, properties or businesses of SoundHound, LivePerson or their respective affiliates, (ii) terminate, amend or assign existing relationships and contractual rights or obligations, (iii) grant any right or commercial accommodation to, or enter into any material commercial relationship with, any third party, or (iv) accept any operational restrictions or otherwise take or commit to take actions that limit any party’s freedom of action with respect to any of the assets, properties, licenses, rights, product lines, operations or businesses of SoundHound, LivePerson or their respective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at its sole discretion, and LivePerson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including seeking to lift or rescind any injunction or restraining order which may adversely affect the ability of the parties to consummate the transactions contemplated by the Merger Agreement, in each case, until the issuance of a final, non-appealable order.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have agreed to jointly develop, consult and cooperate with one another on the strategy for obtaining any necessary approval of, or responding to any request from, inquiry by, or investigation by, any governmental entity in connection with the Merger Agreement and the transactions contemplated thereby. Notwithstanding the foregoing, SoundHound will, on behalf of the parties, control and direct all communications and strategy in dealing with any governmental entity under any regulatory laws, provided that SoundHound will consider in good faith the views and comments of LivePerson and its outside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give, or cause its subsidiaries to give, any notices to third parties, and use reasonable best efforts to obtain certain third-party consents, approvals or waivers. In the event that LivePerson fails to obtain any such third-party consents, LivePerson has agreed to take any such actions reasonably requested by SoundHound (at SoundHound’s sole cost and expense), to minimize any adverse effect on SoundHound and its subsidiaries from the failure to obtain such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shall give the other party prompt notice of the making or commencement of any request, inquiry, investigation or proceeding by or before any governmental entity with respect to the Mergers and keep the other party informed as to the status of any such request, inquiry, investigation or proceeding.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agreed that, during the period commencing on the Closing Date and ending on the last day of the year in which the Closing occurs, SoundHound will, or will cause one of its affiliates (including the surviving corporation and its subsidiaries) to, provide to each employee of LivePerson and its subsidiaries who continues to be employed by LivePerson or the surviving corporation or any subsidiary or affiliate thereof (each a “LivePerson continuing employee” and collectively, the “LivePerson continuing employees”) (i) a total target cash opportunity (i.e., inclusive of an annual base salary or base wage rate and a target annual cash bonus opportunity, and excluding an equity or equity-linked compensation opportunity) and (ii) employee health and welfare benefits, in each case, that is or are, in SoundHound’s reasonable discretion, either (A) no less favorable in the aggregate than such target cash opportunity or benefits in effect for the LivePerson continuing employee immediately prior to the Closing, or (B) no less favorable in the aggregate than such target cash opportunity or benefits provided to similarly situated employees of SoundHound or its affiliates. If any LivePerson continuing employee experiences a “qualifying termination” during the period commencing on the Closing Date and ending on the last day of the year in which the Closing occurs, SoundHound will, or will cause one of its affiliates (including the surviving corporation and its subsidiaries), to provide certain severance payments to such employee in accordance with the Merger Agreement.</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Merger Agreement, SoundHound has agreed that, for all purposes (including vesting, eligibility to participate and level of benefits) under any SoundHound benefits plans providing benefits to any LivePerson continuing employees after the Second Effective Time (a “new plan”), each LivePerson continuing employee will be credited with his or her years of service with LivePerson and its subsidiaries prior to the First Effective Time to the same extent as such LivePerson continuing employee was entitled before the First Effective Time. In addition, (i) each LivePerson continuing employee will be immediately eligible to participate, without any waiting time (other than any administrative delays in connection with any transition to SoundHound’s tax qualified defined contribution plan), in any new plan to the extent coverage under such new plan is of the same type as the LivePerson benefit plan in which such LivePerson continuing employee participated immediately before the First Effective Time (such plans, collectively, the “old plans”), and (ii)(a) for purposes of each new plan providing medical, dental, pharmaceutical or vision benefits to any LivePerson continuing employee, SoundHound or its applicable subsidiary will cause all preexisting condition exclusions and actively-at-work requirements of such new plan to be waived for such LivePerson continuing employee and his or her covered dependents, unless such conditions would not have been waived under the old plan and (b) SoundHound and its applicable subsidiary will use commercially reasonable efforts to cause any eligible expenses incurred by such LivePerson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unless otherwise directed by SoundHound in writing delivered to LivePerson not less than five business days prior to the Closing Date, LivePerson and its subsidiaries have agreed to terminate their 401(k) plans and nonqualified deferred compensation plans. In the event of any such termination of the 401(k) plans, SoundHound has agreed to use commercially reasonable efforts to cause a qualified defined contribution plan to accept eligible rollover distributions from current and former LivePerson employees.</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nothing therein will (i) guarantee employment for any period of time, (ii) preclude SoundHound from terminating any LivePerson continuing employee for any reason, (iii) require LivePerson, SoundHound or the surviving corporation to continue or otherwise prevent the amendment, modification or termination of their respective benefits plans or (iv) require the amendment, termination, establishment or creation of any benefit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Directors’ and Officers’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beginning at the Second Effective Time and ending six years after the Second Effective Time, SoundHound has agreed to cause the surviving corporation to indemnify and hold harmless all past and present directors and officers of LivePerson or any LivePerson subsidiary (the “covered persons”), subject to applicable law, to the same extent such covered persons are indemnified as of the date of the Original Merger Agreement by LivePerson or any LivePerson subsidiary pursuant to applicable law, the organizational documents of LivePerson or the applicable subsidiary thereof, or any indemnification agreements, for any legal proceedings arising out of acts or omissions in their respective capacities as directors or officers of LivePerson or any LivePerson subsidiary occurring at or prior to the First Effective Time (including for any acts or omissions occurring in connection with the adoption and approval of the Merger Agreement and the transactions contemplated thereby). SoundHound has additionally agreed to cause the surviving corporation to advance expenses (including reasonable legal fees and expenses) incurred in the defense of any such legal proceeding or any investigation related thereto, provided that the covered person will undertake to repay such advanced expenses if it is ultimately determined by a final non-appealable judgment that such covered person is not entitled to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not less than six years from and after the Second Effective Time, the Merger Agreement requires the organizational documents of the surviving corporation to contain provisions no less favorable with respect to exculpation, indemnification of and advancement of expenses to covered persons for periods at or prior to the First Effective Time than are currently set forth in the organizational documents of LivePerson or any applicable subsidiary thereof. During such time period, the surviving corporation is prohibited from amending, repealing or otherwise modifying such exculpation, indemnification and advancement of expenses provisions in any manner that would adversely affect the rights of any covered person. In the event that SoundHound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SoundHound or the surviving corporation (as applicable) has agreed to cause proper provision to be made so that the successors and assigns of SoundHound or the surviving corporation (as applicable) assumes such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for not less than six years from and after the Second Effective Time, SoundHound has agreed to cause the surviving corporation to maintain in effect LivePerson’s current directors’ and officers’ liability insurance policies covering acts or omissions occurring prior to or at the First Effective Time with respect to covered persons. In lieu of the foregoing, LivePerson, in consultation with SoundHound, may (and at the request of SoundHound, LivePerson shall use its reasonable best efforts to) purchase at or prior to the First Effective Time, and/or the surviving company may purchase following the Second Effective Time, a six-year “tail” prepaid officers’ and directors’ liability insurance policy in respect of acts or omissions occurring prior to the First Effective Time, covering each covered person for an amount not to exceed 300% of current annual premiums.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agreed to promptly advise SoundHound, and give SoundHound the opportunity to participate in the defense of any claim, demand or other correspondence related to stockholder litigation against LivePerson and/or its directors and officers, or any of them, in connection with or relating to the transactions contemplated by the Merger Agreement (“transaction litigation”), including the Mergers, and to keep SoundHound reasonably informed regarding any such transaction litigation. LivePerson has agreed to give SoundHound the opportunity to consult with LivePerson regarding the defense or settlement of any such transaction litigation, and has agreed to consider in good faith SoundHound’s views with respect to such litigation. The Merger Agreement prohibits LivePerson from issuing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supplemental disclosure, making any commitments with respect to, or otherwise settling or agreeing to settle any such transaction litigation without SoundHound’s prior written consent (which shall not be unreasonably withheld, conditioned or delayed).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Announcements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prohibits SoundHound, LivePerson or their respective subsidiaries from issuing any press release or making any public statement with respect to the Merger Agreement or the transactions contemplated thereby without the prior written consent of the other party (which consent cannot be unreasonably withheld, conditioned or delayed). Notwithstanding the foregoing, SoundHound, LivePerson and their respective subsidiaries may issue a press release or otherwise make a public statement with respect to the Merger Agreement and the transactions contemplated thereby to the extent (i) required by applicable law or the rules or regulations of any applicable United States securities exchange or regulatory or governmental body to which the relevant party is subject, in which case such party must use its commercially reasonable efforts to allow each other party reasonable time to comment on such release or announcement in advance of such issuance, or (iii) such communication is consistent with prior communications previously consented to by the other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Notices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compliance with applicable law, LivePerson and SoundHound, as the case may be, have agreed to notify the other party of any material effect that would reasonably be expected to cause any condition to the obligations of any party to effect the Mergers or any other transactions contemplated by the Merger Agreement not to be satisfied, including of the breach by a party of, or any other failure of a party to comply with or satisfy any representation, warranty, covenant, condition or agreement made pursuant to the Merger Agreement which would reasonably be expected, individually or in the aggregate, to result in any condition to the obligations of any party to effect the Mergers not to be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16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First Effective Time, LivePerson will take all such steps as may be reasonably necessary or appropriate to cause any dispositions of LivePerson Common Stock (including derivative securities with respect to LivePerson Common Stock) or acquisitions of SoundHound Common Stock (including derivative securities with respect to SoundHound Common Stock) resulting from the transactions contemplated by the Merger Agreement by each individual who is subject to the reporting requirements of Section 16(a) of the Exchange Act with respect to LivePerson to be exempt under Rule 16b-3 promulgated under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and Delistings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and SoundHound have agreed to cause LivePerson’s securities to be de-listed from the Nasdaq and de-registered under the Exchange Act as promptly as practicable following the Second Effective Time. LivePerson also agreed to use reasonable best efforts to take all actions required under TASE bylaws and applicable Israeli securities laws to facilitate the delisting of LivePerson Common Stock from the TASE, including the filing of all required notices and the provision of all required shareholder communications, in each case to permit such delisting to be effective as soon as possible after the date of the Merger Agreement. SoundHound and LivePerson will cooperate to use their reasonable best efforts to cause the shares of SoundHound Common Stock issued in connection with the First Merger (including shares of SoundHound Common Stock reserved for issuance upon exercise of Assumed Options) to be approved for listing on the Nasdaq, subject to official notice of issuance, prior to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intend that the exchange of shares of LivePerson Common Stock for the Per Share Merger Consideration in the First Merger, or the Per Share Cash Merger Consideration in the Second Merger, be treated as a transaction described in Section 1001 of the Code (the “intended tax treatment”). The parties and their affiliates have agreed not to take any position for U.S. federal income tax purposes (and applicable state, local and non-U.S. tax purposes) on any tax return, in any tax contest or audit or in any communication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Takeover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has approved the Merger Agreement and the transactions contemplated thereby and has taken all such other necessary actions as required to render inapplicable to the Merger Agreement and the transactions contemplated thereby the provisions of any applicable takeover laws of any state, including any “moratorium,” “control share,” “fair price,” “takeover” or “interested shareholder” law or similar provision of LivePerson’s charter or bylaws.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LivePerson Stockholder Approval</w:t>
      </w:r>
      <w:r>
        <w:rPr>
          <w:rFonts w:ascii="Times New Roman PS Std;serif" w:hAnsi="Times New Roman PS Std;serif"/>
          <w:b w:val="false"/>
          <w:i w:val="false"/>
          <w:caps w:val="false"/>
          <w:smallCaps w:val="false"/>
          <w:sz w:val="2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Regulatory Approval</w:t>
      </w:r>
      <w:r>
        <w:rPr>
          <w:rFonts w:ascii="Times New Roman PS Std;serif" w:hAnsi="Times New Roman PS Std;serif"/>
          <w:b w:val="false"/>
          <w:i w:val="false"/>
          <w:caps w:val="false"/>
          <w:smallCaps w:val="false"/>
          <w:sz w:val="2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Injunctions or Restraints</w:t>
      </w:r>
      <w:r>
        <w:rPr>
          <w:rFonts w:ascii="Times New Roman PS Std;serif" w:hAnsi="Times New Roman PS Std;serif"/>
          <w:b w:val="false"/>
          <w:i w:val="false"/>
          <w:caps w:val="false"/>
          <w:smallCaps w:val="false"/>
          <w:sz w:val="20"/>
        </w:rPr>
        <w:t>.    No Legal Impediment shall have been issued by any governmental entity having jurisdiction over any party and remain in force.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Effectiveness of the Registration Statement</w:t>
      </w:r>
      <w:r>
        <w:rPr>
          <w:rFonts w:ascii="Times New Roman PS Std;serif" w:hAnsi="Times New Roman PS Std;serif"/>
          <w:b w:val="false"/>
          <w:i w:val="false"/>
          <w:caps w:val="false"/>
          <w:smallCaps w:val="false"/>
          <w:sz w:val="20"/>
        </w:rPr>
        <w:t>.    The registration statement, of which this proxy statement/prospectus forms a part, must have been declared effective by the SEC under the Securities Act and must not be the subject of any stop order.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Exchange Listing</w:t>
      </w:r>
      <w:r>
        <w:rPr>
          <w:rFonts w:ascii="Times New Roman PS Std;serif" w:hAnsi="Times New Roman PS Std;serif"/>
          <w:b w:val="false"/>
          <w:i w:val="false"/>
          <w:caps w:val="false"/>
          <w:smallCaps w:val="false"/>
          <w:sz w:val="20"/>
        </w:rPr>
        <w:t>.    The shares of SoundHound Common Stock to be issued in the First Merger must have been authorized for listing on the Nasdaq, subject to official notice of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SoundHound and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April 21, 2026, no LivePerson material adverse effect shall have occurred;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 Treasury Regulations;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Notes Restructuring Condition.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SoundHound, Merger Sub I and Merger Sub II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Legal Impediment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outside date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stockholder approval termination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SoundHound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change of recommendation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breach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Notes Restructuring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LivePerson in any of the following situations: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Superior Proposal termination event;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SoundHound breach termination event.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Fee Payable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pay SoundHound the termination fee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 except that references to “15%” and “85%” therein shall be deemed to be references to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LivePerson be required to pay the termination fee on more than one occasion.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Limitations and Other Agreements related to Termination Fee and Expenses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and SoundHound agreed that (i) in no event will LivePerson be required to pay the LivePerson termination fee on more than one occasion, (ii) the LivePerson termination fee constitutes liquidated damages and is not a penalty and (iii) no payment of the LivePerson termination fee shall be considered in lieu of, or a replacement or substitution for, damages incurred in the event of a willful and material breach of the Merger Agreement or fraud. If LivePerson fails to timely pay the termination fee when due, interest on the termination fee will accrue from the date of termination at the rate per annum published in </w:t>
      </w:r>
      <w:r>
        <w:rPr>
          <w:rFonts w:ascii="Times New Roman PS Std;serif" w:hAnsi="Times New Roman PS Std;serif"/>
          <w:b w:val="false"/>
          <w:i/>
          <w:caps w:val="false"/>
          <w:smallCaps w:val="false"/>
          <w:sz w:val="20"/>
        </w:rPr>
        <w:t>The Wall Street Journal</w:t>
      </w:r>
      <w:r>
        <w:rPr>
          <w:rFonts w:ascii="Times New Roman PS Std;serif" w:hAnsi="Times New Roman PS Std;serif"/>
          <w:b w:val="false"/>
          <w:i w:val="false"/>
          <w:caps w:val="false"/>
          <w:smallCaps w:val="false"/>
          <w:sz w:val="20"/>
        </w:rPr>
        <w:t xml:space="preserve"> on the date that such payment was required to be made through the date such payment is actually received. Additionally, subject to certain limitations set forth in the Merger Agreement, LivePerson will be required to reimburse SoundHound’s out-of-pocket costs and expenses incurred in the collection of such overdue amounts.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of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valid termination of the Merger Agreement pursuant to the provisions described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 written notice will be given by the terminating party to the other party specifying the provision(s) of the Merger Agreement pursuant to which such termination is made, and the basis therefor described in reasonable detail. In the event of the valid termination of the Merger Agreement, the Merger Agreement will be terminated and will become void and have no effect, without any liability or obligation on the part of SoundHound, LivePerson, Merger Sub I or Merger Sub II or their respective subsidiaries, officers, directors or representatives (subject to certain exceptions set forth in the Merger Agreement). Notwithstanding the foregoing, a valid termination of the Merger Agreement will not relieve any party for liabilities or damages incurred or suffered as a result of a willful and material breach of the Merger Agreement or fraud by such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Merger Agreement, whether or not the Mergers are completed, all fees and expenses incurred in connection with the preparation, negotiation and performance of the Merger Agreement and the consummation of the transactions contemplated thereby will be paid by the party incurring such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 Remedies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parties to the Merger Agreement will be entitled to an injunction or injunctions to prevent breaches of the Merger Agreement and to specific performance of the terms thereof, in each case, in addition to any other remedy to which they are entitled at law or in equity. The parties have waived any requirement for the securing or posting of any bond in connection with the obtaining of any specific performance or injunctive relief, and have waived, in any action for specific performance, the defense of adequacy of a remedy at law. LivePerson’s or SoundHound’s pursuit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a willful and material breach.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Third-Party Beneficiaries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in the Merger Agreement, express or implied, is intended to or confers upon any person other than SoundHound, LivePerson, Merger Sub I and Merger Sub II any right, benefit or remedy of any nature whatsoever under or by reason of the Merger Agreement, except the right of the indemnified persons to enforce the obligations described under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modified or supplemented by the parties by action taken or authorized by their respective boards of directors at any time prior to the First Effective Time; however, after the LivePerson stockholders have approved the merger proposal, no amendment or waiver may be made that, pursuant to applicable law, requires further approval by the LivePerson stockholders unless such further approval is first obtained. The Merger Agreement may not be amended except by an instrument in writing signed on behalf of each of the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all claims or causes of action arising in connection with the Merger Agreement, are governed by and construed in accordance with the laws of the State of Delaware, without giving effect to the principles of conflicts of law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CERTAIN AGREEMENTS RELATED TO THE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certain transaction documents related to the transactions contemplated by the Merger Agreement. The descriptions in this section and elsewhere in this proxy statement/prospectus are qualified in their entirety by reference to the complete text of the Notes Restructuring Agreement (as defined below) and Registration Rights Agreement (as defined below), copies of which are attached as Exhibits 10.1 and Exhibit 10.2, respectively, to this proxy statement/prospectus and are incorporated by reference herein in their entirety. These summaries does not purport to be complete and may not contain all of the information about the Notes Restructuring Agreement and Registration Rights Agreement that is important to you. You are encouraged to read the Notes Restructuring Agreement and Registration Rights Agreement carefully and their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Notes Restructuring Agreement and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Registration Rights Agreement and these summaries are included solely to provide you with information regarding the terms of such agreements.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Notes Restructuring Agreement and Registration Rights Agreement. The representations, warranties and covenants made in the Notes Restructuring Agreement and Registration Rights Agreement by SoundHound and LivePerson, as applicable, were made solely for the purposes of such agreements and as of specific dates and were qualified and subject to important limitations agreed to by SoundHound and LivePerson in connection with negotiating the terms of such agreements. In particular, in your review of the representations and warranties contained in the Notes Restructuring Agreement, Registration Rights Agreement and described in these summaries, it is important to bear in mind that the representations and warranties were negotiated with the principal purposes of establishing the circumstances in which a party to such agreements may have the right not to complete the transactions contemplated thereby if the representations and warranties of the other party or parties prove to be untrue due to a change in circumstance or otherwise, and allocating risk between the parties to such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proxy statement/prospectus, may have changed since April 21, 2026. You should not rely on the representations, warranties or covenants contained in the Notes Restructuring Agreement or the Registration Rights Agreement or any descriptions thereof as characterizations of the actual state of facts of SoundHound, LivePerson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Restructuring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concurrently with the execution and delivery of the Original Merger Agreement, SoundHound entered into a Notes Restructuring Agreement (the “Notes Restructuring Agreement”) with LivePerson and the Secured Holders, pursuant to which and on the terms and subject to the conditions thereof, among other things, the Secured Holders have agreed to release and deem satisfied the Secured Notes for the consideration contemplated thereby (the “Notes Restructuring Transactions”). As of the date of the Notes Restructuring Agreement, approximately $221.9 million in aggregate principal amount of First Lien Secured Notes and approximately $120.8 million in aggregate principal amount of Second Lien Secured Notes were outstanding.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Notes Restructuring Transactions, on the terms and subject to the conditions set forth in the Notes Restructuring Agreement, the First Lien Noteholder has agreed to accept, in full and complete satisfaction of all obligations of LivePerson to such holder, (a) a number of shares of SoundHound Common Stock equal to the quotient of (i) $178,007,733.68, divided by (ii) the SoundHound Closing Stock Price and (b) an amount in cash paid by LivePerson concurrently with Closing in the amount of (i) accrued and unpaid interest on the First Lien Secured Notes held by such holder, plus (ii) 65% of any LivePerson Excess Cash (defined as the difference of (1) the LivePerson Cash Balance, minus (b) the LivePerson Minimum Cash; provided that, if a negative number results from such calculation, “LivePerson Excess Cash” shall be $0).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consummation of the Notes Restructuring Transactions, on the terms and subject to the conditions set forth in the Notes Restructuring Agreement, each Second Lien Noteholder has agreed to accept, in full and complete satisfaction of all obligations of LivePerson to such holder, such holder’s pro rata portion of (a) a number of shares of SoundHound Common Stock equal to the quotient of (i) $83,207,733.68, divided by (ii) the SoundHound Closing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to be issued in connection with the Notes Restructuring Transactions are expected to be issued in reliance on the exemption from registration pursuant to Section 4(a)(2) of the Securities 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Secured Holders are required, among other things, not to solicit alternative business combinations or note restructuring transactions and not to engage in discussions or negotiations regarding an alternative business combination or note restructuring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The First Lien Noteholder is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Registration Rights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Notes Restructuring Agreement, SoundHound will enter into a Registration Rights Agreement (the “Registration Rights Agreement”) with the holders of the Secured Notes, pursuant to which SoundHound has agreed to provide the holders of the Secured Notes with certain resale registration rights with respect to the shares of SoundHound Common Stock received by such holders pursuant to the Notes Restructuring Agreement (the “Registrable Securities”).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Registration Rights Agreement, SoundHound is required to file a registration statement on Form S-3 on the date of the Registration Rights Agreement to register the Registrable Securities for resale on a delayed or continuous basis pursuant to Rule 415 under the Securities Act (the “Shelf Registration Statement”) and to use its reasonable best efforts to maintain the effectiveness of the Shelf Registration Statement until the Registrable Securities cease to be Registrable Securities. If SoundHound is not eligible to use an automatically effective shelf registration statement, SoundHound is required to use its reasonable best efforts to cause the Shelf Registration Statement to be declared effective as soon as practicable. SoundHound is entitled to delay or suspend the use of the Shelf Registration Statement for up to 45 consecutive calendar days in certain circumstances, subject to a cap of 90 days and two suspensions in any 12-month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Shelf Registration Statement is not filed or declared effective within the applicable deadlines, or ceases to be effective or usable for a period in excess of any permitted suspension period (each, a “Registration Default”), SoundHound is required to pay to each holder, as liquidated damages, an amount equal to 1% of such holder’s pro rata portion of the applicable aggregate stock consideration amount for each 30-day period (or pro rata portion thereof) during which such Registration Default continues, subject to an aggregate cap of 3% of such holder’s applicable consideration amount.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contains customary registration procedures, indemnification provisions and expense allocation provisions. SoundHound has agreed to bear all registration expenses, including certain expenses of counsel subject to a cap of $10,000 per holder (or per group of affiliated holders) for holders’ counsel fees. SoundHound has also agreed to use its reasonable best efforts to facilitate sales under Rule 144 and to remove restrictive legends from the Registrable Securities upon the occurrence of certain specified events. The registration rights may be assigned to affiliates or transferees of Registrable Securities, subject to execution of a joinder agreement and, for certain transfers, a minimum transfer value of $5,000,000.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may not be amended without the written consent of SoundHound, Lynrock Lake Master Fund LP and holders owning a majority of Registrable Securities, and no amendment that disproportionately and adversely affects any individual holder is effective without that holder’s consent. The Registration Rights Agreement terminates automatically with respect to any holder when such holder no longer holds any Registrable Securities (as defined therein). The Registration Rights Agreement is governed by the laws of the State of Delaware.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5"/>
      <w:bookmarkEnd w:id="15"/>
      <w:r>
        <w:rPr>
          <w:rFonts w:ascii="Times New Roman PS Std;serif" w:hAnsi="Times New Roman PS Std;serif"/>
          <w:b/>
          <w:i w:val="false"/>
          <w:caps w:val="false"/>
          <w:smallCaps w:val="false"/>
          <w:sz w:val="20"/>
        </w:rPr>
        <w:t xml:space="preserve">INTERESTS OF LIVEPERSON’S DIRECTORS AND EXECUTIVE OFFICERS IN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These interests are described in more detail below, and certain of them are quantified in the narrative and tables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non-employee directors since the beginning of the last fiscal year are as follows:</w:t>
      </w:r>
    </w:p>
    <w:tbl>
      <w:tblPr>
        <w:tblW w:w="2633" w:type="dxa"/>
        <w:jc w:val="left"/>
        <w:tblInd w:w="0" w:type="dxa"/>
        <w:tblLayout w:type="fixed"/>
        <w:tblCellMar>
          <w:top w:w="0" w:type="dxa"/>
          <w:left w:w="0" w:type="dxa"/>
          <w:bottom w:w="0" w:type="dxa"/>
          <w:right w:w="0" w:type="dxa"/>
        </w:tblCellMar>
      </w:tblPr>
      <w:tblGrid>
        <w:gridCol w:w="2296"/>
        <w:gridCol w:w="146"/>
        <w:gridCol w:w="19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Anthony Zingale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Hansen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Jill Layfield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“non-employee directors” of LivePerson in this proxy statement/prospectus shall be a reference to LivePerson’s non-employee directors set forth in the table above. Any reference to “current non-employee directors” of LivePerson in this proxy statement/prospectus shall be a reference to the non-employee directors above, other than Mr. Hansen and Ms. Layfield.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executive officers since the beginning of the last fiscal year are as follows:</w:t>
      </w:r>
    </w:p>
    <w:tbl>
      <w:tblPr>
        <w:tblW w:w="7273" w:type="dxa"/>
        <w:jc w:val="left"/>
        <w:tblInd w:w="0" w:type="dxa"/>
        <w:tblLayout w:type="fixed"/>
        <w:tblCellMar>
          <w:top w:w="0" w:type="dxa"/>
          <w:left w:w="0" w:type="dxa"/>
          <w:bottom w:w="0" w:type="dxa"/>
          <w:right w:w="0" w:type="dxa"/>
        </w:tblCellMar>
      </w:tblPr>
      <w:tblGrid>
        <w:gridCol w:w="2116"/>
        <w:gridCol w:w="146"/>
        <w:gridCol w:w="5011"/>
      </w:tblGrid>
      <w:tr>
        <w:trPr/>
        <w:tc>
          <w:tcPr>
            <w:tcW w:w="21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Chief Operating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and Administrative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and Product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Ford</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Accounting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“executive officers” of LivePerson in this proxy statement/prospectus shall be a reference to LivePerson’s executive officers set forth in the table above. Any reference to “current executive officers” of LivePerson in this proxy statement/prospectus shall be a reference to the executive officers above, other than Mr. Ford.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treatment of LivePerson equity awards in the Mergers is described under the section entitled “</w:t>
      </w:r>
      <w:r>
        <w:rPr>
          <w:rFonts w:ascii="Times New Roman PS Std;serif" w:hAnsi="Times New Roman PS Std;serif"/>
          <w:b w:val="false"/>
          <w:i/>
          <w:caps w:val="false"/>
          <w:smallCaps w:val="false"/>
          <w:sz w:val="20"/>
        </w:rPr>
        <w:t>The Merger Agreement — Treatment of LivePerson Equity Awards in the Mergers</w:t>
      </w:r>
      <w:r>
        <w:rPr>
          <w:rFonts w:ascii="Times New Roman PS Std;serif" w:hAnsi="Times New Roman PS Std;serif"/>
          <w:b w:val="false"/>
          <w:i w:val="false"/>
          <w:caps w:val="false"/>
          <w:smallCaps w:val="false"/>
          <w:sz w:val="20"/>
        </w:rPr>
        <w:t>” beginning on page 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LivePerson’s non-employee directors or executive officers hold In-the-Money Options, and Mr. Hansen, Ms. Layfield, Mr. Ford, and Mr. Zingale do not hold LivePerson equity awards. The following table sets forth the number of shares of LivePerson Common Stock subject to LivePerson RSUs held by the current non-employee directors and current executive officers as of June 25, 2026. The following table also sets forth the estimated value of LivePerson RSUs held by LivePerson’s current non-employee directors and current executive officers, assuming that the price per share of LivePerson Common Stock was $2.71 (the average closing market price of LivePerson Common Stock over the first five business days following the first public announcement of the transaction on April 21, 2026). The amounts shown in the table below do not attempt to forecast any grants or forfeitures of LivePerson equity awards following the date of this proxy statement/prospectus. All dollar amounts have been rounded to the nearest whole dollar.</w:t>
      </w:r>
    </w:p>
    <w:tbl>
      <w:tblPr>
        <w:tblW w:w="5425" w:type="dxa"/>
        <w:jc w:val="left"/>
        <w:tblInd w:w="0" w:type="dxa"/>
        <w:tblLayout w:type="fixed"/>
        <w:tblCellMar>
          <w:top w:w="0" w:type="dxa"/>
          <w:left w:w="0" w:type="dxa"/>
          <w:bottom w:w="0" w:type="dxa"/>
          <w:right w:w="0" w:type="dxa"/>
        </w:tblCellMar>
      </w:tblPr>
      <w:tblGrid>
        <w:gridCol w:w="2296"/>
        <w:gridCol w:w="146"/>
        <w:gridCol w:w="1396"/>
        <w:gridCol w:w="146"/>
        <w:gridCol w:w="144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 xml:space="preserve">Shares </w:t>
              <w:br/>
              <w:t>Subject to</w:t>
              <w:br/>
              <w:t xml:space="preserve">LivePerson </w:t>
              <w:br/>
              <w:t>RSU Awards</w:t>
              <w:b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br/>
              <w:t>Value of</w:t>
              <w:br/>
              <w:t xml:space="preserve">LivePerson </w:t>
              <w:br/>
              <w:t>RSU Awards</w:t>
              <w:br/>
              <w:t>($)</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135,271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121,004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43,000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entered into employment agreements with each of Messrs. Sabino, Collins, and Mina and Ms. Greenberg that provide for certain severance benefits, and, for Mr. Mina, a transaction bonus. None of LivePerson’s non-employee directors or other executive officers have similar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 estimate of the value of the amounts that would be payable to Messrs. Sabino, Collins, and Mina pursuant to their employment agreements, assuming solely for purposes of this transaction-related compensation disclosure that the Closing Date occurred on June 30, 2026 (the assumed Closing Date solely for purposes of this transaction-related compensation disclosure), and each experienced a qualifying termination of employment on such date, see the section entitled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Sabino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his employment agreement, if Mr. Sabino is terminated by LivePerson without Cause or if he resigns for Good Reason (as such terms are defined in his employment agreement), then, subject to his execution of a general release of claims in favor of LivePerson, he will be entitled to the following severance benefits: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(as defined in his employment agreement),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that Mr. Sabino timely elects COBRA) for a period of 18 months, and (v) if the relevant termination event occurs during the three months prior to or during the 12 months following a 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Control, (A) all time-based equity awards outstanding as of the date of termination will fully vest, and (B) the treatment of any performance-based equity awards will be determined in accordance with the terms of the applicable award’s grant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D. Collins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Collins’ employment is terminated by LivePerson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12 months, (ii) reimbursement for the differential cost of continuation of his then-current health insurance benefits under COBRA (provided that Mr. Collins timely elects COBRA) for a period of 12 months, (iii) 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 (vi) any vested options will remain exercisable until the earlier of 90 days following his termination and the original expiration date of the applicable option.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Christopher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Mina’s employment is terminated by LivePerson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six months, (ii) reimbursement for the differential cost of continuation of his then-current health insurance benefits under COBRA (provided that Mr. Mina timely elects COBRA) for a period of six months, (iii) a bonus payment equal to his target bonus for the prior completed fiscal year (if not yet paid), (iv) 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Mina is also eligible to receive a $250,000 transaction bonus upon the Closing, subject to his continued employment through the Closing.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Monica L. Greenberg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her employment agreement, if Ms. Greenberg’s employment is terminated by LivePerson without Cause or by Ms. Greenberg for Good Reason, in either case, within the three-month period immediately prior to or the 12-month period immediately following a Change of Control (as such terms are defined in her employment agreement), then, subject to her execution of a general release of claims in favor of LivePerson, she will be entitled to the following severance benefits: (i) a lump-sum payment equal to her then-current base salary for a period of nine months, (ii) all unvested equity awards granted under LivePerson’s equity plan will automatically and immediately vest and become exercisable upon such termination and remain exercisable until the earlier of the first anniversary of such termination or the expiration of the award term, (iii) reimbursement for the differential cost of continuation of her then-current health insurance benefits under COBRA (provided that Ms. Greenberg timely elects COBRA) for a period of six months, and (iv) if such termination occurs on or before the date that bonuses are paid for a completed fiscal year prior to termination, a payment equal to the bonus she would have received for that prior completed fiscal year had she remained employed on the applicable LivePerson payout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value of the cash severance that would become payable under Ms. Greenberg’s employment agreement is $337,500, assuming she experienced a qualifying termination of employment on June 30, 2026 (the assumed Closing Date solely for purposes of this transaction-related compensation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Arrangements with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none of LivePerson’s non-employee directors or executive officers has entered into any arrangements with SoundHound or any of its affiliates regarding employment with, or the right to purchase or participate in the equity of, the surviving corporation or any of its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Interests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Palogic Value Fund, LP, which is managed by an entity co-founded by Mr. Vardeman and for which he serves as a principal, owns (i) approximately $3.9 million of 2026 Convertible Notes, and (ii) approximately $3.3 million principal amount of Second Lien Secured Notes. Mr. Vardeman disclaims beneficial ownership of these notes, except to the extent of his pecuniary interest therein,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Quantification of Potential Payments to LivePerson’s Named Executive Officers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402(t) of Regulation S-K, the following table sets forth, for LivePerson’s named executive officers, compensation that is based on or otherwise relates to the Mergers and that may become payable to or realized by such individuals following certain termination of employment events that occur following the Closing. For purposes of this proxy statement/prospectus, the named executive officers include Messrs. Sabino, Collins, and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potential payments in the table below are based on the following assumptions: (i) a per-share price for LivePerson Common Stock equal to $2.71 (the average closing market price of LivePerson Common Stock over the first five business days following the first public announcement of the transaction contemplated by the Original Merger Agreement on April 21, 2026); (ii) each named executive officer’s base salary, target bonus level, and equity award holdings as of June 25, 2026; and (iii) that each named executive officer’s employment is terminated by LivePerson without cause on June 30, 2026 (the assumed Closing Date solely for purposes of this transaction-related compensation disclosure). Depending on when the Closing occurs, certain LivePerson RSU Awards that are now unvested and included in the table below may vest pursuant to their terms based on the completion of continued service with LivePerson, independent of the Mergers. Further, the amounts indicated below are estimates based on multiple assumptions that may or may not actually occur, including assumptions described in this proxy statement/prospectus, and do not reflect certain compensation actions that may occur before Closing. As a result, the actual amounts, if any, to be received by a named executive officer may materially differ from the amounts set forth below. All dollar amounts have been rounded to the nearest whole dollar.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7129" w:type="dxa"/>
        <w:jc w:val="left"/>
        <w:tblInd w:w="0" w:type="dxa"/>
        <w:tblLayout w:type="fixed"/>
        <w:tblCellMar>
          <w:top w:w="0" w:type="dxa"/>
          <w:left w:w="0" w:type="dxa"/>
          <w:bottom w:w="0" w:type="dxa"/>
          <w:right w:w="0" w:type="dxa"/>
        </w:tblCellMar>
      </w:tblPr>
      <w:tblGrid>
        <w:gridCol w:w="1771"/>
        <w:gridCol w:w="146"/>
        <w:gridCol w:w="1126"/>
        <w:gridCol w:w="146"/>
        <w:gridCol w:w="1096"/>
        <w:gridCol w:w="146"/>
        <w:gridCol w:w="1381"/>
        <w:gridCol w:w="146"/>
        <w:gridCol w:w="1171"/>
      </w:tblGrid>
      <w:tr>
        <w:trPr/>
        <w:tc>
          <w:tcPr>
            <w:tcW w:w="17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w:t>
              <w:b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w:t>
              <w:br/>
              <w: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w:t>
              <w:b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55,705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1,797,289</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953,644</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631,648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xml:space="preserve">” above, the named executive officers are each eligible for cash severance benefits pursuant to their respective employment agreements, subject to their execution and non-revocation of a release of claims. The amounts in this column, other than Mr. Mina’s transaction bonus, are “double-trigger” payments that may be made under the employment agreements, as they will only become payable in the event of a qualifying termination that occurs in connection with the Closing. Below is a breakdown of each component of the cash severance benefits reflected in the table above.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2"/>
        <w:gridCol w:w="146"/>
        <w:gridCol w:w="946"/>
        <w:gridCol w:w="146"/>
        <w:gridCol w:w="1231"/>
        <w:gridCol w:w="146"/>
        <w:gridCol w:w="1231"/>
        <w:gridCol w:w="146"/>
        <w:gridCol w:w="841"/>
        <w:gridCol w:w="146"/>
        <w:gridCol w:w="946"/>
        <w:gridCol w:w="146"/>
        <w:gridCol w:w="1231"/>
        <w:gridCol w:w="146"/>
        <w:gridCol w:w="1325"/>
      </w:tblGrid>
      <w:tr>
        <w:trPr/>
        <w:tc>
          <w:tcPr>
            <w:tcW w:w="1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 </w:t>
              <w:br/>
              <w:t xml:space="preserve">Base </w:t>
              <w:br/>
              <w:t>Salary</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Months of</w:t>
              <w:br/>
              <w:t>Severance</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Severance</w:t>
              <w:b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br/>
              <w:t>Target</w:t>
              <w:br/>
              <w:t>Bonus</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Target</w:t>
              <w:br/>
              <w:t>Bonus</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Severance</w:t>
              <w:br/>
              <w:t>($)</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Cash</w:t>
              <w:br/>
              <w:t>Severance</w:t>
              <w:br/>
              <w:t>(sum of</w:t>
              <w:br/>
              <w:t>(d) and (g))</w:t>
              <w:br/>
              <w:t>($)</w:t>
            </w:r>
          </w:p>
        </w:tc>
      </w:tr>
      <w:tr>
        <w:trPr/>
        <w:tc>
          <w:tcPr>
            <w:tcW w:w="14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r>
      <w:tr>
        <w:trPr/>
        <w:tc>
          <w:tcPr>
            <w:tcW w:w="1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341,250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170,625</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bl>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addition, Mr. Mina is eligible to receive a $250,000 transaction bonus upon the Closing, subject to his continued employment through the Closing. Mr. Mina’s transaction bonus is a “single-trigger” payment, as it will become payable in connection with the Closing and is not conditioned upon his qualifying termination.</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value of shares of LivePerson Common Stock subject to LivePerson RSUs that would accelerate on a “double-trigger” basis in connection with the named executive officer’s qualifying termination following Closing,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For a summary of the treatment of LivePerson RSUs, see the section entitled “</w:t>
      </w:r>
      <w:r>
        <w:rPr>
          <w:rFonts w:ascii="Times New Roman PS Std;serif" w:hAnsi="Times New Roman PS Std;serif"/>
          <w:b w:val="false"/>
          <w:i/>
          <w:caps w:val="false"/>
          <w:smallCaps w:val="false"/>
          <w:sz w:val="18"/>
        </w:rPr>
        <w:t>The Merger Agreement — Treatment of LivePerson Equity Awards</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in the Mergers</w:t>
      </w:r>
      <w:r>
        <w:rPr>
          <w:rFonts w:ascii="Times New Roman PS Std;serif" w:hAnsi="Times New Roman PS Std;serif"/>
          <w:b w:val="false"/>
          <w:i w:val="false"/>
          <w:caps w:val="false"/>
          <w:smallCaps w:val="false"/>
          <w:sz w:val="18"/>
        </w:rPr>
        <w:t>” beginning on page 75.</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the named executive officers are eligible for reimbursement for the differential cost of continuation of their health insurance benefits under COBRA (provided that they timely elect COBRA and they execute and do not revoke a release of claims) for a period of 18, 12, and six months for Messrs. Sabino, Collins, and Mina, respectively. The amounts in this column are “double-trigger” payments that may be made under the employment agreements, as they will only become payable in the event of a qualifying termination that occurs in connection with the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LivePerson’s non-employee directors and executive officers will be entitled to certain ongoing indemnification and insurance coverage for a period of six years following the Closing under the director’s and officer’s liability insurance policies of LivePerson. For additional information with respect to the indemnification and insurance coverage, see the section of this proxy statement/prospectus entitled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6"/>
      <w:bookmarkEnd w:id="16"/>
      <w:r>
        <w:rPr>
          <w:rFonts w:ascii="Times New Roman PS Std;serif" w:hAnsi="Times New Roman PS Std;serif"/>
          <w:b/>
          <w:i w:val="false"/>
          <w:caps w:val="false"/>
          <w:smallCaps w:val="false"/>
          <w:sz w:val="20"/>
        </w:rPr>
        <w:t xml:space="preserve">MATERIAL U.S. FEDERAL INCOME TAX CONSEQUENCES OF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material U.S. federal income tax consequences to U.S. Holders and Non-U.S. Holders (each as defined below) who exchange shares of LivePerson Common Stock for cash or shares of SoundHound Common Stock in the Mergers. This summary is based on provisions of the Internal Revenue Code of 1986, as amended (the “Code”), Treasury regulations promulgated thereunder and administrative and judicial interpretations thereof, each in effect as of the date of this proxy statement/prospectus, and all of which are subject to change, possibly with retroactive effect. SoundHound and LivePerson have not sought, and do not intend to seek, a ruling from the IRS or an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applies only to Holders (as defined below) of LivePerson Common Stock who hold their LivePerson Common Stock as a “capital asset” within the meaning of Section 1221 of the Code (generally, property held for investment). This summary does not address all aspects of U.S. federal income taxation that may be relevant to a Holder in light of its particular circumstances, or that may apply to a Holder subject to special treatment under U.S. federal income tax laws (e.g., regulated investment companies, real estate investment trusts, mutual funds, controlled foreign corporations, foreign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LivePerson Common Stock through, a partnership (or other entity or arrangement treated as a partnership for U.S. federal income tax purposes), U.S. Holders whose functional currency is not the United States dollar, dealers or brokers in stocks, securities, commodities or foreign currency, dealers or traders that mark-to-market their securities, expatriates and former long-term residents of the United States, persons that own or have owned (or are deemed to own or to have owned under certain constructive ownership rules) 5% or more (by vote or value) of the outstanding shares of LivePerson Common Stock, stockholders holding LivePerson Common Stock as part of a straddle, hedging, constructive sale or conversion transaction or other risk reduction transaction or integrated instrument, stockholders that purchase or sell LivePerson Common Stock as part of a wash sale for tax purposes, accrual-method taxpayers subject to special tax accounting rules under Section 451(b) of the Code, stockholders holding LivePerson Common Stock as qualified small business stock for purposes of Sections 1045 and/or 1202 of the Code or as “Section 1244 stock”, and stockholders who received their LivePerson Common Stock pursuant to the exercise of any employee stock option or otherwise as compensation). In addition, this discussion does not address any state, local or non-U.S. tax consequences, any considerations with respect to any withholding required pursuant to the Foreign Account Tax Compliance Act of 2010 (including the U.S. Treasury regulations promulgated thereunder and intergovernmental agreements entered into in connection therewith and any laws, regulations or practices adopted in connection with any such agreement), the Medicare contribution tax applicable to net investment income of certain non-corporate Holders of LivePerson Common Stock, or the alternative minimum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“U.S. Holder” means a beneficial owner of LivePerson Common Stock that is, for U.S. federal income tax purposes: (i) an individual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(within the meaning of Section 7701(a)(30) of the Code) have authority to control all of the trust’s substantial decisions or (B) it has validly elected to be treated as a U.S. person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“Non-U.S. Holder” means a beneficial owner of LivePerson Shares that is neither a U.S. Holder nor a partnership (or other entity or arrangement treated as a partnership)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“Holder” or “Holders” means a U.S. Holder or a Non-U.S.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partnership (or other entity or arrangement treated as a partnership) for U.S. federal income tax purposes is the beneficial owner of LivePerson Common Stock, the tax treatment of its partners or members generally will depend upon the status of the partner or member, the partnership’s activities, and certain determinations made at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partner or member level. Accordingly, partnerships that beneficially own LivePerson Common Stock, and partners or members in such partnerships, are urged to consult their own tax advisors regarding the specific U.S. federal income tax consequences to them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summary is for general informational purposes only and is not tax advice. Because individual circumstances may differ, each Holder of LivePerson Common Stock should consult its own tax advisor as to the applicability and effect of the rules summarized below and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Consequences of the Mergers to U.S. Holders and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the exchange by a Holder of shares of LivePerson Common Stock for cash or shares of SoundHound Common Stock (and the receipt of cash in lieu of any fractional shares of SoundHound Common Stock) pursuant to the Mergers is intended to be treated as a taxable sale described in Section 1001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exchange of shares of LivePerson Common Stock for cash or shares of SoundHound Common Stock (and the receipt of cash in lieu of any fractional shares of SoundHound Common Stock) pursuant to the Mergers is treated for U.S. federal income tax purposes as a taxable sale described in Section 1001, a U.S. Holder generally will recognize capital gain or loss for U.S. federal income tax purposes in an amount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adjusted tax basis in its shares of LivePerson Common Stock will generally equal the price the U.S. Holder paid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capital gain or loss recognized will be long-term capital gain or loss if the U.S. Holder’s holding period for such shares of LivePerson Common Stock exceeds one year as of the Closing Date. Long-term capital gain recognized by certain non-corporate U.S. Holders, including individuals, is currently taxed at preferential U.S. federal income tax rates. The deductibility of capital losses is subject to limitations. Gain or loss generally will be determined separately for each block of shares of LivePerson Common Stock (that is, shares of LivePerson Common Stock acquired at the same cost in a single transaction) exchanged pursuant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tax basis in the shares of SoundHound Common Stock received in the First Merger generally will equal the fair market value as of the Closing Date of such shares. A U.S. Holder’s holding period in the shares of SoundHound Common Stock received in the First Merger generally will begin on the day following the Closing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receives cash in lieu of any fractional shares of SoundHound Common Stock may be treated as if such U.S. Holder had received such fractional share of SoundHound Common Stock pursuant to the First Merger and as if such fractional share of SoundHound Common Stock had then been redeemed for cash by SoundHound. Such redemption generally would be treated as a distribution in exchange for such U.S. Holder’s fractional share generally resulting in such U.S. Holder recognizing gain or loss equal to the difference, if any, between the amount of cash received and the tax basis in such fractional share, determined as described above (unless the receipt of cash has the effect of a distribution of a dividend under applicable provisions of the Code, in which case such cash received would be treated as a dividend to the extent of such U.S. Holder’s ratable share of the earnings and profits of SoundHound, as determined for U.S. federal income tax purposes, with any amount not treated as a dividend for U.S. federal income tax purposes first constituting a return of capital and reducing (but not below zero) such U.S. Holder’s tax basis in its SoundHound Common Stock and any excess treated as capital gain).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under “</w:t>
      </w:r>
      <w:r>
        <w:rPr>
          <w:rFonts w:ascii="Times New Roman PS Std;serif" w:hAnsi="Times New Roman PS Std;serif"/>
          <w:b w:val="false"/>
          <w:i/>
          <w:caps w:val="false"/>
          <w:smallCaps w:val="false"/>
          <w:sz w:val="20"/>
        </w:rPr>
        <w:t>Information Reporting and Backup Withholding</w:t>
      </w:r>
      <w:r>
        <w:rPr>
          <w:rFonts w:ascii="Times New Roman PS Std;serif" w:hAnsi="Times New Roman PS Std;serif"/>
          <w:b w:val="false"/>
          <w:i w:val="false"/>
          <w:caps w:val="false"/>
          <w:smallCaps w:val="false"/>
          <w:sz w:val="20"/>
        </w:rPr>
        <w:t>” below, any gain realized by a Non-U.S. Holder upon exchange of shares of LivePerson Common Stock for cash or shares of SoundHound Common Stock (and the receipt of cash in lieu of any fractional shares of SoundHound Common Stock) pursuant to the Mergers generally will not be subject to U.S. federal income tax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such gain is effectively connected with the Non-U.S. Holder’s conduct of a trade or business in the United States (and, if required by an applicable tax treaty, is attributable to a permanent establishment maintained by such Non-U.S. Holder in the United States), in which case the Non-U.S. Holder generally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taxed on a net income basis generally in the same manner as a U.S. Holder, except that if the Non-U.S. Holder is a foreign corporation, an additional branch profits tax may apply at a rate of 30% (or a lower applicable treaty rate) on such effectively connected gain, as adjusted for certain items;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Non-U.S. Holder is an individual who is present in the United States for 183 days or more in the taxable year of the Closing Date, as the case may be, and certain other conditions are met, in which case such Non-U.S. Holder generally will be subject to a 30% U.S. federal income tax (or a lower rate under an applicable income tax treaty) on such gain;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Common Stock constitutes a “United States real property interest” (a “USRPI”) by reason of LivePerson’s status as a U.S. real property holding corporation (a “USRPHC”) for U.S. federal income tax purposes. LivePerson believes that it will not have been a USRPHC at any time within the five-year period ending on the Closing Date. Even if LivePerson were a USRPHC, gain arising from the sale or other taxable disposition by a Non-U.S. Holder of shares of LivePerson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throughout the shorter of the five-year period ending on the Closing Date or the Non-U.S. Holder’s holding period, or if another exception from these rules under the Code applies.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in certain circumstances, the receipt of cash in lieu of a fractional share of SoundHound Common Stock pursuant to the First Merger could be treated as a dividend. For a Non-U.S. Holder, any amount so treated generally would be subject to U.S. withholding tax at a rate of 30% (or such lower rate as may be specified by an applicable tax treaty) unless such dividend is effectively connected with the Non-U.S. Holder’s conduct of a trade or business within the United States (and, if required by an applicable tax treaty, is attributable to a permanent establishment maintained by such Non-U.S. Holder in the United States). Accordingly, an applicable withholding agent may withhold at a rate of 30% (or such lower rate as may be specified by an applicable tax treaty) on any cash in lieu of any fractional shares received by a Non-U.S. Holder pursuant to the First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the receipt of cash or SoundHound Common Stock by a Holder in exchange for LivePerson Common Stock (and the receipt of cash in lieu of any fractional shares of SoundHound Common Stock) pursuant to the Mergers, unless such Holder is an entity that is exempt from information reporting and, when required, properly demonstrates its eligibility for exemption. The receipt of cash or shares of SoundHound Common Stock by a Holder in exchange for shares of LivePerson Common Stock pursuant to the Mergers generally will also be subject to backup withholding (currently, at a rate of twenty-four percent (24%)), unless (i) in the case of a U.S. Holder, such U.S. Holder provides the appropriate documentation (generally, IRS Form W-9) to the applicable withholding agent certifying that, among other things, its taxpayer identification number is correct, or otherwise establishes an exemption and (ii) in the case of a Non-U.S. Holder,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Holders of shares of LivePerson Common Stock (including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properly and timely furnished by such Holder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FOREGOING DOES NOT SUMMARIZE ALL ASPECTS OF U.S. FEDERAL INCOME TAXATION THAT MAY BE RELEVANT TO PARTICULAR HOLDERS. HOLDERS ARE URGED TO CONSULT THEIR OWN TAX ADVISOR REGARDING THE PARTICULAR TAX CONSEQUENCES TO THEM OF THE MERGERS IN LIGHT OF THEIR PARTICULAR CIRCUMSTANCES, INCLUDING THE APPLICATION AND EFFECT OF ANY FEDERAL, STATE, LOCAL, NON-U.S. OR OTHER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7"/>
      <w:bookmarkEnd w:id="17"/>
      <w:r>
        <w:rPr>
          <w:rFonts w:ascii="Times New Roman PS Std;serif" w:hAnsi="Times New Roman PS Std;serif"/>
          <w:b/>
          <w:i w:val="false"/>
          <w:caps w:val="false"/>
          <w:smallCaps w:val="false"/>
          <w:sz w:val="20"/>
        </w:rPr>
        <w:t xml:space="preserve">COMPARISON OF RIGHTS OF STOCKHOLDERS OF SOUNDHOUND AND </w:t>
        <w:br/>
        <w:t xml:space="preserve">STOCKHOLDERS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both incorporated under the laws of the State of Delaware. Upon completion of the Mergers, the certificate of incorporation and bylaws of Merger Sub II in effect immediately prior to the Second Effective Time will be the certificate of incorporation and bylaws of the combined company. The rights of LivePerson stockholders who receive shares of SoundHound Common Stock as a result of the First Merger will be governed by the DGCL, the SoundHound charter and the SoundHound bylaws. The following discussion summarizes certain material differences between the rights of holders of LivePerson Common Stock and SoundHound Common Stock resulting from the differences in their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statement of the rights of holders of SoundHound Common Stock under the DGCL, the SoundHound charter and the SoundHound bylaws or the rights of holders of LivePerson Common Stock under the DGCL, the LivePerson charter and the LivePerson bylaws, and is qualified in its entirety by reference to the governing corporate documents of SoundHound and LivePerson and applicable law. For more information,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tbl>
      <w:tblPr>
        <w:tblW w:w="10205" w:type="dxa"/>
        <w:jc w:val="left"/>
        <w:tblInd w:w="0" w:type="dxa"/>
        <w:tblLayout w:type="fixed"/>
        <w:tblCellMar>
          <w:top w:w="0" w:type="dxa"/>
          <w:left w:w="0" w:type="dxa"/>
          <w:bottom w:w="0" w:type="dxa"/>
          <w:right w:w="0" w:type="dxa"/>
        </w:tblCellMar>
      </w:tblPr>
      <w:tblGrid>
        <w:gridCol w:w="6319"/>
        <w:gridCol w:w="146"/>
        <w:gridCol w:w="3740"/>
      </w:tblGrid>
      <w:tr>
        <w:trPr/>
        <w:tc>
          <w:tcPr>
            <w:tcW w:w="631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74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Stock</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authorizes 800,000,000 shares of capital stock, consisting of 755,000,000 shares of Class A Common Stock, 44,000,000 shares of Class B Common Stock and 1,000,000 shares of Preferred Stock, each with a par value of $0.0001 per share. The SoundHound board of directors is authorized, subject to Delaware law, to issue Preferred Stock in one or more series and to fix the designations, powers, preferences, rights, qualifications, limitations and restrictions of each such series by certificate of designation. The SoundHound charter provides that the number of SoundHound’s authorized shares of Preferred Stock may also be increased or decreased by the then-outstanding shares of capital stock of SoundHound entitled to vote thereon, without a separate vote of the holders of the Preferred Stock or any series thereof, unless a vote of any such holders is required under the terms of any certificate of designation designating a series of Preferred Stock. As of the Record Date, there were 403,138,772 shares of Class A Common Stock, 32,535,408 shares of Class B Common Stock and zero shares of Preferred Stock outstanding.</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authorizes 20,000,000 shares of Common Stock and 5,000,000 shares of Preferred Stock, each with a par value of $0.001 per share. The LivePerson board of directors is authorized, subject to Delaware law, to issue Preferred Stock in series, and to fix the designations, powers, preferences and rights of the shares of each such series and the qualifications, limitations or restrictions thereof by certificate of designation. As of the Record Date, there were 12,332,427 shares of LivePerson Common Stock and zero shares of Preferred Stock outstanding.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the number of directors will be fixed solely and exclusively by resolution of the SoundHound board of directors, subject to the rights of the holders of any series of Preferred Stock. Directors are elected at each annual meeting for terms expiring at the succeeding annual meeting and hold office until their successors are elected and qualified, or until their earlier death, resignation or removal. The SoundHound bylaws provide that the board will consist of not fewer than one and not more than nine directors, with the exact number fixed from time to time by the board of directors, and that directors need not be SoundHound stockholders.</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number of directors will be not less than 3 and not more than 15 (exclusive of directors, if any, to be elected by holders of Preferred Stock, voting separately as a class). The LivePerson board of directors is divided into 3 classes: Class I, Class II, and Class III, each of which to be as nearly equal in number as possible. The LivePerson bylaws provide that the directors are elected for a term of 3 years and hold office until their successors are elected and qualified. Directors need not be LivePerson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54"/>
        <w:gridCol w:w="146"/>
        <w:gridCol w:w="3905"/>
      </w:tblGrid>
      <w:tr>
        <w:trPr/>
        <w:tc>
          <w:tcPr>
            <w:tcW w:w="61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9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series of Preferred Stock, SoundHound directors may be removed either for or without cause by the affirmative vote of the holders of a majority of the voting power of the then-outstanding shares of capital stock of SoundHound entitled to vote generally in the election of directors, voting together as a single class. The SoundHound bylaws similarly provide that directors may be removed by a majority of the voting power of the holders of SoundHound’s outstanding shares then entitled to vote in an election of directors, except that if the board is classified, removal may be effected only for cause. In the event that a director is removed, a new director may be elected at the same time for the unexpired portion of the full term of the director who was previously removed.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directors may be removed at any time, but only for cause, by the affirmative vote of 66.67% of the outstanding shares of capital stock entitled to vote generally in the election of directors.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Filling Vacancies on the Board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holders of any series of Preferred Stock, newly created directorships and vacancies on the SoundHound board, including unfilled vacancies resulting from removal, may be filled only by the vote of a majority of the remaining directors then in office, even if less than a quorum, or by the sole remaining director. Subject to the rights of holders of any series of Preferred Stock, a director elected to fill a vacancy resulting from the death, resignation or removal of a director will serve for the remainder of the full term of the director whose death, resignation or removal created the vacancy and until such director’s successor has been elected and qualified.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Vacancies and newly created directorships resulting from any increase in the number of authorized directors may be filled by the affirmative vote of a majority of the directors then in office, though less than a quorum, or by the sole remaining director. A director elected to fill such vacancy will hold office until the next annual election at which such director’s class is to be elected and until their successors are duly elected and shall qualify.</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Certificate of Incorporation</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reserves the right to amend, alter, change or repeal any provision of its charter in the manner prescribed by the charter and the DGCL. However, subject to the provisions in the SoundHound charter governing authorized share changes and Preferred Stock, no provision of Article IV, Article V, Article VI, Section 7.1, Section 7.3, Article VIII, Article IX or Article X may be amended, repealed or altered, and no bylaw inconsistent with the provisions of those Articles or Sections may be adopted, unless such change is approved by the affirmative vote of holders of at least a majority of the voting power of the outstanding shares entitled to vote generally in the election of directors, voting together as a single class, in addition to any other vote required by law or the charter. SoundHound has opted out of separate class votes under DGCL Section 242(b)(2) for increases or decreases in authorized shares of Class A Common Stock or Class B Common Stock, and has elected to be governed by DGCL Section 242(d).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reserves the right to amend, alter, change or repeal any provision of its charter in a manner prescribed by the charter. However, the provisions set forth in Article V, Article VI, Article VII, Article VIII, Article IX and Article X may not be repealed, altered, amended or rescinded in any respect unless such change is approved by the affirmative vote of the holders of at least 66.67% of the outstanding shares of capital stock entitled to vote generally in the election of directors (considered for this purpose as a single class) cast at a meeting of stockholders called for that purpose.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94"/>
        <w:gridCol w:w="146"/>
        <w:gridCol w:w="4865"/>
      </w:tblGrid>
      <w:tr>
        <w:trPr/>
        <w:tc>
          <w:tcPr>
            <w:tcW w:w="51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8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Bylaws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board of directors is expressly authorized to make, alter and repeal the bylaws, subject to the limitations in the charter. SoundHound stockholders may adopt, amend, alter or repeal the bylaws by the affirmative vote of holders of at least a majority of the voting power of all then-outstanding shares entitled to vote generally in the election of directors, voting together as a single class, in addition to any vote required by law, the charter or any Preferred Stock designation. No bylaw adopted by stockholders will invalidate any prior board action that would have been valid if such bylaw had not been adopted.</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expressly authorized to adopt, repeal, alter, amend and rescind the LivePerson bylaws by the affirmative vote of at least 66.67% of the board of directors. LivePerson stockholders may repeal, alter, amend or rescind the LivePerson bylaws by the affirmative vote of at least 66.67% of the outstanding shares of capital stock entitled to vote generally in the election of directors (considered for this purpose as a single class) cast at a meeting of stockholders called for that purpose.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Meetings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written notice of an annual meeting stating the place, date and hour of the meeting must be given to each stockholder entitled to vote at the meeting not less than 10 nor more than 60 days before the annual meeting. For special meetings, written notice stating the time, place and purpose or purposes of the meeting must be given to each stockholder entitled to vote at the meeting not less than 10 nor more than 60 days before the meeting date. Business transacted at a special meeting is limited to the purposes stated in the notice. The holders of a majority of the voting power of SoundHound’s stock issued and outstanding and entitled to vote shall constitute a quorum at all meetings of the stockholders for the transaction of business.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written notice of an annual meeting stating the place, date and hour of the meeting shall be given to each LivePerson stockholder entitled to vote not fewer than 10 nor more than 60 days before the date of the meeting. For special meetings, written notice stating the place, date, hour and purpose or purposes of the meeting shall be given not fewer than 10 nor more than 60 days before the date of the meeting to each stockholder entitled to vote at such meeting. The holders of a majority of the voting power of LivePerson’s stock issued and outstanding and entitled to vote shall constitute a quorum at all annual meetings of the stockholders for the transaction of business. The holders of at least 33.333% of the voting power of LivePerson’s stock issued and outstanding and entitled to vote shall constitute a quorum at all special meetings of the stockholders for the transaction of business.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to Call Special Meeting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subject to the rights of the holders of any series of Preferred Stock and applicable law, special meetings of SoundHound stockholders may be called only by the Chairman of the SoundHound board of directors, the Chief Executive Officer or the board of directors pursuant to a resolution adopted by a majority of the board, and stockholders are specifically denied the ability to call a special meeting. </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special meetings of stockholders, for any purpose or purposes, may only be called by the Chairman of the LivePerson board of directors or the President, and special meetings shall be called by the Chairman of the board of directors, the President or the Secretary, at the written request two-thirds of the LivePerson board of directors. LivePerson stockholders do not have the right to call a special meeting.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Nominations and Proposals by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business may be brought before an annual meeting only if specified in the meeting notice, otherwise brought before the meeting by or at the direction of the SoundHound board of directors, or otherwise properly brought by a stockholder who gives timely written notice to SoundHound’s Secretary. To be timely, a stockholder proposal notice generally must be delivered to or mailed and received at SoundHound’s principal executive offices not less than 60 nor more than 90 days before the meeting, except that if less than 70 days’ notice or prior public disclosure of the meeting date is given, notice must be received by the close of business on the tenth day following the day on which notice of the date of the annual meeting was mailed, or such public disclosure was made, whichever first occurs.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business may be brought before an annual meeting only if specified in the meeting notice, otherwise brought before the meeting by or at the direction of the LivePerson board of directors, or otherwise properly brought by a LivePerson stockholder who gives timely written notice to LivePerson’s Secretary. To be timely, a stockholder proposal notice must be delivered to the Secretary at the principal executive offices not less than 90 nor more than 120 days before the first anniversary of the preceding year’s annual meeting, except that if the annual meeting is more than 30 days before or more than 70 days after such anniversary date, notice by a stockholder must be delivered no earlier than 120 days before the meeting and no later than 90 days prior to the meeting or the close of business on the 10th day following the public disclosure of the meeting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330"/>
        <w:gridCol w:w="146"/>
        <w:gridCol w:w="4729"/>
      </w:tblGrid>
      <w:tr>
        <w:trPr/>
        <w:tc>
          <w:tcPr>
            <w:tcW w:w="53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72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do not provide stockholders with proxy access rights permitting stockholder nominees to be included in SoundHound’s proxy materials.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do not provide LivePerson stockholders with proxy access rights permitting stockholder nominees to be included in LivePerson proxy materials.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Officers, Directors and Employees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SoundHound will, to the fullest extent permitted by Section 145 of the DGCL, indemnify all persons whom it may indemnify under that section. The charter also provides that expenses incurred by an officer or director in defending an action, suit, or proceeding for which such officer or director may be entitled to indemnification will be paid by SoundHound in advance of the final disposition of such action, suit or proceeding upon receipt of an undertaking by such officer or director to repay such amounts if it is ultimately determined that the person is not entitled to indemnification. The bylaws provide indemnification for directors, officers, employees and agents regarding expenses, judgments, and amounts incurred in connection with a proceeding if they acted in good faith and in a manner they reasonably believed to be not opposed to the best interests of SoundHound, and with respect to any criminal proceeding, had no reasonable cause to believe their conduct was unlawful. A director of SoundHound will not be personally liable to SoundHound or its stockholders for monetary damages for breach of fiduciary duty, except for liability arising from a breach of the director’s duty of loyalty, for actions taken not in good faith or which involve intentional misconduct or a knowing violation of law, under Section 174 of the DGCL, or for any transaction from which the director derived an improper personal benefit. Officers of SoundHound will not be personally liable to SoundHound or its stockholders for monetary damages for breach of fiduciary duty to the fullest extent permitted by the DGCL.</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LivePerson may, to the fullest extent permitted by Section 145 of the DGCL, indemnify each person who was or is a party or is threatened to be made a party to any threatened, pending or completed action, suit or proceeding, whether civil, criminal, administrative or investigative, by reason of the fact that such person is or was a director or officer of LivePerson, or is or was serving at the request of LivePerson as a director, officer or trustee of another corporation, partnership, joint venture, trust or other enterprise, against all expenses (including attorneys’ fees), judgments, fines and amounts paid in settlement actually and reasonably incurred in connection with such action, suit or proceeding. Indemnification may include payment of expenses in advance of the final disposition of a proceeding upon receipt of an undertaking by such director or officer to repay such amounts if it is ultimately determined that such person is not entitled to indemnification. No director of LivePerson shall be personally liable to LivePerson or its stockholders for monetary damages for any breach of fiduciary duty as a director, except to the extent that the DGCL prohibits the elimination or limitation of such liability. The LivePerson charter also permits LivePerson to purchase and maintain directors’ and officers’ liability insurance.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SoundHound charter or applicable law, holders of Class A Common Stock and Class B Common Stock vote together as a single class on all matters, including director elections. Except as otherwise required by law, holders of shares of Class A Common Stock and Class B Common Stock are not entitled to vote on any amendment to the SoundHound charter that relates solely to the terms of one or more outstanding series of Preferred Stock if the holders of such affected series of Preferred Stock are entitled to vote thereon. Each share of Class A Common Stock carries one vote, and each share of Class B Common Stock carries ten votes.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LivePerson Common Stock is entitled to one vote in respect of each share of stock held of record for the election of directors and on all matters submitted to a vote of stockholders. Holders of Preferred Stock shall vote together with holders of LivePerson Common Stock as a single class, subject to any special or preferential voting rights of any then outstanding Preferred Stock. There is no cumulative voting.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46"/>
        <w:gridCol w:w="146"/>
        <w:gridCol w:w="3313"/>
      </w:tblGrid>
      <w:tr>
        <w:trPr/>
        <w:tc>
          <w:tcPr>
            <w:tcW w:w="67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Vote Requirements for Certain Transactions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shares of Class A Common Stock or Class B Common Stock may not be subdivided, combined or reclassified unless the shares of the other class are proportionately subdivided, combined or reclassified in a way that maintains the same proportionate equity ownership between the holders of the outstanding Class A Common Stock and Class B Common Stock, unless a different or disproportionate treatment is approved by holders of a majority of the voting power all then-outstanding shares of Class A Common Stock and Class B Common Stock, each voting separately as a class. In a merger, consolidation or substantially similar transaction, distributions or payments must be made ratably on a per-share basis among the holders of Class A Common Stock and Class B Common Stock as a single class, unless the only difference is that securities distributed on Class B shares have ten times the voting power of securities distributed on Class A shares or the transaction is approved by holders of a majority of the voting power of all then-outstanding shares of each class, each voting separately.</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does not otherwise impose a higher vote standard for approval of mergers or consolidations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Renouncement of Corporate Opportunities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its charter, SoundHound renounces any interest or expectancy in certain “Included Opportunities,” and the corporate opportunity doctrine does not apply to SoundHound or to directors who are not also officers with respect to such Included Opportunities. “Included Opportunities” include business opportunities relating to conversational intelligence, voice artificial intelligence, voice interaction technology, automated voice technology, voice-enable products, voice-enable computing or voice-enable technologies, unless the opportunity is presented to an outside director of SoundHound solely in that person’s capacity as a SoundHound director.</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LivePerson charter nor bylaws provides for the renouncement of corporate opportunities.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Statutory Approval of a Merger</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SoundHound charter does not impose a higher vote standard for approval of mergers, but it does require separate Class A and Class B approval for certain disparate merger or consolidation consideration, as described above.</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LivePerson charter does not impose a higher vote standard for approval of mergers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Action Without a Meeting</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unless otherwise provided in the bylaws, any action required or permitted to be taken by stockholders must be effected at a duly called annual or special meeting and may not be effected by written consent. The SoundHound bylaws provide that, unless otherwise provided by the charter or by board resolution, no action required or permitted to be taken at any annual or special meeting of stockholders may be taken without a meeting.</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stockholders may not take any action by written consent in lieu of a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17"/>
        <w:gridCol w:w="146"/>
        <w:gridCol w:w="5342"/>
      </w:tblGrid>
      <w:tr>
        <w:trPr/>
        <w:tc>
          <w:tcPr>
            <w:tcW w:w="47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53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SoundHound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LivePerson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Forum Selection</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SoundHound consents in writing to an alternative forum, the Court of Chancery of the State of Delaware is, to the fullest extent permitted by law, the sole and exclusive forum for derivative actions, fiduciary duty claims, claims arising under the DGCL or the SoundHound charter or bylaws, and claims governed by the internal affairs doctrine, subject to specified exceptions. The forum selection provision does not apply to suits brought to enforce duties or liabilities under the Exchange Act or other claims within exclusive federal jurisdiction. Unless SoundHound consents in writing to another forum, the federal district courts of the United States are the exclusive forum for Securities Act claims.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LivePerson consents in writing to an alternative forum, the Court of Chancery of the State of Delaware (or, if the Court of Chancery of the State of Delaware does not have jurisdiction, any other state or federal court located within the State of Delaware with jurisdiction) is, to the fullest extent permitted by law, the sole and exclusive forum for derivative actions, fiduciary duty claims, claims arising under the DGCL or the LivePerson charter or bylaws, and claims governed by the internal affairs doctrine, or any action, suit or proceeding asserting an “internal corporate claim” as that term is defined in Section 115 of the DGCL. Unless LivePerson consents in writing to another forum, the federal district courts of the United States are the exclusive forum for Securities Act claims against LivePerson or any officer or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legality of the shares of SoundHound Common Stock issuable in the Merger will be passed upon for SoundHound by Latham &amp; Watkins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9"/>
      <w:bookmarkEnd w:id="19"/>
      <w:r>
        <w:rPr>
          <w:rFonts w:ascii="Times New Roman PS Std;serif" w:hAnsi="Times New Roman PS Std;serif"/>
          <w:b/>
          <w:i w:val="false"/>
          <w:caps w:val="false"/>
          <w:smallCaps w:val="false"/>
          <w:sz w:val="20"/>
        </w:rPr>
        <w:t xml:space="preserve">EXPERTS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LivePerson, Inc. as of December 31, 2025 and 2024 and for each of the three years in the period ended December 31, 2025 and management’s assessment of the effectiveness of internal control over financial reporting as of December 31, 2025 incorporated by reference in this proxy statement/prospectus have been so incorporated in reliance on the reports of BDO USA, P.C.,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Interactions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20"/>
      <w:bookmarkEnd w:id="20"/>
      <w:r>
        <w:rPr>
          <w:rFonts w:ascii="Times New Roman PS Std;serif" w:hAnsi="Times New Roman PS Std;serif"/>
          <w:b/>
          <w:i w:val="false"/>
          <w:caps w:val="false"/>
          <w:smallCaps w:val="false"/>
          <w:sz w:val="20"/>
        </w:rPr>
        <w:t xml:space="preserve">SECURITY OWNERSHIP OF CERTAIN BENEFICIAL OWNERS AND </w:t>
        <w:br/>
        <w:t xml:space="preserve">MANAGEMENT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outstanding shares of LivePerson Common Stock as of June 25, 2026, unless otherwise indicated in the footnotes below,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whom LivePerson knows to beneficially own more than five percent of LivePerson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named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LivePerson’s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contemplated by the Mergers and the Merger Agreement, LivePerson has no knowledge of any arrangement that would, at a subsequent date, result in a change in control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and investment power with respect to shares. Percentage of beneficial ownership is based on 12,332,427 shares of LivePerson Common Stock outstanding on June 25, 2026 (excluding shares held in treasury). Unless otherwise indicated, the persons named in the table directly own the shares and have sole voting and sole investment control with respect to all shares beneficially owned:</w:t>
      </w:r>
    </w:p>
    <w:tbl>
      <w:tblPr>
        <w:tblW w:w="10164" w:type="dxa"/>
        <w:jc w:val="left"/>
        <w:tblInd w:w="0" w:type="dxa"/>
        <w:tblLayout w:type="fixed"/>
        <w:tblCellMar>
          <w:top w:w="0" w:type="dxa"/>
          <w:left w:w="0" w:type="dxa"/>
          <w:bottom w:w="0" w:type="dxa"/>
          <w:right w:w="0" w:type="dxa"/>
        </w:tblCellMar>
      </w:tblPr>
      <w:tblGrid>
        <w:gridCol w:w="6676"/>
        <w:gridCol w:w="146"/>
        <w:gridCol w:w="1396"/>
        <w:gridCol w:w="146"/>
        <w:gridCol w:w="979"/>
        <w:gridCol w:w="821"/>
      </w:tblGrid>
      <w:tr>
        <w:trPr/>
        <w:tc>
          <w:tcPr>
            <w:tcW w:w="6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Owned(2)</w:t>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Common Stock </w:t>
              <w:br/>
              <w:t xml:space="preserve">Outstanding </w:t>
              <w:b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both"/>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Davidson Kempner Capital Management LP(3)</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686,800</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821"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D. Collins(4)</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Dan Fletcher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James Miller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Vanessa Pegueros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Sabino</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41,618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Karin-Joyce (K.J.) Tjon</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Ryan Vardeman(5)</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44,422</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William G. Wesemann(6)</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37,389</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Anthony Zingale(7)</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 as a group (12 persons)(8)</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257,942</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82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w:t>
      </w:r>
      <w:r>
        <w:rPr>
          <w:rFonts w:ascii="Times New Roman PS Std;serif" w:hAnsi="Times New Roman PS Std;serif"/>
          <w:b w:val="false"/>
          <w:i w:val="false"/>
          <w:caps w:val="false"/>
          <w:smallCaps w:val="false"/>
          <w:sz w:val="18"/>
        </w:rPr>
        <w:t>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noted otherwise, the business address of each beneficial owner is c/o LivePerson, Inc., 530 Seventh Avenue, Floor M1, New York, New York 10018.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Beneficial ownership is determined in accordance with the rules of the SEC and includes voting and/or investment power with respect to the shares shown as beneficially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     Holdings based solely on our review of the Schedule 13D filed with the SEC on February 17, 2026 by M.H. Davidson &amp; 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 LP. DKCM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serves as the investment manager to these subfunds and, pursuant to investment management agreements, exercises ultimate voting and dispositive power over the securities. The business address of each beneficial owner is c/o Davidson Kempner Capital Management LP, 9 West 57th Street, 29th Floor, New York, New York 10019.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6,260 shares underlying LivePerson Options that are currently exercisable or that will be exercisable at or within 60 days of June 25, 2026 and 2,905 RSUs which will be vested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states that nothing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LivePerson or securities of LivePerson for purposes of Section 13(d) or 13(g) of the Securities Exchange Act of 1934, as amended.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declares that nothing herein shall be construed as an admission that such persons are, for the purposes of Section 13(d) or 13(g) of the Exchange Act, or any other purpose, a member of a group with respect to LivePerson or securities of LivePerson.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7,067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8,888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41,117 shares underlying LivePerson Options that are currently exercisable or that will be exercisable at or within 60 days of June 25, 2026 and 4,212 RSUs which will be vested within 60 days of June 25,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21"/>
      <w:bookmarkEnd w:id="21"/>
      <w:r>
        <w:rPr>
          <w:rFonts w:ascii="Times New Roman PS Std;serif" w:hAnsi="Times New Roman PS Std;serif"/>
          <w:b/>
          <w:i w:val="false"/>
          <w:caps w:val="false"/>
          <w:smallCaps w:val="false"/>
          <w:sz w:val="20"/>
        </w:rPr>
        <w:t xml:space="preserve">APPRAISAL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TASE Shares who held or beneficially owned TASE Shares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holder or beneficial owner of TASE Shares wishes to seek appraisal in respect of such shares, such person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required to send a notice to that effect to each holder of TASE shares not less than 20 days prior to the special meeting. This proxy statement/prospectus constitutes that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xml:space="preserve">. If you are a holder of TASE Shares and wish to consider exercising your appraisal rights, you should carefully review the text of Section 262. Failure to comply timely and properly with the requirements of Section 262 may result in the loss of your appraisal rights under the DGCL. If you hold your TASE Shares through a bank, broker or other nominee and you wish to exercise appraisal rights, you should consult with your bank, broker or the other nominee. The following summary does not constitute any legal or other advice, nor does it constitute a recommendation that stockholders exercise their appraisal rights under Section 262. </w:t>
      </w: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are a holder or beneficial owner of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or beneficial owners of TASE Shares who desire to exercise their appraisal rights must do ALL of the following: (i) not vote in favor of the adoption of the merger proposal, (ii) deliver in the manner set forth below a written demand for appraisal of the stockholder’s TASE Shares to the Chief Legal Officer of LivePerson before the vote on the merger proposal, (iii) continuously hold TASE Shares of record or beneficially through the TASECH from the date of making the demand through the Second Effective Time and (iv) otherwise comply with the requirements of Section 262.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demand for appraisal made by a holder of record of TASE Shares, the demand must reasonably inform LivePerson of the identity of such holder and that such holder intends thereby to demand appraisal of such holder’s shares. In the case of a written demand for appraisal made by a beneficial owner of TASE Shares, the demand must reasonably identify the record holder of the TASE Shares for which the demand is made, be accompanied by documentary evidence of such beneficial owner’s beneficial ownership of such shares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TASE Shares for which such demand is submitted. If a holder of record of TASE Shares is submitting a demand with respect to shares that are owned of record in a fiduciary or representative capacity, such as by a trustee, guardian or custodian, such demand must be executed by or on behalf of such holder of record in that capacity. If such shares are owned of record by more than one person, as in a joint tenancy or tenancy in common, such demand should be executed by or on behalf of all joint owners. An authorized agent, including an agent of two or more joint owners, may execute such demand for appraisal for a holder of record of TASE Shares; however, the agent must identify the record owner or owners and expressly disclose in such demand that the agent is acting as agent for the record owner or owners. A record owner, such as a bank, broker or other nominee, who holds the TASE Shares as a nominee for one or more beneficial owners of TASE Shares may exercise appraisal rights with respect to such TASE Shares held for all or less than all beneficial owners of TASE Shares as to which the holder is the record owner. In that case, the written demand must set forth the number of TASE Shares covered by the demand. Where the number of TASE Shares is not expressly stated, the demand will be presumed to cover all TASE Shares of LivePerson common stock outstanding in the name of the record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beneficial owner of TASE Shares must coordinate any appraisal demand through the applicable TASE member through which such beneficial owner holds its TASE Shares. Under the Merger Agreement, any holders or beneficial owners of TASE Shares issued and outstanding immediately prior to the Second Effective Time who (i) do not vote in favor of the adoption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shall not be converted into the right to receive the Per Share Cash Merger Consideration. Instead, at the Second Effective Time, such Dissenting Shares shall be converted into the right to receive payment of the fair value of such Dissenting Shares in accordance with the Appraisal Rights. With respect to any demand made by a holder of TASE Shares, LivePerson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TASECH any notice or instruction reasonably required by TASECH or the applicable TASE member in order to prevent such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and beneficial holders that hold or beneficially own TASE Shares seeking appraisal rights who elect to demand appraisal of their TASE Shares must mail or deliver their written demand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Seventh Avenue., Floor M1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Monica Greenberg, Chief Legal and Administrative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written demand must be received by LivePerson prior to the vote on the adoption of the merger proposal at the special meeting. Neither voting (via the virtual meeting website or by proxy) against, abstaining from voting on or failing to vote on the adoption of the merger proposal will alone suffice to constitute a written demand for appraisal within the meaning of Section 262. In addition, the LivePerson stockholder or beneficial owner must not vote its TASE Shares in favor of adoption of the merger proposal. An executed proxy that does not contain voting instructions will, unless revoked, be voted in favor of adoption of the merger proposal and will cause the LivePerson stockholder’s right of appraisal to be lost. Therefore, a LivePerson stockholder who desires to exercise appraisal rights in respect of his, her or its TASE Shares should either (x) refrain from executing and submitting the enclosed proxy card or (y) vote by proxy against the adoption of the merger proposal or affirmatively register an abstention with respect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but not thereafter, either the surviving corporation or any person who has timely and properly demanded appraisal of such stockholder’s Dissenting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person other than the surviving corporation, demanding a determination of the fair value of the Dissenting Shares of all stockholders entitled to appraisal. The surviving corporation has no obligation to file such petition and there is no present intent on the part of LivePerson, as the surviving corporation, to file an appraisal petition, and persons seeking to exercise appraisal rights should not assume that the surviving corporation will file such a petition or that the surviving corporation will initiate any negotiations with respect to the fair value of such Dissenting Shares. Accordingly, stockholders and beneficial owners of TASE Shares who desire to have their Dissenting Shares appraised should initiate any petitions necessary for the perfection of their appraisal rights within the time periods and in the manner prescribed in Section 262. If, within 120 days after the Second Effective Time, no petition has been filed as provided above, all rights to appraisal of any TASE Shares will cease and those shares will be deemed to have been converted at the Second Effective Time into the Per Share Cash Merger Consideration provided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any stockholder or beneficial owner of TASE Shares who has complied with the applicable provisions of Section 262 will be entitled, upon request given in writing, to receive from the surviving corporation a statement setting forth the aggregate number of Dissenting Shares not voted in favor of the merger proposal and with respect to which demands for appraisal were received by the surviving corporation and the aggregate number of holders of record or beneficial owners holding or owning such shares; provided that, where a beneficial owner makes a demand pursuant to paragraph (d)(3) of Section 262, the holder of record of such shares shall not be considered a separate stockholder holding such shares for purposes of such aggregate number. Such statement must be given within ten days after a written request therefor has been received by the surviving corporation or within ten days after the expiration of the period for delivery of demands for appraisal, whichever is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petition for appraisal is duly filed by a LivePerson stockholder or beneficial owner of TASE Shares who has complied with the requirements of Section 262 and is otherwise entitled to appraisal rights and a copy of the petition is delivered to the surviving corporation, then the surviving corporation will be obligated, within 20 days after receiving service of a copy of the petition, to file with the Delaware Register in Chancery a duly verified list (the “</w:t>
      </w:r>
      <w:r>
        <w:rPr>
          <w:rFonts w:ascii="Times New Roman PS Std;serif" w:hAnsi="Times New Roman PS Std;serif"/>
          <w:b w:val="false"/>
          <w:i w:val="false"/>
          <w:caps w:val="false"/>
          <w:smallCaps w:val="false"/>
          <w:sz w:val="20"/>
          <w:u w:val="single"/>
        </w:rPr>
        <w:t>Verified List</w:t>
      </w:r>
      <w:r>
        <w:rPr>
          <w:rFonts w:ascii="Times New Roman PS Std;serif" w:hAnsi="Times New Roman PS Std;serif"/>
          <w:b w:val="false"/>
          <w:i w:val="false"/>
          <w:caps w:val="false"/>
          <w:smallCaps w:val="false"/>
          <w:sz w:val="20"/>
        </w:rPr>
        <w:t>”) containing the names and addresses of all persons who have demanded appraisal for their Dissenting Shares and with whom agreements as to the value of their Dissenting Shares have not been reached. After notice , if such notice is ordered by the Delaware Court of Chancery, the Delaware Court of Chancery will conduct a hearing upon the petition and determine those persons who have complied with Section 262 and who have become entitled to appraisal rights. The Delaware Court of Chancery may require the persons who have demanded an appraisal for their TASE Shares and who hold LivePerson Common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The Delaware Court of Chancery must dismiss an appraisal proceeding as to all holders of TASE Shares who are otherwise entitled to appraisal rights unless (i) the total number of Dissenting Shares entitled to appraisal exceeds 1% of the outstanding TASE Shares eligible for appraisal, or (ii) the value of the consideration provided in the Second Merger for such total number of Dissenting Shares seeking appraisal exceeds $1,000,000. Where proceedings are not dismissed, the appraisal proceeding will be conducted, as to the Dissenting Shares owned by such persons, in accordance with the rules of the Delaware Court of Chancery, including any rules specifically governing appraisal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a hearing on such petition, the Delaware Court of Chancery will determine the persons who have complied with Section 262 and who have become entitled to appraisal rights. Thereafter, the Court will determine the fair value of the Dissenting Shares exclusive of any element of value arising from the accomplishment or expectation of the Mergers, together with interest to be paid, if any, upon the amount determined to be the fair value. Unless the Delaware Court of Chancery in its discretion determines otherwise for good cause shown, and except as provided in subsection (h) of Section 262, interest from the date the Second Merger is completed through the date of payment of the judgment will be compounded quarterly and will accrue at 5% over the Federal Reserve discount rate (including any surcharges) as established from time to time during the period between the date the Second Merger is completed and the date of payment of the judgment. At any time before the entry of judgment in the proceedings, SoundHound may pay to each Dissenting Stockholder an amount in cash, in which case interest will accrue thereafter as provided in Section 262 only upon the sum of (i) the difference, if any, between the amount so paid and the fair value of the Dissenting Shares as determined by the Delaware Court of Chancery, and (ii) interest theretofore accrued, unless paid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that time. In determining fair value, the Delaware Court of Chancery is to take into account all relevant factors. In Weinberger v. UOP, Inc., et al., the Delaware Supreme Court stated that “proof of value by any 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Stockholders and beneficial owners considering seeking appraisal should bear in mind that the fair value of their Dissenting Shares determined under Section 262 could be more than, the same as, or less than the Per Share Cash Merger Consideration to which they may be entitled to receive pursuant to the Merger Agreement if they do not seek appraisal of such shares, and that opinions of investment banking firms as to the fairness from a financial point of view of the consideration payable in a transaction are not opinions as to fair value under Section 262. LivePerson reserves the right to assert, in any appraisal proceeding, that for purposes of Section 262, the “fair value” of a TASE Share is less than the applicable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the appraisal proceeding may be determined by the Delaware Court of Chancery and taxed upon the parties as the Delaware Court of Chancery deems equitable in the circumstances. However, costs do not include attorneys’ and expert witness fees. Upon application of a person whose name appears on the Verified List who participates in the proceeding and incurred expenses in connection therewith, the Delaware Court of Chancery may order all or a portion of such expenses, including, without limitation, reasonable attorneys’ fees and the fees and expenses of experts, to be charged pro rata against the value of all Dissenting Shares entitled to appraisal not dismissed pursuant to subsection (k) of Section 262 or subject to such an award pursuant to a reservation of jurisdiction under subsection (k). In the absence of such a determination of assessment, each party bears its own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date of completion of the Second Merger, any Dissenting Stockholder will not, after completion of the Second Merger, be entitled to vote for any purpose any Dissenting Shares subject to such demand or to receive payment of dividends or other distributions on such shares, except for dividends or distributions payable to LivePerson stockholders of record at a date prior to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Within 10 days after the Second Effective Time, the surviving corporation must give notice of the date that the Second Merger became effective to each of LivePerson’s stockholders who hold TASE Shares and who (i) do not vote in favor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At any time within 60 days after completion of the Second Merger, any person who has demanded appraisal in respect of his, her or its TASE Shares and who has not commenced an appraisal proceeding or joined that proceeding as a named party will have the right to withdraw such person’s demand for appraisal and to accept the Per Share Cash Merger Consideration offered upon the Second Merger. After this period, any such person may withdraw such person’s demand for appraisal only with the written approval of the surviving corporation. If no petition for appraisal is filed with the Delaware Court of Chancery within 120 days after completion of the Second Merger, the rights of any LivePerson stockholder who holds TASE Shares to exercise appraisal rights will cease and such LivePerson stockholder will only be entitled to receive the Per Share Cash Merger Consideration to which such holders or beneficial owners are entitled to receive pursuant to the Merger Agreement, subject to the terms thereof. No appraisal proceeding will be dismissed by the Delaware Court of Chancery as to any person without the approval of the Delaware Court of Chancery, and that approval may be conditioned upon such terms as the Delaware Court of Chancery deems just, including, without limitation a reservation of jurisdiction for any application to the Delaware Court of Chancery made under subsection (j) of Section 262. However, the preceding sentence will not affect the right of any person who holds TASE Shares as of immediately prior to the Second 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and has not commenced an appraisal proceeding or joined the proceeding as a named party to withdraw such person’s demand for appraisal and to accept the terms offered upon the Second Merger within 60 days after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is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strictly with all the procedures set forth in Section 262 may result in the loss of a LivePerson stockholder’s statutory appraisal rights. Consequently, if you hold or beneficially own TASE Shares and wish to exercise your appraisal rights, you are strongly urged to consult a legal advisor before attempting to exercise your appraisal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22"/>
      <w:bookmarkEnd w:id="22"/>
      <w:r>
        <w:rPr>
          <w:rFonts w:ascii="Times New Roman PS Std;serif" w:hAnsi="Times New Roman PS Std;serif"/>
          <w:b/>
          <w:i w:val="false"/>
          <w:caps w:val="false"/>
          <w:smallCaps w:val="false"/>
          <w:sz w:val="20"/>
        </w:rPr>
        <w:t xml:space="preserve">STOCKHOLDER PROPOSALS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will hold an annual meeting of stockholders in 2027 (the “SoundHound 2027 annual meeting”) regardless of whether the Mergers have been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 rules, a SoundHound stockholder who intends to present a proposal, other than director nominations, at the SoundHound 2027 annual meeting and who wishes the proposal to be included in the proxy statement for that meeting must submit the proposal in writing to SoundHound’s corporate secretary. The proposal must comply with the requirements set forth in SoundHound’s bylaws and must have been received no later than 90 days prior to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propose a matter for action at the SoundHound 2027 annual meeting, including the nomination of directors, but who do not wish to have the proposal or nomination included in the proxy statement, must notify SoundHound in writing of the information required by the provisions of SoundHound’s bylaws dealing with stockholder proposals and director nominations. The notice must be delivered to SoundHound’s corporate secretary not less than 60 days nor more than 90 days prior to the SoundHound 2027 annual meeting; provided, however, that in the event that less than 70 days’ notice or prior public disclosure of the date of the annual meeting is given or made to stockholders, notice by a stockholder, to be timely, must be received no later than the close of business on the 10th day following the day on which such notice of the date of the annual meeting was mailed or such public disclosure was made, whichever first occurs. You can obtain a copy of SoundHound’s bylaws by writing SoundHound’s corporate secretary at the address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written proposals should be directed to Corporate Secretary, SoundHound AI, Inc., 5400 Betsy Ross Drive, Santa Clara, CA 95054.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not adopted by the requisite vote of LivePerson stockholders or if the Mergers are not completed for any reason, LivePerson intends to hold an annual meeting of its stockholders in 2026 (the “LivePerson 2026 annual meeting”). In order to be considered for inclusion in LivePerson’s proxy statement and proxy card relating to the LivePerson 2026 annual meeting, any proposal by a stockholder submitted pursuant to Rule 14a-8 under the Exchange Act must be received by LivePerson at its principal executive offices not later than 120 days prior to the release date of LivePerson’s proxy statement for the previous year’s annual meeting and must otherwise be in compliance with the SEC rules regarding eligibility for inclusion in LivePerson’s proxy statement and proxy card. In addition, any proposal for consideration at the LivePerson 2026 annual meeting submitted by a stockholder other than pursuant to Rule 14a-8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date of the first anniversary of the 2025 Annual Meeting of Stockholders (or if the date of the LivePerson 2026 annual meeting is more than 30 days before or more than 70 days after the first anniversary of the 2025 annual meeting,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proposal of business to be considered by stockholders set forth in the LivePerson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nominate a director for election to the LivePerson board of directors at the LivePerson 2026 annual meeting, a stockholder’s notice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first anniversary of the 2025 Annual Meeting of Stockholders (or if the date of the LivePerson 2026 annual meeting is more than 30 days before or more than 70 days after the first anniversary of the 2025 Annual Meeting of Stockholders,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nomination of directors set forth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bylaws. In addition to satisfying the foregoing requirements under the LivePerson bylaws, to comply with the universal proxy rules, stockholders who intend to solicit proxies in support of director nominees other than LivePerson’s nominees must provide notice that sets forth the information required by Rule 14a-19 under the Exchange Act no later than 60 days prior to the first anniversary of the 2025 Annual Meeting of Stockholders (or if the date of the meeting has changed by more than 30 days from the previous year, no later than the later of 60 days prior to the date of the meeting or the 10th day following the day on which public announcement of the date of the annual meeting is first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proposals and director nominations should be addressed to: Corporate Secretary, 530 Seventh Ave, Floor M1, New York, New York 10018.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23"/>
      <w:bookmarkEnd w:id="23"/>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 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24"/>
      <w:bookmarkEnd w:id="24"/>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Both SoundHound and LivePerson file annual, quarterly and current reports, proxy statements and other business and financial information with the SEC. SoundHound’s and LivePerson’s SEC filings are available to the public at the internet website maintained by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You may also obtain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SoundHound and LivePerson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incorporates by reference the following documents that have previously been filed with the SEC by SoundHound: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Annual Report on </w:t>
      </w:r>
      <w:hyperlink r:id="rId7">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2025, filed with the SEC on March 2,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information specifically incorporated by reference into the Annual Report on Form 10-K for the fiscal year ended December 31, 2025, from SoundHound’s definitive proxy statement on </w:t>
      </w:r>
      <w:hyperlink r:id="rId8">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on April 9,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Quarterly Report on </w:t>
      </w:r>
      <w:hyperlink r:id="rId9">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11,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Current Reports on Form 8-K/A filed with the SEC on </w:t>
      </w:r>
      <w:hyperlink r:id="rId10">
        <w:r>
          <w:rPr>
            <w:rStyle w:val="InternetLink"/>
            <w:rFonts w:ascii="Times New Roman PS Std;serif" w:hAnsi="Times New Roman PS Std;serif"/>
            <w:b w:val="false"/>
            <w:i w:val="false"/>
            <w:caps w:val="false"/>
            <w:smallCaps w:val="false"/>
            <w:sz w:val="20"/>
          </w:rPr>
          <w:t>November 17, 2025</w:t>
        </w:r>
      </w:hyperlink>
      <w:r>
        <w:rPr>
          <w:rFonts w:ascii="Times New Roman PS Std;serif" w:hAnsi="Times New Roman PS Std;serif"/>
          <w:b w:val="false"/>
          <w:i w:val="false"/>
          <w:caps w:val="false"/>
          <w:smallCaps w:val="false"/>
          <w:sz w:val="20"/>
        </w:rPr>
        <w:t xml:space="preserve">, and Form 8-K, filed with the SEC on </w:t>
      </w:r>
      <w:hyperlink r:id="rId11">
        <w:r>
          <w:rPr>
            <w:rStyle w:val="InternetLink"/>
            <w:rFonts w:ascii="Times New Roman PS Std;serif" w:hAnsi="Times New Roman PS Std;serif"/>
            <w:b w:val="false"/>
            <w:i w:val="false"/>
            <w:caps w:val="false"/>
            <w:smallCaps w:val="false"/>
            <w:sz w:val="20"/>
          </w:rPr>
          <w:t>March 18,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May 27, 2026</w:t>
        </w:r>
      </w:hyperlink>
      <w:r>
        <w:rPr>
          <w:rFonts w:ascii="Times New Roman PS Std;serif" w:hAnsi="Times New Roman PS Std;serif"/>
          <w:b w:val="false"/>
          <w:i w:val="false"/>
          <w:caps w:val="false"/>
          <w:smallCaps w:val="false"/>
          <w:sz w:val="20"/>
        </w:rPr>
        <w:t xml:space="preserve"> and </w:t>
      </w:r>
      <w:hyperlink r:id="rId14">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SoundHound’s securities registered pursuant to Section 12 of the Exchange Act (included as </w:t>
      </w:r>
      <w:hyperlink r:id="rId15">
        <w:r>
          <w:rPr>
            <w:rStyle w:val="InternetLink"/>
            <w:rFonts w:ascii="Times New Roman PS Std;serif" w:hAnsi="Times New Roman PS Std;serif"/>
            <w:b w:val="false"/>
            <w:i w:val="false"/>
            <w:caps w:val="false"/>
            <w:smallCaps w:val="false"/>
            <w:sz w:val="20"/>
          </w:rPr>
          <w:t>Exhibit 4.6</w:t>
        </w:r>
      </w:hyperlink>
      <w:r>
        <w:rPr>
          <w:rFonts w:ascii="Times New Roman PS Std;serif" w:hAnsi="Times New Roman PS Std;serif"/>
          <w:b w:val="false"/>
          <w:i w:val="false"/>
          <w:caps w:val="false"/>
          <w:smallCaps w:val="false"/>
          <w:sz w:val="20"/>
        </w:rPr>
        <w:t xml:space="preserve"> to SoundHound’s Annual Report on Form 10-K for the year ended December 31, 2025, filed with the SEC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incorporates by reference the following documents that have previously been filed with the SEC by LivePerson:</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Annual Report on Form 10-K for the year ended December 31, 2025, as amended by the </w:t>
      </w:r>
      <w:hyperlink r:id="rId16">
        <w:r>
          <w:rPr>
            <w:rStyle w:val="InternetLink"/>
            <w:rFonts w:ascii="Times New Roman PS Std;serif" w:hAnsi="Times New Roman PS Std;serif"/>
            <w:b w:val="false"/>
            <w:i w:val="false"/>
            <w:caps w:val="false"/>
            <w:smallCaps w:val="false"/>
            <w:sz w:val="20"/>
          </w:rPr>
          <w:t>10-K/A</w:t>
        </w:r>
      </w:hyperlink>
      <w:r>
        <w:rPr>
          <w:rFonts w:ascii="Times New Roman PS Std;serif" w:hAnsi="Times New Roman PS Std;serif"/>
          <w:b w:val="false"/>
          <w:i w:val="false"/>
          <w:caps w:val="false"/>
          <w:smallCaps w:val="false"/>
          <w:sz w:val="20"/>
        </w:rPr>
        <w:t xml:space="preserve"> filed with the SEC on April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Quarterly Report on </w:t>
      </w:r>
      <w:hyperlink r:id="rId17">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8,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Current Reports on Form 8-K, filed with the SEC on </w:t>
      </w:r>
      <w:hyperlink r:id="rId18">
        <w:r>
          <w:rPr>
            <w:rStyle w:val="InternetLink"/>
            <w:rFonts w:ascii="Times New Roman PS Std;serif" w:hAnsi="Times New Roman PS Std;serif"/>
            <w:b w:val="false"/>
            <w:i w:val="false"/>
            <w:caps w:val="false"/>
            <w:smallCaps w:val="false"/>
            <w:sz w:val="20"/>
          </w:rPr>
          <w:t>January 28,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and </w:t>
      </w:r>
      <w:hyperlink r:id="rId20">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LivePerson’s securities registered pursuant to Section 12 of the Exchange Act (included as </w:t>
      </w:r>
      <w:hyperlink r:id="rId21">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to LivePerson’s Annual Report on Form 10-K for the year ended December 31, 2025, filed with the SEC on April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SoundHound and LivePerson are incorporating by reference (i) any documents they may file under Section 13(a), 13(c), 14 or 15(d) of the Exchange Act on or after the date of the initial registration statement on Form S-4 filed by SoundHound on May 27, 2026,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special meeting of LivePerson stockholders, provided, however, that SoundHound and LivePerson are not incorporating by reference any information furnished (but not filed), except as otherwise specified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certain other information concerning SoundHound or LivePerson, without charge, upon written or oral request to the applicable company’s principal executive offices. The respective addresses and phone numbers of such principal executive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vAlign w:val="bottom"/>
          </w:tcPr>
          <w:p>
            <w:pPr>
              <w:pStyle w:val="TableContents"/>
              <w:bidi w:val="0"/>
              <w:spacing w:before="0" w:after="283"/>
              <w:jc w:val="left"/>
              <w:rPr/>
            </w:pPr>
            <w:r>
              <w:rPr/>
              <w:t> </w:t>
            </w:r>
          </w:p>
        </w:tc>
        <w:tc>
          <w:tcPr>
            <w:tcW w:w="31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530 7th Ave, Floor M1</w:t>
              <w:br/>
              <w:t>New York, New York 10018</w:t>
              <w:br/>
              <w:t>Attention: Corporate Secretary</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timely delivery of these documents before the LivePerson special meeting, LivePerson stockholders must request the information no later than August 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SoundHound nor LivePerson has authorized anyone to give any information or make any representation about the Mergers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9925"/>
      <w:bookmarkEnd w:id="25"/>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(as defined below).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SoundHound, LivePerson and Lightspeed Merger Sub, Inc., an indirect, wholly owned subsidiary of SoundHound (“Merger Sub I”) entered into a Merger Agreement (the “Original Merger Agreement”), which was subsequently amended and restated on July 2, 2026, among SoundHound, LivePerson, Merger Sub I and Lightspeed Merger Sub II, Inc., an indirectly, wholly owned subsidiary of SoundHound (“Merger Sub II”) (the Original Merger Agreement, as amended and restated, the “Merger Agreement”). Upon the terms and subject to the conditions set forth in the Merger Agreement,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collectively the “LivePerson Merger”), with LivePerson surviving the Second Merger as an indirect, wholly owned subsidiary of SoundHound. Also on April 21, 2026, concurrently with the execution of the Original Merger Agreement, SoundHound entered into a Notes Restructuring Agreement (the “Notes Restructuring Agreement”, together with the Merger Agreement, collectively, the “Transaction Agreements”) with LivePerson and the Secured Holders (as defined below), pursuant to which, and on the terms and subject to the conditions thereof, among other things, the Secured Holders have agreed to release and deem satisfied the Secured Notes for the consideration contemplated thereby.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for a two-step transaction for holders of LivePerson common stock.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First, all shares of LivePerson common stock other than shares listed on the Tel Aviv Stock Exchange Ltd. (the “non-TASE Shares”) will be cancelled and converted into the right to receive the consideration described below, while the shares listed on the Tel Aviv Stock Exchange Ltd., (the “TASE Shares”) will remain issued and outstanding.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Second, the TASE Shares will automatically be converted into the right to receive cash consideration, except for TASE Shares held by holders or beneficial owners of TASE Shares who (i) do not vote in favor of the merger proposal, (ii) properly demand appraisal of their shares of LivePerson Common Stock, (iii) continuously hold or beneficially own such shares through TASECH from the date of making the demand through the effective time of the Second Merger, (iv) otherwise comply with Section 262 of the DGCL and (v) do not withdraw or otherwise lose their appraisal rights.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 description of the treatment of such shares. The Company expects all TASE Shares to be converted into cash consideration, except to the extent any TASE Shares are paid through the appraisal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Transaction Agreements, total consideration consisted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Shares of SoundHound Class A common stock issued to holders of LivePerson’s First Lien Convertible Senior Notes due 2029 and 10.0% Second Lien Senior Subordinated Secured Notes (collectively, the “Secured Notes,” and the holders of such Secured Notes, the “Secured Holders”) equal to approximately $178.0 million and $83.2 million (the “First and Second Lien Stock Consideration”), respectively, each divided by the SoundHound Closing Stock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Consideration issued to holders of LivePerson common stock with an aggregate value of $42.8 million (the “Shareholder Consideration Amount”), subject to adjustment for LivePerson’s closing cash balance relative to a $74.0 million minimum cash threshold, divided by the SoundHound Closing Stock Price (the “Closing Merger Consideration”), and settled as follows: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SoundHound Class A common stock issued to holders of the non-TASE Shares,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cash consideration to holders of the TASE Shares, subject to a cap of $7.5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Replacement restricted stock units (RSUs) and cash-settled awards issued to continuing LivePerson employees in exchange for outstanding unvested equity awards. All out-of-the-money stock options and warrants were cancelled at closing for no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PS Std;serif" w:hAnsi="Times New Roman PS Std;serif"/>
          <w:b w:val="false"/>
          <w:i/>
          <w:caps w:val="false"/>
          <w:smallCaps w:val="false"/>
          <w:sz w:val="20"/>
        </w:rPr>
        <w:t>ASC 805, Business Combinations</w:t>
      </w:r>
      <w:r>
        <w:rPr>
          <w:rFonts w:ascii="Times New Roman PS Std;serif" w:hAnsi="Times New Roman PS Std;serif"/>
          <w:b w:val="false"/>
          <w:i w:val="false"/>
          <w:caps w:val="false"/>
          <w:smallCaps w:val="false"/>
          <w:sz w:val="20"/>
        </w:rPr>
        <w:t>, and are discussed in Note 4 to the Unaudited Pro Forma Condensed Combined Financial Statements included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of Interactions Acquisition during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derived from the historical financial information of SoundHound, Interactions, and LivePerson, and should be read in conjunction with the following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SoundHound for the year ended December 31, 2025, included in its Annual Report on Form 10-K filed with the Securities and Exchange Commission (“SEC”) on March 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SoundHound for the three months ended March 31, 2026, included in its Quarterly Report on Form 10-Q filed with the SEC on May 11,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LivePerson for the year ended December 31, 2025, included in its Annual Report on Form 10-K filed with the SEC on March 16,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LivePerson, Inc. for the three months ended March 31, 2026, included in its Quarterly Report on Form 10-Q filed with the SEC on May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March 31,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thousands)</w:t>
      </w:r>
    </w:p>
    <w:tbl>
      <w:tblPr>
        <w:tblW w:w="13134" w:type="dxa"/>
        <w:jc w:val="left"/>
        <w:tblInd w:w="0" w:type="dxa"/>
        <w:tblLayout w:type="fixed"/>
        <w:tblCellMar>
          <w:top w:w="0" w:type="dxa"/>
          <w:left w:w="0" w:type="dxa"/>
          <w:bottom w:w="0" w:type="dxa"/>
          <w:right w:w="0" w:type="dxa"/>
        </w:tblCellMar>
      </w:tblPr>
      <w:tblGrid>
        <w:gridCol w:w="5071"/>
        <w:gridCol w:w="146"/>
        <w:gridCol w:w="286"/>
        <w:gridCol w:w="1126"/>
        <w:gridCol w:w="241"/>
        <w:gridCol w:w="146"/>
        <w:gridCol w:w="286"/>
        <w:gridCol w:w="1201"/>
        <w:gridCol w:w="241"/>
        <w:gridCol w:w="146"/>
        <w:gridCol w:w="286"/>
        <w:gridCol w:w="1126"/>
        <w:gridCol w:w="241"/>
        <w:gridCol w:w="146"/>
        <w:gridCol w:w="601"/>
        <w:gridCol w:w="146"/>
        <w:gridCol w:w="286"/>
        <w:gridCol w:w="1126"/>
        <w:gridCol w:w="286"/>
      </w:tblGrid>
      <w:tr>
        <w:trPr/>
        <w:tc>
          <w:tcPr>
            <w:tcW w:w="5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SoundHound Consolidated Balance Sheet Line Items</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SoundHound </w:t>
              <w:br/>
              <w:t>Historical</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LivePerson </w:t>
              <w:br/>
              <w:t xml:space="preserve">Historical </w:t>
              <w:br/>
              <w:t xml:space="preserve">As Adjusted </w:t>
              <w:br/>
              <w:t>(Note 2)</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 xml:space="preserve">Adjustments </w:t>
              <w:br/>
              <w:t>(Note 4)</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215,642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4(a), 4(b), 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262,390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 net of allowances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55,732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288,805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379,999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Restricted cash equivalents,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184,540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(32,538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274,279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172,036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290,036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non-current,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104,374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4(f), 4(g)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 AND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47,661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 4(h), 4(i)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181,598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Contingent acquisition liabilities,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184,285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(395,932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297,431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Series A Preferred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B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1,442,560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(758,688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1,707,210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(982,094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1,060,214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(989,201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460,666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309,043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718,213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year ended December 31, 2025</w:t>
        <w:br/>
        <w:t>(in thousands, except share and per share data)</w:t>
      </w:r>
    </w:p>
    <w:tbl>
      <w:tblPr>
        <w:tblW w:w="11414" w:type="dxa"/>
        <w:jc w:val="left"/>
        <w:tblInd w:w="0" w:type="dxa"/>
        <w:tblLayout w:type="fixed"/>
        <w:tblCellMar>
          <w:top w:w="0" w:type="dxa"/>
          <w:left w:w="0" w:type="dxa"/>
          <w:bottom w:w="0" w:type="dxa"/>
          <w:right w:w="0" w:type="dxa"/>
        </w:tblCellMar>
      </w:tblPr>
      <w:tblGrid>
        <w:gridCol w:w="1721"/>
        <w:gridCol w:w="146"/>
        <w:gridCol w:w="286"/>
        <w:gridCol w:w="1366"/>
        <w:gridCol w:w="241"/>
        <w:gridCol w:w="146"/>
        <w:gridCol w:w="359"/>
        <w:gridCol w:w="1037"/>
        <w:gridCol w:w="146"/>
        <w:gridCol w:w="286"/>
        <w:gridCol w:w="946"/>
        <w:gridCol w:w="241"/>
        <w:gridCol w:w="146"/>
        <w:gridCol w:w="294"/>
        <w:gridCol w:w="928"/>
        <w:gridCol w:w="249"/>
        <w:gridCol w:w="146"/>
        <w:gridCol w:w="646"/>
        <w:gridCol w:w="146"/>
        <w:gridCol w:w="286"/>
        <w:gridCol w:w="1366"/>
        <w:gridCol w:w="286"/>
      </w:tblGrid>
      <w:tr>
        <w:trPr/>
        <w:tc>
          <w:tcPr>
            <w:tcW w:w="1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w:t>
              <w:br/>
              <w:t>Historical</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Interactions</w:t>
              <w:br/>
              <w:t>Historical &amp;</w:t>
              <w:br/>
              <w:t>Transaction</w:t>
              <w:br/>
              <w:t>Accounting</w:t>
              <w:br/>
              <w:t>(Note 3)</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Note</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Pro Forma</w:t>
              <w:br/>
              <w:t>Combined</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(15,934</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153,377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4(p)</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510,794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4(q)</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three months ended March 31, 2026</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2172"/>
        <w:gridCol w:w="146"/>
        <w:gridCol w:w="286"/>
        <w:gridCol w:w="1366"/>
        <w:gridCol w:w="241"/>
        <w:gridCol w:w="146"/>
        <w:gridCol w:w="286"/>
        <w:gridCol w:w="827"/>
        <w:gridCol w:w="241"/>
        <w:gridCol w:w="146"/>
        <w:gridCol w:w="321"/>
        <w:gridCol w:w="878"/>
        <w:gridCol w:w="272"/>
        <w:gridCol w:w="146"/>
        <w:gridCol w:w="646"/>
        <w:gridCol w:w="146"/>
        <w:gridCol w:w="286"/>
        <w:gridCol w:w="1366"/>
        <w:gridCol w:w="287"/>
      </w:tblGrid>
      <w:tr>
        <w:trPr/>
        <w:tc>
          <w:tcPr>
            <w:tcW w:w="21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w:t>
              <w:br/>
              <w:t>Historical</w:t>
            </w:r>
          </w:p>
        </w:tc>
        <w:tc>
          <w:tcPr>
            <w:tcW w:w="146" w:type="dxa"/>
            <w:tcBorders/>
            <w:vAlign w:val="bottom"/>
          </w:tcPr>
          <w:p>
            <w:pPr>
              <w:pStyle w:val="TableContents"/>
              <w:bidi w:val="0"/>
              <w:spacing w:before="0" w:after="283"/>
              <w:jc w:val="left"/>
              <w:rPr/>
            </w:pPr>
            <w:r>
              <w:rPr/>
              <w:t> </w:t>
            </w:r>
          </w:p>
        </w:tc>
        <w:tc>
          <w:tcPr>
            <w:tcW w:w="135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Note</w:t>
            </w:r>
          </w:p>
        </w:tc>
        <w:tc>
          <w:tcPr>
            <w:tcW w:w="146" w:type="dxa"/>
            <w:tcBorders/>
            <w:vAlign w:val="bottom"/>
          </w:tcPr>
          <w:p>
            <w:pPr>
              <w:pStyle w:val="TableContents"/>
              <w:bidi w:val="0"/>
              <w:spacing w:before="0" w:after="283"/>
              <w:jc w:val="left"/>
              <w:rPr/>
            </w:pPr>
            <w:r>
              <w:rPr/>
              <w:t> </w:t>
            </w:r>
          </w:p>
        </w:tc>
        <w:tc>
          <w:tcPr>
            <w:tcW w:w="19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Pro Forma</w:t>
              <w:br/>
              <w:t>Combined</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(4,100</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29,315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37,976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123,499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7,136</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(23,522</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Unaudited Pro Forma Condensed Combined Financial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includes certain reclassifications to conform LivePerson’s and Interactions’ historical accounting presentation to SoundHound’s accounting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Reclassification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balance sheet as of March 31, 2026, to conform presentation to that of SoundHound (in thousands):</w:t>
      </w:r>
    </w:p>
    <w:tbl>
      <w:tblPr>
        <w:tblW w:w="10205" w:type="dxa"/>
        <w:jc w:val="left"/>
        <w:tblInd w:w="0" w:type="dxa"/>
        <w:tblLayout w:type="fixed"/>
        <w:tblCellMar>
          <w:top w:w="0" w:type="dxa"/>
          <w:left w:w="0" w:type="dxa"/>
          <w:bottom w:w="0" w:type="dxa"/>
          <w:right w:w="0" w:type="dxa"/>
        </w:tblCellMar>
      </w:tblPr>
      <w:tblGrid>
        <w:gridCol w:w="2246"/>
        <w:gridCol w:w="146"/>
        <w:gridCol w:w="2148"/>
        <w:gridCol w:w="146"/>
        <w:gridCol w:w="301"/>
        <w:gridCol w:w="1002"/>
        <w:gridCol w:w="146"/>
        <w:gridCol w:w="350"/>
        <w:gridCol w:w="1106"/>
        <w:gridCol w:w="297"/>
        <w:gridCol w:w="146"/>
        <w:gridCol w:w="672"/>
        <w:gridCol w:w="146"/>
        <w:gridCol w:w="301"/>
        <w:gridCol w:w="1052"/>
      </w:tblGrid>
      <w:tr>
        <w:trPr/>
        <w:tc>
          <w:tcPr>
            <w:tcW w:w="2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30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29,029</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224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87,858</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(83,242</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acquisition costs,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83,170</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83,518</w:t>
            </w:r>
          </w:p>
        </w:tc>
      </w:tr>
      <w:tr>
        <w:trPr/>
        <w:tc>
          <w:tcPr>
            <w:tcW w:w="224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47,661</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r>
      <w:tr>
        <w:trPr/>
        <w:tc>
          <w:tcPr>
            <w:tcW w:w="224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r>
      <w:tr>
        <w:trPr/>
        <w:tc>
          <w:tcPr>
            <w:tcW w:w="2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98"/>
        <w:gridCol w:w="146"/>
        <w:gridCol w:w="1783"/>
        <w:gridCol w:w="146"/>
        <w:gridCol w:w="286"/>
        <w:gridCol w:w="1201"/>
        <w:gridCol w:w="241"/>
        <w:gridCol w:w="146"/>
        <w:gridCol w:w="721"/>
        <w:gridCol w:w="1024"/>
        <w:gridCol w:w="146"/>
        <w:gridCol w:w="646"/>
        <w:gridCol w:w="146"/>
        <w:gridCol w:w="286"/>
        <w:gridCol w:w="1201"/>
        <w:gridCol w:w="288"/>
      </w:tblGrid>
      <w:tr>
        <w:trPr/>
        <w:tc>
          <w:tcPr>
            <w:tcW w:w="17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7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notes, net of current portion</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right-of-use assets of $0.1 million from other assets to right-of-use assets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other current liabilities of $0.4 million from accrued expenses and other current liabilities to other current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Reclassification of LivePerson’s historical lease liabilities of $0.1 million from accrued expenses and other current liabilities to operating lease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Reclassification of LivePerson’s historical unbilled receivables of $3.4 million from accounts receivable, net of allowances to contract assets and unbilled receivable, net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Reclassification of LivePerson’s historical internal-use software development costs of $83.2 million from property and equipment to other non-current assets within SoundHound’s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year ended December 31, 2025, to conform presentation to that of SoundHound (in thousands):</w:t>
      </w:r>
    </w:p>
    <w:tbl>
      <w:tblPr>
        <w:tblW w:w="13975" w:type="dxa"/>
        <w:jc w:val="left"/>
        <w:tblInd w:w="0" w:type="dxa"/>
        <w:tblLayout w:type="fixed"/>
        <w:tblCellMar>
          <w:top w:w="0" w:type="dxa"/>
          <w:left w:w="0" w:type="dxa"/>
          <w:bottom w:w="0" w:type="dxa"/>
          <w:right w:w="0" w:type="dxa"/>
        </w:tblCellMar>
      </w:tblPr>
      <w:tblGrid>
        <w:gridCol w:w="4111"/>
        <w:gridCol w:w="146"/>
        <w:gridCol w:w="3826"/>
        <w:gridCol w:w="146"/>
        <w:gridCol w:w="286"/>
        <w:gridCol w:w="946"/>
        <w:gridCol w:w="206"/>
        <w:gridCol w:w="146"/>
        <w:gridCol w:w="1398"/>
        <w:gridCol w:w="343"/>
        <w:gridCol w:w="146"/>
        <w:gridCol w:w="646"/>
        <w:gridCol w:w="146"/>
        <w:gridCol w:w="286"/>
        <w:gridCol w:w="946"/>
        <w:gridCol w:w="251"/>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69,392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 costs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34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3681" w:type="dxa"/>
        <w:jc w:val="left"/>
        <w:tblInd w:w="0" w:type="dxa"/>
        <w:tblLayout w:type="fixed"/>
        <w:tblCellMar>
          <w:top w:w="0" w:type="dxa"/>
          <w:left w:w="0" w:type="dxa"/>
          <w:bottom w:w="0" w:type="dxa"/>
          <w:right w:w="0" w:type="dxa"/>
        </w:tblCellMar>
      </w:tblPr>
      <w:tblGrid>
        <w:gridCol w:w="4111"/>
        <w:gridCol w:w="146"/>
        <w:gridCol w:w="3826"/>
        <w:gridCol w:w="146"/>
        <w:gridCol w:w="229"/>
        <w:gridCol w:w="852"/>
        <w:gridCol w:w="210"/>
        <w:gridCol w:w="146"/>
        <w:gridCol w:w="410"/>
        <w:gridCol w:w="1034"/>
        <w:gridCol w:w="297"/>
        <w:gridCol w:w="146"/>
        <w:gridCol w:w="646"/>
        <w:gridCol w:w="146"/>
        <w:gridCol w:w="229"/>
        <w:gridCol w:w="852"/>
        <w:gridCol w:w="255"/>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29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13,977</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Total other income (expense), </w:t>
              <w:br/>
              <w:t>net</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$4.8 million of historical LivePerson’s interest income from interest income to other income, net within SoundHound’s statement of operations line item.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three months ended March 31, 2026, to conform presentation to that of SoundHound (in thousands):</w:t>
      </w:r>
    </w:p>
    <w:tbl>
      <w:tblPr>
        <w:tblW w:w="10865" w:type="dxa"/>
        <w:jc w:val="left"/>
        <w:tblInd w:w="0" w:type="dxa"/>
        <w:tblLayout w:type="fixed"/>
        <w:tblCellMar>
          <w:top w:w="0" w:type="dxa"/>
          <w:left w:w="0" w:type="dxa"/>
          <w:bottom w:w="0" w:type="dxa"/>
          <w:right w:w="0" w:type="dxa"/>
        </w:tblCellMar>
      </w:tblPr>
      <w:tblGrid>
        <w:gridCol w:w="3496"/>
        <w:gridCol w:w="146"/>
        <w:gridCol w:w="1501"/>
        <w:gridCol w:w="146"/>
        <w:gridCol w:w="286"/>
        <w:gridCol w:w="826"/>
        <w:gridCol w:w="241"/>
        <w:gridCol w:w="146"/>
        <w:gridCol w:w="398"/>
        <w:gridCol w:w="1005"/>
        <w:gridCol w:w="338"/>
        <w:gridCol w:w="146"/>
        <w:gridCol w:w="646"/>
        <w:gridCol w:w="146"/>
        <w:gridCol w:w="286"/>
        <w:gridCol w:w="826"/>
        <w:gridCol w:w="286"/>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Income </w:t>
              <w:br/>
              <w:t>Statement Line Items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Income Statement Line Items</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(Adjusted)</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3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interest income of $0.5 million from interest income to other income, net within SoundHound’s statement of operations line item.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Transaction Accounting Adjustments to Unaudited Pro Forma Condensed Combined Statement of Operations for the year ended December 31, 2025, pertaining to the Interactions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tbl>
      <w:tblPr>
        <w:tblW w:w="10205" w:type="dxa"/>
        <w:jc w:val="left"/>
        <w:tblInd w:w="0" w:type="dxa"/>
        <w:tblLayout w:type="fixed"/>
        <w:tblCellMar>
          <w:top w:w="0" w:type="dxa"/>
          <w:left w:w="0" w:type="dxa"/>
          <w:bottom w:w="0" w:type="dxa"/>
          <w:right w:w="0" w:type="dxa"/>
        </w:tblCellMar>
      </w:tblPr>
      <w:tblGrid>
        <w:gridCol w:w="4242"/>
        <w:gridCol w:w="146"/>
        <w:gridCol w:w="305"/>
        <w:gridCol w:w="882"/>
        <w:gridCol w:w="257"/>
        <w:gridCol w:w="146"/>
        <w:gridCol w:w="321"/>
        <w:gridCol w:w="878"/>
        <w:gridCol w:w="272"/>
        <w:gridCol w:w="146"/>
        <w:gridCol w:w="947"/>
        <w:gridCol w:w="146"/>
        <w:gridCol w:w="374"/>
        <w:gridCol w:w="1143"/>
      </w:tblGrid>
      <w:tr>
        <w:trPr/>
        <w:tc>
          <w:tcPr>
            <w:tcW w:w="42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January 1, 2025 to September 2, 2025</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w:t>
              <w:br/>
              <w:t>(unaudited)</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&amp; </w:t>
              <w:br/>
              <w:t xml:space="preserve">Transaction </w:t>
              <w:br/>
              <w:t xml:space="preserve">Accounting </w:t>
              <w:br/>
              <w:t>Adjustments</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20,323</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 3(b)</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6,426</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42,114</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4,433</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3,804</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3(f)</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Interactions</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Acquisition had been completed on January 1, 2025.</w:t>
      </w:r>
    </w:p>
    <w:tbl>
      <w:tblPr>
        <w:tblW w:w="9684" w:type="dxa"/>
        <w:jc w:val="left"/>
        <w:tblInd w:w="0" w:type="dxa"/>
        <w:tblLayout w:type="fixed"/>
        <w:tblCellMar>
          <w:top w:w="0" w:type="dxa"/>
          <w:left w:w="0" w:type="dxa"/>
          <w:bottom w:w="0" w:type="dxa"/>
          <w:right w:w="0" w:type="dxa"/>
        </w:tblCellMar>
      </w:tblPr>
      <w:tblGrid>
        <w:gridCol w:w="6496"/>
        <w:gridCol w:w="146"/>
        <w:gridCol w:w="475"/>
        <w:gridCol w:w="1175"/>
        <w:gridCol w:w="146"/>
        <w:gridCol w:w="1246"/>
      </w:tblGrid>
      <w:tr>
        <w:trPr/>
        <w:tc>
          <w:tcPr>
            <w:tcW w:w="6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6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vAlign w:val="bottom"/>
          </w:tcPr>
          <w:p>
            <w:pPr>
              <w:pStyle w:val="TableContents"/>
              <w:bidi w:val="0"/>
              <w:spacing w:before="0" w:after="283"/>
              <w:jc w:val="left"/>
              <w:rPr/>
            </w:pPr>
            <w:r>
              <w:rPr/>
              <w:t> </w:t>
            </w:r>
          </w:p>
        </w:tc>
        <w:tc>
          <w:tcPr>
            <w:tcW w:w="4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9432" w:type="dxa"/>
        <w:jc w:val="left"/>
        <w:tblInd w:w="0" w:type="dxa"/>
        <w:tblLayout w:type="fixed"/>
        <w:tblCellMar>
          <w:top w:w="0" w:type="dxa"/>
          <w:left w:w="0" w:type="dxa"/>
          <w:bottom w:w="0" w:type="dxa"/>
          <w:right w:w="0" w:type="dxa"/>
        </w:tblCellMar>
      </w:tblPr>
      <w:tblGrid>
        <w:gridCol w:w="7591"/>
        <w:gridCol w:w="146"/>
        <w:gridCol w:w="466"/>
        <w:gridCol w:w="1229"/>
      </w:tblGrid>
      <w:tr>
        <w:trPr/>
        <w:tc>
          <w:tcPr>
            <w:tcW w:w="7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r>
      <w:tr>
        <w:trPr/>
        <w:tc>
          <w:tcPr>
            <w:tcW w:w="7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r>
        <w:trPr/>
        <w:tc>
          <w:tcPr>
            <w:tcW w:w="7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cost of revenues</w:t>
            </w:r>
          </w:p>
        </w:tc>
        <w:tc>
          <w:tcPr>
            <w:tcW w:w="146" w:type="dxa"/>
            <w:tcBorders/>
            <w:shd w:fill="CCEEFF" w:val="clear"/>
            <w:vAlign w:val="bottom"/>
          </w:tcPr>
          <w:p>
            <w:pPr>
              <w:pStyle w:val="TableContents"/>
              <w:bidi w:val="0"/>
              <w:spacing w:before="0" w:after="283"/>
              <w:jc w:val="left"/>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8384"/>
        <w:gridCol w:w="146"/>
        <w:gridCol w:w="373"/>
        <w:gridCol w:w="926"/>
        <w:gridCol w:w="376"/>
      </w:tblGrid>
      <w:tr>
        <w:trPr/>
        <w:tc>
          <w:tcPr>
            <w:tcW w:w="83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br/>
              <w:t xml:space="preserve">January 1, </w:t>
              <w:br/>
              <w:t xml:space="preserve">2025 to </w:t>
              <w:br/>
              <w:t xml:space="preserve">September 2, </w:t>
              <w:br/>
              <w:t>2025</w:t>
            </w:r>
          </w:p>
        </w:tc>
      </w:tr>
      <w:tr>
        <w:trPr/>
        <w:tc>
          <w:tcPr>
            <w:tcW w:w="83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relationships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elimination of historical deferred commission amortization and capitalized contract expense from sales and marketing expenses, and historical amortization of capitalized software development costs from Cost of revenues.</w:t>
      </w:r>
    </w:p>
    <w:tbl>
      <w:tblPr>
        <w:tblW w:w="3971" w:type="dxa"/>
        <w:jc w:val="left"/>
        <w:tblInd w:w="0" w:type="dxa"/>
        <w:tblLayout w:type="fixed"/>
        <w:tblCellMar>
          <w:top w:w="0" w:type="dxa"/>
          <w:left w:w="0" w:type="dxa"/>
          <w:bottom w:w="0" w:type="dxa"/>
          <w:right w:w="0" w:type="dxa"/>
        </w:tblCellMar>
      </w:tblPr>
      <w:tblGrid>
        <w:gridCol w:w="2131"/>
        <w:gridCol w:w="146"/>
        <w:gridCol w:w="357"/>
        <w:gridCol w:w="979"/>
        <w:gridCol w:w="358"/>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r>
            <w:r>
              <w:rPr>
                <w:rFonts w:ascii="Times New Roman PS Std;serif" w:hAnsi="Times New Roman PS Std;serif"/>
                <w:b/>
                <w:i w:val="false"/>
                <w:caps w:val="false"/>
                <w:smallCaps w:val="false"/>
                <w:sz w:val="18"/>
                <w:u w:val="single"/>
              </w:rPr>
              <w:t xml:space="preserve"> </w:t>
              <w:br/>
            </w:r>
            <w:r>
              <w:rPr>
                <w:rFonts w:ascii="Times New Roman PS Std;serif" w:hAnsi="Times New Roman PS Std;serif"/>
                <w:b/>
                <w:i w:val="false"/>
                <w:caps w:val="false"/>
                <w:smallCaps w:val="false"/>
                <w:sz w:val="18"/>
              </w:rPr>
              <w:t xml:space="preserve">January 1, </w:t>
              <w:br/>
              <w:t xml:space="preserve">2025 to </w:t>
              <w:br/>
              <w:t xml:space="preserve">September 2, </w:t>
              <w:br/>
              <w:t>2025</w:t>
            </w:r>
          </w:p>
        </w:tc>
      </w:tr>
      <w:tr>
        <w:trPr/>
        <w:tc>
          <w:tcPr>
            <w:tcW w:w="2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3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w:t>
            </w:r>
          </w:p>
        </w:tc>
        <w:tc>
          <w:tcPr>
            <w:tcW w:w="3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reduction of $4.1 million in historical interest expense related to the settlement of Interactions’ debt at closing.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an adjustment to eliminate the historical fair value adjustments of warrant liabilities extinguished as a result of the Acquisition, resulting in a reduction of $1.1 million of historical gains.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elimination of $0.3 million of loss, from earnings attributable to non-controlling interest due to changes in Interactions’ ownership structure.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 to Unaudited Pro Forma Condensed Combined Balance Sheet and Statement of Operations —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preliminary consideration of $271.8 million was determined by reference to the fair value of SoundHound’s common stock on June 25, 2026 of $6.21 per share. The calculation of estimated preliminary consideration is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Preliminary Consideration</w:t>
      </w:r>
    </w:p>
    <w:tbl>
      <w:tblPr>
        <w:tblW w:w="10205" w:type="dxa"/>
        <w:jc w:val="left"/>
        <w:tblInd w:w="0" w:type="dxa"/>
        <w:tblLayout w:type="fixed"/>
        <w:tblCellMar>
          <w:top w:w="0" w:type="dxa"/>
          <w:left w:w="0" w:type="dxa"/>
          <w:bottom w:w="0" w:type="dxa"/>
          <w:right w:w="0" w:type="dxa"/>
        </w:tblCellMar>
      </w:tblPr>
      <w:tblGrid>
        <w:gridCol w:w="5018"/>
        <w:gridCol w:w="146"/>
        <w:gridCol w:w="1530"/>
        <w:gridCol w:w="178"/>
        <w:gridCol w:w="471"/>
        <w:gridCol w:w="966"/>
        <w:gridCol w:w="178"/>
        <w:gridCol w:w="369"/>
        <w:gridCol w:w="1349"/>
      </w:tblGrid>
      <w:tr>
        <w:trPr/>
        <w:tc>
          <w:tcPr>
            <w:tcW w:w="5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78"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78" w:type="dxa"/>
            <w:tcBorders/>
            <w:vAlign w:val="bottom"/>
          </w:tcPr>
          <w:p>
            <w:pPr>
              <w:pStyle w:val="TableContents"/>
              <w:bidi w:val="0"/>
              <w:spacing w:before="0" w:after="283"/>
              <w:jc w:val="left"/>
              <w:rPr/>
            </w:pPr>
            <w:r>
              <w:rPr/>
              <w:t> </w:t>
            </w:r>
          </w:p>
        </w:tc>
        <w:tc>
          <w:tcPr>
            <w:tcW w:w="17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41"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for settlement of Secured Notes(1)</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231,735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to holders of non-TASE Shares(2)</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5,086,246</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31,586</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replacement equity awards for LivePerson’s equity awards(3)</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176,136</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equity consideration for LivePerson’s equity awards settled(4)</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54,423</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cash consideration to holders of TASE Share(5)</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7,181</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4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$7.00 floor price as follows:</w:t>
      </w:r>
    </w:p>
    <w:tbl>
      <w:tblPr>
        <w:tblW w:w="9520" w:type="dxa"/>
        <w:jc w:val="left"/>
        <w:tblInd w:w="0" w:type="dxa"/>
        <w:tblLayout w:type="fixed"/>
        <w:tblCellMar>
          <w:top w:w="0" w:type="dxa"/>
          <w:left w:w="0" w:type="dxa"/>
          <w:bottom w:w="0" w:type="dxa"/>
          <w:right w:w="0" w:type="dxa"/>
        </w:tblCellMar>
      </w:tblPr>
      <w:tblGrid>
        <w:gridCol w:w="3676"/>
        <w:gridCol w:w="146"/>
        <w:gridCol w:w="301"/>
        <w:gridCol w:w="1531"/>
        <w:gridCol w:w="146"/>
        <w:gridCol w:w="301"/>
        <w:gridCol w:w="1396"/>
        <w:gridCol w:w="146"/>
        <w:gridCol w:w="301"/>
        <w:gridCol w:w="157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First Lien</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Second Lien</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178,007,734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83,207,733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261,215,467</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Divided by floor price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to be issued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25,429,676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11,886,819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Multiplied by fair value per share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shares issued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157,918,288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73,817,146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231,735,434</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Common stock consideration is computed based on the Shareholder Consideration Amount of $42.8 million divided by the $7.00 floor multiplied by the quotient of the fully diluted non-TASE Shares divided by the fully diluted shares of LivePerson common stock issued and outstanding, rounded to the nearest whole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Certain Board of Directors’ and vested equity awards of LivePerson will be settled in shares of SoundHound common stock. Such settlement of equity awards represents estimated preliminary consideration.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Cash consideration to TASE shareholders amounting to $7.2 million is computed by the lower of (a) $7.5 million, and (b) the Closing Merger Consideration multiplied by the 10-day VWAP stock price of $6.84 estimated as of June 25, 2026, and further multiplied by the quotient of the fully diluted TASE Shares divided by the fully diluted shares of LivePerson common stock issued and outstanding. The maximum amount of cash that can be granted to TASE shareholders is $7.5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June 25, 2026 was determined to be the most recent practicable date prior to the effective date. As such, June 25, 2026 was the last day of this ten-day volume-weighted period, in which the stock price was determined.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sensitivity analysis on the SoundHound share price was performed to assess the impact on purchase consideration at each end of the collar, or $7 per share and $12 per share, and a change of 30% on the closing date share price of $6.21 estimated as of June 25, 2026, as this represents a reasonable range for share price based on recent volatility. Purchase consideration will not be impacted by stock price volatility within the collar when SoundHound Closing Stock Price and closing date share price match. If the closing share price falls below the floor, purchase consideration will decrease ratably by the shortfall of the share price against the floor. Likewise, if the share price exceeds the cap, purchase consideration will increase ratably by the excess of the share price over the cap. The impact to purchase consideration from LivePerson equity awards when considering a 30% range of outcomes, is immaterial, and has been excluded from the share price sensitivity analysis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change in stock price and estimated consideration when no cash is paid to TASE shareholders:</w:t>
      </w:r>
    </w:p>
    <w:tbl>
      <w:tblPr>
        <w:tblW w:w="10205" w:type="dxa"/>
        <w:jc w:val="left"/>
        <w:tblInd w:w="0" w:type="dxa"/>
        <w:tblLayout w:type="fixed"/>
        <w:tblCellMar>
          <w:top w:w="0" w:type="dxa"/>
          <w:left w:w="0" w:type="dxa"/>
          <w:bottom w:w="0" w:type="dxa"/>
          <w:right w:w="0" w:type="dxa"/>
        </w:tblCellMar>
      </w:tblPr>
      <w:tblGrid>
        <w:gridCol w:w="3657"/>
        <w:gridCol w:w="146"/>
        <w:gridCol w:w="1286"/>
        <w:gridCol w:w="146"/>
        <w:gridCol w:w="434"/>
        <w:gridCol w:w="890"/>
        <w:gridCol w:w="146"/>
        <w:gridCol w:w="397"/>
        <w:gridCol w:w="1318"/>
        <w:gridCol w:w="146"/>
        <w:gridCol w:w="293"/>
        <w:gridCol w:w="1048"/>
        <w:gridCol w:w="298"/>
      </w:tblGrid>
      <w:tr>
        <w:trPr/>
        <w:tc>
          <w:tcPr>
            <w:tcW w:w="36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 Closing Stock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 Price</w:t>
              <w:br/>
              <w:t xml:space="preserve">(June 25, </w:t>
              <w:br/>
              <w:t>2026 +/- 30%)</w:t>
            </w:r>
          </w:p>
        </w:tc>
        <w:tc>
          <w:tcPr>
            <w:tcW w:w="146"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of </w:t>
              <w:br/>
              <w:t xml:space="preserve">Shares Issued </w:t>
              <w:br/>
              <w:t>(Consideration)</w:t>
            </w:r>
          </w:p>
        </w:tc>
        <w:tc>
          <w:tcPr>
            <w:tcW w:w="146" w:type="dxa"/>
            <w:tcBorders/>
            <w:vAlign w:val="bottom"/>
          </w:tcPr>
          <w:p>
            <w:pPr>
              <w:pStyle w:val="TableContents"/>
              <w:bidi w:val="0"/>
              <w:spacing w:before="0" w:after="283"/>
              <w:jc w:val="left"/>
              <w:rPr/>
            </w:pPr>
            <w:r>
              <w:rPr/>
              <w:t> </w:t>
            </w:r>
          </w:p>
        </w:tc>
        <w:tc>
          <w:tcPr>
            <w:tcW w:w="16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Purchase </w:t>
              <w:br/>
              <w:t>Consideration</w:t>
            </w:r>
          </w:p>
        </w:tc>
      </w:tr>
      <w:tr>
        <w:trPr/>
        <w:tc>
          <w:tcPr>
            <w:tcW w:w="36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02"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350,469</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78,634</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188,914</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(82,921</w:t>
            </w:r>
          </w:p>
        </w:tc>
        <w:tc>
          <w:tcPr>
            <w:tcW w:w="2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204,440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(67,395</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110,220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(161,615</w:t>
            </w:r>
          </w:p>
        </w:tc>
        <w:tc>
          <w:tcPr>
            <w:tcW w:w="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tbl>
      <w:tblPr>
        <w:tblW w:w="6462" w:type="dxa"/>
        <w:jc w:val="left"/>
        <w:tblInd w:w="0" w:type="dxa"/>
        <w:tblLayout w:type="fixed"/>
        <w:tblCellMar>
          <w:top w:w="0" w:type="dxa"/>
          <w:left w:w="0" w:type="dxa"/>
          <w:bottom w:w="0" w:type="dxa"/>
          <w:right w:w="0" w:type="dxa"/>
        </w:tblCellMar>
      </w:tblPr>
      <w:tblGrid>
        <w:gridCol w:w="4621"/>
        <w:gridCol w:w="146"/>
        <w:gridCol w:w="365"/>
        <w:gridCol w:w="1330"/>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consideration</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0" w:type="dxa"/>
            <w:tcBorders/>
            <w:vAlign w:val="bottom"/>
          </w:tcPr>
          <w:p>
            <w:pPr>
              <w:pStyle w:val="TableContents"/>
              <w:bidi w:val="0"/>
              <w:spacing w:before="0" w:after="283"/>
              <w:jc w:val="left"/>
              <w:rPr/>
            </w:pPr>
            <w:r>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53,928</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assets(1)</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equipment(2)</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867" w:type="dxa"/>
        <w:jc w:val="left"/>
        <w:tblInd w:w="0" w:type="dxa"/>
        <w:tblLayout w:type="fixed"/>
        <w:tblCellMar>
          <w:top w:w="0" w:type="dxa"/>
          <w:left w:w="0" w:type="dxa"/>
          <w:bottom w:w="0" w:type="dxa"/>
          <w:right w:w="0" w:type="dxa"/>
        </w:tblCellMar>
      </w:tblPr>
      <w:tblGrid>
        <w:gridCol w:w="5026"/>
        <w:gridCol w:w="146"/>
        <w:gridCol w:w="365"/>
        <w:gridCol w:w="1330"/>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assets(3)</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225,871</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38,416</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liabilities(3)</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106,038</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fair value of net assets acquired</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119,833</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goodwill(4)</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152,002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Preliminary identifiable intangible assets in the unaudited pro forma condensed combined financial information consists of the following:</w:t>
      </w:r>
    </w:p>
    <w:tbl>
      <w:tblPr>
        <w:tblW w:w="5394" w:type="dxa"/>
        <w:jc w:val="left"/>
        <w:tblInd w:w="0" w:type="dxa"/>
        <w:tblLayout w:type="fixed"/>
        <w:tblCellMar>
          <w:top w:w="0" w:type="dxa"/>
          <w:left w:w="0" w:type="dxa"/>
          <w:bottom w:w="0" w:type="dxa"/>
          <w:right w:w="0" w:type="dxa"/>
        </w:tblCellMar>
      </w:tblPr>
      <w:tblGrid>
        <w:gridCol w:w="2446"/>
        <w:gridCol w:w="146"/>
        <w:gridCol w:w="447"/>
        <w:gridCol w:w="918"/>
        <w:gridCol w:w="146"/>
        <w:gridCol w:w="1291"/>
      </w:tblGrid>
      <w:tr>
        <w:trPr/>
        <w:tc>
          <w:tcPr>
            <w:tcW w:w="24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Preliminary</w:t>
              <w:br/>
              <w:t>Fair Value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2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millions)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Years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Property and equipment consists primarily of computer equipment, for which the carrying value is assumed to approximate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adjustments related to the acquisition of LivePerson included in the unaudited pro forma condensed combined balance sheet as of March 31, 2026 and unaudited pro forma condensed combined statement of operations for the three months ended March 31, 2026, and the year ended December 31, 2025 are as follows: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preliminary purchase consideration of $7.2 million to be settled in cash to holders of the TASE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expected $13.5 million of transaction costs incurred by LivePerson, which are expected to be paid by LivePerson prior to closing of the LivePerson Merger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tbl>
      <w:tblPr>
        <w:tblW w:w="7541" w:type="dxa"/>
        <w:jc w:val="left"/>
        <w:tblInd w:w="0" w:type="dxa"/>
        <w:tblLayout w:type="fixed"/>
        <w:tblCellMar>
          <w:top w:w="0" w:type="dxa"/>
          <w:left w:w="0" w:type="dxa"/>
          <w:bottom w:w="0" w:type="dxa"/>
          <w:right w:w="0" w:type="dxa"/>
        </w:tblCellMar>
      </w:tblPr>
      <w:tblGrid>
        <w:gridCol w:w="5701"/>
        <w:gridCol w:w="146"/>
        <w:gridCol w:w="313"/>
        <w:gridCol w:w="1068"/>
        <w:gridCol w:w="313"/>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Expected Settlement of LivePerson Debt</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ended</w:t>
              <w:br/>
              <w:t xml:space="preserve">March 31, </w:t>
              <w:br/>
              <w:t>2026</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Excess Cash paid by LivePerson to settle Secured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for accrued interest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to settle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adjustment to cash and cash equivalents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(34,070</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8"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accrued interest – accrued liability account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Secured Notes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tbl>
      <w:tblPr>
        <w:tblW w:w="6462" w:type="dxa"/>
        <w:jc w:val="left"/>
        <w:tblInd w:w="0" w:type="dxa"/>
        <w:tblLayout w:type="fixed"/>
        <w:tblCellMar>
          <w:top w:w="0" w:type="dxa"/>
          <w:left w:w="0" w:type="dxa"/>
          <w:bottom w:w="0" w:type="dxa"/>
          <w:right w:w="0" w:type="dxa"/>
        </w:tblCellMar>
      </w:tblPr>
      <w:tblGrid>
        <w:gridCol w:w="4621"/>
        <w:gridCol w:w="146"/>
        <w:gridCol w:w="304"/>
        <w:gridCol w:w="1087"/>
        <w:gridCol w:w="304"/>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goodwill</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goodwill recognized</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152,002</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goodwill</w:t>
            </w:r>
          </w:p>
        </w:tc>
        <w:tc>
          <w:tcPr>
            <w:tcW w:w="146" w:type="dxa"/>
            <w:tcBorders/>
            <w:shd w:fill="CCEEFF" w:val="clear"/>
            <w:vAlign w:val="bottom"/>
          </w:tcPr>
          <w:p>
            <w:pPr>
              <w:pStyle w:val="TableContents"/>
              <w:bidi w:val="0"/>
              <w:spacing w:before="0" w:after="283"/>
              <w:jc w:val="left"/>
              <w:rPr/>
            </w:pPr>
            <w:r>
              <w:rPr/>
              <w:t> </w:t>
            </w:r>
          </w:p>
        </w:tc>
        <w:tc>
          <w:tcPr>
            <w:tcW w:w="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LivePerson’s historical intangible assets and the recognition of the preliminary estimated fair value of intangible assets acquired in the LivePerson Merger.</w:t>
      </w:r>
    </w:p>
    <w:tbl>
      <w:tblPr>
        <w:tblW w:w="7736" w:type="dxa"/>
        <w:jc w:val="left"/>
        <w:tblInd w:w="0" w:type="dxa"/>
        <w:tblLayout w:type="fixed"/>
        <w:tblCellMar>
          <w:top w:w="0" w:type="dxa"/>
          <w:left w:w="0" w:type="dxa"/>
          <w:bottom w:w="0" w:type="dxa"/>
          <w:right w:w="0" w:type="dxa"/>
        </w:tblCellMar>
      </w:tblPr>
      <w:tblGrid>
        <w:gridCol w:w="5896"/>
        <w:gridCol w:w="146"/>
        <w:gridCol w:w="319"/>
        <w:gridCol w:w="1056"/>
        <w:gridCol w:w="319"/>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intangible assets acquired</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assets, net</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intangible assets, net</w:t>
            </w:r>
          </w:p>
        </w:tc>
        <w:tc>
          <w:tcPr>
            <w:tcW w:w="146" w:type="dxa"/>
            <w:tcBorders/>
            <w:shd w:fill="CCEEFF" w:val="clear"/>
            <w:vAlign w:val="bottom"/>
          </w:tcPr>
          <w:p>
            <w:pPr>
              <w:pStyle w:val="TableContents"/>
              <w:bidi w:val="0"/>
              <w:spacing w:before="0" w:after="283"/>
              <w:jc w:val="left"/>
              <w:rPr/>
            </w:pPr>
            <w:r>
              <w:rPr/>
              <w:t> </w:t>
            </w:r>
          </w:p>
        </w:tc>
        <w:tc>
          <w:tcPr>
            <w:tcW w:w="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104,498</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determined a preliminary fair value estimate of intangible assets resulting from the preliminary fair value allocation of purchase price. The intangible assets included the following:</w:t>
      </w:r>
    </w:p>
    <w:tbl>
      <w:tblPr>
        <w:tblW w:w="8244" w:type="dxa"/>
        <w:jc w:val="left"/>
        <w:tblInd w:w="0" w:type="dxa"/>
        <w:tblLayout w:type="fixed"/>
        <w:tblCellMar>
          <w:top w:w="0" w:type="dxa"/>
          <w:left w:w="0" w:type="dxa"/>
          <w:bottom w:w="0" w:type="dxa"/>
          <w:right w:w="0" w:type="dxa"/>
        </w:tblCellMar>
      </w:tblPr>
      <w:tblGrid>
        <w:gridCol w:w="5056"/>
        <w:gridCol w:w="146"/>
        <w:gridCol w:w="382"/>
        <w:gridCol w:w="1268"/>
        <w:gridCol w:w="146"/>
        <w:gridCol w:w="1246"/>
      </w:tblGrid>
      <w:tr>
        <w:trPr/>
        <w:tc>
          <w:tcPr>
            <w:tcW w:w="5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acquired intangible assets</w:t>
            </w:r>
          </w:p>
        </w:tc>
        <w:tc>
          <w:tcPr>
            <w:tcW w:w="146" w:type="dxa"/>
            <w:tcBorders/>
            <w:vAlign w:val="bottom"/>
          </w:tcPr>
          <w:p>
            <w:pPr>
              <w:pStyle w:val="TableContents"/>
              <w:bidi w:val="0"/>
              <w:spacing w:before="0" w:after="283"/>
              <w:jc w:val="left"/>
              <w:rPr/>
            </w:pPr>
            <w:r>
              <w:rPr/>
              <w:t> </w:t>
            </w:r>
          </w:p>
        </w:tc>
        <w:tc>
          <w:tcPr>
            <w:tcW w:w="38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elimination of $20.9 million of LivePerson’s historical contract acquisition costs from other non-current assets, that were not assets as defined by ASC 805 and are considered to be a part of the fair value of customer relationships intangible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elimination of $83.2 million of LivePerson’s historical internal-use software development costs.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Reflects elimination of $1.9 million LivePerson’s historical warrants balance as all warrants are cancelled or extinguished upon the LivePerson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Reflects the total expected transaction costs of $7.1 million incurred by SoundHound through the transaction date on the condensed consolidated balance sheet and on the condensed consolidated statement of operations during the year ended December 31, 2025.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following table summarizes the transaction accounting adjustments impacting the equity balances of LivePerson, as well as new equity issued as consideration for the Merger (in thousands):</w:t>
      </w:r>
    </w:p>
    <w:tbl>
      <w:tblPr>
        <w:tblW w:w="10205" w:type="dxa"/>
        <w:jc w:val="left"/>
        <w:tblInd w:w="0" w:type="dxa"/>
        <w:tblLayout w:type="fixed"/>
        <w:tblCellMar>
          <w:top w:w="0" w:type="dxa"/>
          <w:left w:w="0" w:type="dxa"/>
          <w:bottom w:w="0" w:type="dxa"/>
          <w:right w:w="0" w:type="dxa"/>
        </w:tblCellMar>
      </w:tblPr>
      <w:tblGrid>
        <w:gridCol w:w="3023"/>
        <w:gridCol w:w="146"/>
        <w:gridCol w:w="301"/>
        <w:gridCol w:w="1201"/>
        <w:gridCol w:w="241"/>
        <w:gridCol w:w="146"/>
        <w:gridCol w:w="381"/>
        <w:gridCol w:w="1332"/>
        <w:gridCol w:w="146"/>
        <w:gridCol w:w="301"/>
        <w:gridCol w:w="871"/>
        <w:gridCol w:w="256"/>
        <w:gridCol w:w="146"/>
        <w:gridCol w:w="301"/>
        <w:gridCol w:w="1126"/>
        <w:gridCol w:w="287"/>
      </w:tblGrid>
      <w:tr>
        <w:trPr/>
        <w:tc>
          <w:tcPr>
            <w:tcW w:w="30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LivePerson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historical </w:t>
              <w:br/>
              <w:t>equity(1)</w:t>
            </w:r>
          </w:p>
        </w:tc>
        <w:tc>
          <w:tcPr>
            <w:tcW w:w="146" w:type="dxa"/>
            <w:tcBorders/>
            <w:vAlign w:val="bottom"/>
          </w:tcPr>
          <w:p>
            <w:pPr>
              <w:pStyle w:val="TableContents"/>
              <w:bidi w:val="0"/>
              <w:spacing w:before="0" w:after="283"/>
              <w:jc w:val="left"/>
              <w:rPr/>
            </w:pPr>
            <w:r>
              <w:rPr/>
              <w:t> </w:t>
            </w:r>
          </w:p>
        </w:tc>
        <w:tc>
          <w:tcPr>
            <w:tcW w:w="17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consideration(2)</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costs(3)</w:t>
            </w:r>
          </w:p>
        </w:tc>
        <w:tc>
          <w:tcPr>
            <w:tcW w:w="146" w:type="dxa"/>
            <w:tcBorders/>
            <w:vAlign w:val="bottom"/>
          </w:tcPr>
          <w:p>
            <w:pPr>
              <w:pStyle w:val="TableContents"/>
              <w:bidi w:val="0"/>
              <w:spacing w:before="0" w:after="283"/>
              <w:jc w:val="left"/>
              <w:rPr/>
            </w:pPr>
            <w:r>
              <w:rPr/>
              <w:t> </w:t>
            </w:r>
          </w:p>
        </w:tc>
        <w:tc>
          <w:tcPr>
            <w:tcW w:w="17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Accounting </w:t>
              <w:br/>
              <w:t>Adjustments</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Treasury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Class A Common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264,650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(758,688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1,060,214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Stockholders’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264,654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(7,107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309,043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elimination of LivePerson’s historical equity balances as of March 31,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the preliminary equity purchase consideration of $264.7 million as estimated on June 25, 2026. This includes the issuance of 42.6 million Common Shares at $.0001 Par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Reflects expected acquiror transaction costs of $7.1 million.</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LivePerson Merger had been completed on January 1, 2025.</w:t>
      </w:r>
    </w:p>
    <w:tbl>
      <w:tblPr>
        <w:tblW w:w="10205" w:type="dxa"/>
        <w:jc w:val="left"/>
        <w:tblInd w:w="0" w:type="dxa"/>
        <w:tblLayout w:type="fixed"/>
        <w:tblCellMar>
          <w:top w:w="0" w:type="dxa"/>
          <w:left w:w="0" w:type="dxa"/>
          <w:bottom w:w="0" w:type="dxa"/>
          <w:right w:w="0" w:type="dxa"/>
        </w:tblCellMar>
      </w:tblPr>
      <w:tblGrid>
        <w:gridCol w:w="5216"/>
        <w:gridCol w:w="146"/>
        <w:gridCol w:w="468"/>
        <w:gridCol w:w="1159"/>
        <w:gridCol w:w="146"/>
        <w:gridCol w:w="419"/>
        <w:gridCol w:w="1212"/>
        <w:gridCol w:w="146"/>
        <w:gridCol w:w="1293"/>
      </w:tblGrid>
      <w:tr>
        <w:trPr/>
        <w:tc>
          <w:tcPr>
            <w:tcW w:w="5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useful life</w:t>
            </w:r>
          </w:p>
        </w:tc>
      </w:tr>
      <w:tr>
        <w:trPr/>
        <w:tc>
          <w:tcPr>
            <w:tcW w:w="5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tcPr>
          <w:p>
            <w:pPr>
              <w:pStyle w:val="TableContents"/>
              <w:bidi w:val="0"/>
              <w:spacing w:before="0" w:after="283"/>
              <w:jc w:val="left"/>
              <w:rPr/>
            </w:pPr>
            <w:r>
              <w:rPr/>
              <w:t> </w:t>
            </w:r>
          </w:p>
        </w:tc>
        <w:tc>
          <w:tcPr>
            <w:tcW w:w="468"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w:t>
            </w:r>
          </w:p>
        </w:tc>
        <w:tc>
          <w:tcPr>
            <w:tcW w:w="146" w:type="dxa"/>
            <w:tcBorders/>
          </w:tcPr>
          <w:p>
            <w:pPr>
              <w:pStyle w:val="TableContents"/>
              <w:bidi w:val="0"/>
              <w:spacing w:before="0" w:after="283"/>
              <w:jc w:val="left"/>
              <w:rPr/>
            </w:pPr>
            <w:r>
              <w:rPr/>
              <w:t> </w:t>
            </w:r>
          </w:p>
        </w:tc>
        <w:tc>
          <w:tcPr>
            <w:tcW w:w="41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w:t>
            </w:r>
          </w:p>
        </w:tc>
        <w:tc>
          <w:tcPr>
            <w:tcW w:w="146" w:type="dxa"/>
            <w:tcBorders/>
          </w:tcPr>
          <w:p>
            <w:pPr>
              <w:pStyle w:val="TableContents"/>
              <w:bidi w:val="0"/>
              <w:spacing w:before="0" w:after="283"/>
              <w:jc w:val="left"/>
              <w:rPr/>
            </w:pPr>
            <w:r>
              <w:rPr/>
              <w:t> </w:t>
            </w:r>
          </w:p>
        </w:tc>
        <w:tc>
          <w:tcPr>
            <w:tcW w:w="129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tcPr>
          <w:p>
            <w:pPr>
              <w:pStyle w:val="TableContents"/>
              <w:bidi w:val="0"/>
              <w:spacing w:before="0" w:after="283"/>
              <w:jc w:val="left"/>
              <w:rPr/>
            </w:pPr>
            <w:r>
              <w:rPr/>
              <w:t> </w:t>
            </w:r>
          </w:p>
        </w:tc>
        <w:tc>
          <w:tcPr>
            <w:tcW w:w="468"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w:t>
            </w:r>
          </w:p>
        </w:tc>
        <w:tc>
          <w:tcPr>
            <w:tcW w:w="146" w:type="dxa"/>
            <w:tcBorders/>
          </w:tcPr>
          <w:p>
            <w:pPr>
              <w:pStyle w:val="TableContents"/>
              <w:bidi w:val="0"/>
              <w:spacing w:before="0" w:after="283"/>
              <w:jc w:val="left"/>
              <w:rPr/>
            </w:pPr>
            <w:r>
              <w:rPr/>
              <w:t> </w:t>
            </w:r>
          </w:p>
        </w:tc>
        <w:tc>
          <w:tcPr>
            <w:tcW w:w="419"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23,943</w:t>
            </w:r>
          </w:p>
        </w:tc>
        <w:tc>
          <w:tcPr>
            <w:tcW w:w="146" w:type="dxa"/>
            <w:tcBorders/>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10205" w:type="dxa"/>
        <w:jc w:val="left"/>
        <w:tblInd w:w="0" w:type="dxa"/>
        <w:tblLayout w:type="fixed"/>
        <w:tblCellMar>
          <w:top w:w="0" w:type="dxa"/>
          <w:left w:w="0" w:type="dxa"/>
          <w:bottom w:w="0" w:type="dxa"/>
          <w:right w:w="0" w:type="dxa"/>
        </w:tblCellMar>
      </w:tblPr>
      <w:tblGrid>
        <w:gridCol w:w="6593"/>
        <w:gridCol w:w="146"/>
        <w:gridCol w:w="471"/>
        <w:gridCol w:w="1165"/>
        <w:gridCol w:w="146"/>
        <w:gridCol w:w="463"/>
        <w:gridCol w:w="1221"/>
      </w:tblGrid>
      <w:tr>
        <w:trPr/>
        <w:tc>
          <w:tcPr>
            <w:tcW w:w="6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5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tcPr>
          <w:p>
            <w:pPr>
              <w:pStyle w:val="TableContents"/>
              <w:bidi w:val="0"/>
              <w:spacing w:before="0" w:after="283"/>
              <w:jc w:val="left"/>
              <w:rPr/>
            </w:pPr>
            <w:r>
              <w:rPr/>
              <w:t> </w:t>
            </w:r>
          </w:p>
        </w:tc>
        <w:tc>
          <w:tcPr>
            <w:tcW w:w="47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63"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r>
        <w:trPr/>
        <w:tc>
          <w:tcPr>
            <w:tcW w:w="659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to cost of revenues</w:t>
            </w:r>
          </w:p>
        </w:tc>
        <w:tc>
          <w:tcPr>
            <w:tcW w:w="146" w:type="dxa"/>
            <w:tcBorders/>
          </w:tcPr>
          <w:p>
            <w:pPr>
              <w:pStyle w:val="TableContents"/>
              <w:bidi w:val="0"/>
              <w:spacing w:before="0" w:after="283"/>
              <w:jc w:val="left"/>
              <w:rPr/>
            </w:pPr>
            <w:r>
              <w:rPr/>
              <w:t> </w:t>
            </w:r>
          </w:p>
        </w:tc>
        <w:tc>
          <w:tcPr>
            <w:tcW w:w="471"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tcPr>
          <w:p>
            <w:pPr>
              <w:pStyle w:val="TableContents"/>
              <w:bidi w:val="0"/>
              <w:spacing w:before="0" w:after="283"/>
              <w:jc w:val="left"/>
              <w:rPr/>
            </w:pPr>
            <w:r>
              <w:rPr/>
              <w:t> </w:t>
            </w:r>
          </w:p>
        </w:tc>
        <w:tc>
          <w:tcPr>
            <w:tcW w:w="463"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6634"/>
        <w:gridCol w:w="146"/>
        <w:gridCol w:w="373"/>
        <w:gridCol w:w="923"/>
        <w:gridCol w:w="316"/>
        <w:gridCol w:w="146"/>
        <w:gridCol w:w="339"/>
        <w:gridCol w:w="983"/>
        <w:gridCol w:w="345"/>
      </w:tblGrid>
      <w:tr>
        <w:trPr/>
        <w:tc>
          <w:tcPr>
            <w:tcW w:w="66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4,086</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16,343</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Reflects the elimination of LivePerson’s historical amortization of contract acquisition costs of $4.1 million and $17.3 million, for the three months ended March 31, 2026, and the year ended December 31, 2025, respectively, that were not assets as defined by ASC 805.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Reflects the elimination of LivePerson’s historical amortization of internal-use software development costs of $3.8 million and $15.9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Reflects the reduction of $8.3 million and $31.5 million in historical interest expense for the three months ended March 31, 2026, and the year ended December 31, 2025, respectively, related to the settlement of LivePerson’s debt at closing.</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Reflects the elimination of LivePerson’s historical gain on the change in fair value of debt warrants of $1.1 million and $13.2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Reflects the elimination of $41.6 million of LivePerson’s historical impairment of goodwill for the year ended December 31, 2025.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Reflects the elimination of $27.7 million of LivePerson’s historical gain on troubled debt restructuring for the year ended December 31, 2025 associated with the troubled debt restructuring associated with the issuance of the Second Lien Notes.</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three months ended March 31, 2026:</w:t>
      </w:r>
    </w:p>
    <w:tbl>
      <w:tblPr>
        <w:tblW w:w="7767" w:type="dxa"/>
        <w:jc w:val="left"/>
        <w:tblInd w:w="0" w:type="dxa"/>
        <w:tblLayout w:type="fixed"/>
        <w:tblCellMar>
          <w:top w:w="0" w:type="dxa"/>
          <w:left w:w="0" w:type="dxa"/>
          <w:bottom w:w="0" w:type="dxa"/>
          <w:right w:w="0" w:type="dxa"/>
        </w:tblCellMar>
      </w:tblPr>
      <w:tblGrid>
        <w:gridCol w:w="5581"/>
        <w:gridCol w:w="146"/>
        <w:gridCol w:w="301"/>
        <w:gridCol w:w="1438"/>
        <w:gridCol w:w="301"/>
      </w:tblGrid>
      <w:tr>
        <w:trPr/>
        <w:tc>
          <w:tcPr>
            <w:tcW w:w="5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5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(22,504</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(47,149</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year ended December 31, 2025:</w:t>
      </w:r>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(99,512</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(143,235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6" w:name="T1510"/>
      <w:bookmarkEnd w:id="26"/>
      <w:r>
        <w:rPr>
          <w:rFonts w:ascii="Times New Roman PS Std;serif" w:hAnsi="Times New Roman PS Std;serif"/>
          <w:b/>
          <w:i w:val="false"/>
          <w:caps w:val="false"/>
          <w:smallCaps w:val="false"/>
          <w:sz w:val="20"/>
        </w:rPr>
        <w:t>Annex A</w:t>
      </w:r>
      <w:r>
        <w:rPr>
          <w:caps w:val="false"/>
          <w:smallCaps w:val="false"/>
        </w:rPr>
        <w:t xml:space="preserve"> </w:t>
      </w:r>
    </w:p>
    <w:tbl>
      <w:tblPr>
        <w:tblW w:w="3436" w:type="dxa"/>
        <w:jc w:val="left"/>
        <w:tblInd w:w="0" w:type="dxa"/>
        <w:tblLayout w:type="fixed"/>
        <w:tblCellMar>
          <w:top w:w="0" w:type="dxa"/>
          <w:left w:w="0" w:type="dxa"/>
          <w:bottom w:w="0" w:type="dxa"/>
          <w:right w:w="0" w:type="dxa"/>
        </w:tblCellMar>
      </w:tblPr>
      <w:tblGrid>
        <w:gridCol w:w="3436"/>
      </w:tblGrid>
      <w:tr>
        <w:trPr/>
        <w:tc>
          <w:tcPr>
            <w:tcW w:w="3436" w:type="dxa"/>
            <w:tcBorders/>
          </w:tcPr>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AmendED and RESTATED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MERGER AGREEMENT</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by and among</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soundhound ai,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AND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LIVEPERSON,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Dated as of JuLY 2,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8081" w:type="dxa"/>
        <w:jc w:val="left"/>
        <w:tblInd w:w="0" w:type="dxa"/>
        <w:tblLayout w:type="fixed"/>
        <w:tblCellMar>
          <w:top w:w="0" w:type="dxa"/>
          <w:left w:w="0" w:type="dxa"/>
          <w:bottom w:w="0" w:type="dxa"/>
          <w:right w:w="0" w:type="dxa"/>
        </w:tblCellMar>
      </w:tblPr>
      <w:tblGrid>
        <w:gridCol w:w="633"/>
        <w:gridCol w:w="170"/>
        <w:gridCol w:w="5901"/>
        <w:gridCol w:w="146"/>
        <w:gridCol w:w="1231"/>
      </w:tblGrid>
      <w:tr>
        <w:trPr/>
        <w:tc>
          <w:tcPr>
            <w:tcW w:w="6704"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1 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and Effective Times of the Mergers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70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70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2 Conversion of Securities IN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Securities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for Securities; Surrender of Certificates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Unexchanged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Fractional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Equity Awards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Warrants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Closing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Prohibition on Transfer.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3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A-12</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Other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 and Security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Title to Assets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A-26</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 Trade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or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5"/>
        <w:gridCol w:w="146"/>
        <w:gridCol w:w="8186"/>
        <w:gridCol w:w="146"/>
        <w:gridCol w:w="1232"/>
      </w:tblGrid>
      <w:tr>
        <w:trPr/>
        <w:tc>
          <w:tcPr>
            <w:tcW w:w="8827"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4 Representations and Warranties of Parent and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Merger Subs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5 Conduct of the company</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the Company Pending the Closing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6 Additional Covenants of the Parties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Preparation of Proxy Statement/Prospectus and Registration Statement; Company Stockholder Meeting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 Confidentiality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A-37</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Non-Solicitation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A-38</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Action; Consents; Filings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A-40</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Notices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Litigation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of Directors and Officers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A-44</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 Matters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Benefits Preservation Plan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as to Integration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2026 Notes; Note Restructuring Transactions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Resignations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7 Conditions to Consummation of the MergerS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Each Party Under This Agreement</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Parent and the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the Company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A-48</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8 Termination, Amendment and Waiver</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Termination Fee</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9 General Provisions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Non-Survival of Representations and Warranties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and Expenses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230" w:type="dxa"/>
        <w:jc w:val="left"/>
        <w:tblInd w:w="0" w:type="dxa"/>
        <w:tblLayout w:type="fixed"/>
        <w:tblCellMar>
          <w:top w:w="0" w:type="dxa"/>
          <w:left w:w="0" w:type="dxa"/>
          <w:bottom w:w="0" w:type="dxa"/>
          <w:right w:w="0" w:type="dxa"/>
        </w:tblCellMar>
      </w:tblPr>
      <w:tblGrid>
        <w:gridCol w:w="541"/>
        <w:gridCol w:w="146"/>
        <w:gridCol w:w="6166"/>
        <w:gridCol w:w="146"/>
        <w:gridCol w:w="1231"/>
      </w:tblGrid>
      <w:tr>
        <w:trPr/>
        <w:tc>
          <w:tcPr>
            <w:tcW w:w="6853"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Defined Elsewhere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A-64</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 Party Beneficiaries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Mutual Drafting; Interpretation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Consent to Jurisdiction; Waiver of Trial by Jury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 or 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Extension; 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MERGER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val="false"/>
          <w:i w:val="false"/>
          <w:caps/>
          <w:sz w:val="20"/>
        </w:rPr>
        <w:t xml:space="preserve">AMendED and restated </w:t>
      </w:r>
      <w:r>
        <w:rPr>
          <w:rFonts w:ascii="Times New Roman PS Std;serif" w:hAnsi="Times New Roman PS Std;serif"/>
          <w:b w:val="false"/>
          <w:i w:val="false"/>
          <w:caps w:val="false"/>
          <w:smallCaps w:val="false"/>
          <w:sz w:val="20"/>
        </w:rPr>
        <w:t>MERGER AGREEMENT, dated as of July 2,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by and among SoundHound AI, Inc., a Delaware corporation (the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Lightspeed Merger Sub Inc., a Delaware corporation and an indirect wholly owned Subsidiary of Parent (“</w:t>
      </w:r>
      <w:r>
        <w:rPr>
          <w:rFonts w:ascii="Times New Roman PS Std;serif" w:hAnsi="Times New Roman PS Std;serif"/>
          <w:b w:val="false"/>
          <w:i w:val="false"/>
          <w:caps w:val="false"/>
          <w:smallCaps w:val="false"/>
          <w:sz w:val="20"/>
          <w:u w:val="single"/>
        </w:rPr>
        <w:t>Merger Sub I</w:t>
      </w:r>
      <w:r>
        <w:rPr>
          <w:caps w:val="false"/>
          <w:smallCaps w:val="false"/>
        </w:rPr>
        <w:t>”</w:t>
      </w:r>
      <w:r>
        <w:rPr>
          <w:rFonts w:ascii="Times New Roman PS Std;serif" w:hAnsi="Times New Roman PS Std;serif"/>
          <w:b w:val="false"/>
          <w:i w:val="false"/>
          <w:caps w:val="false"/>
          <w:smallCaps w:val="false"/>
          <w:sz w:val="20"/>
        </w:rPr>
        <w:t>), Lightspeed Merger Sub II Inc., a Delaware corporation and an indirect wholly owned Subsidiary of Parent (“</w:t>
      </w:r>
      <w:r>
        <w:rPr>
          <w:rFonts w:ascii="Times New Roman PS Std;serif" w:hAnsi="Times New Roman PS Std;serif"/>
          <w:b w:val="false"/>
          <w:i w:val="false"/>
          <w:caps w:val="false"/>
          <w:smallCaps w:val="false"/>
          <w:sz w:val="20"/>
          <w:u w:val="single"/>
        </w:rPr>
        <w:t>Merger Sub II</w:t>
      </w:r>
      <w:r>
        <w:rPr>
          <w:caps w:val="false"/>
          <w:smallCaps w:val="false"/>
        </w:rPr>
        <w:t xml:space="preserve">” </w:t>
      </w:r>
      <w:r>
        <w:rPr>
          <w:rFonts w:ascii="Times New Roman PS Std;serif" w:hAnsi="Times New Roman PS Std;serif"/>
          <w:b w:val="false"/>
          <w:i w:val="false"/>
          <w:caps w:val="false"/>
          <w:smallCaps w:val="false"/>
          <w:sz w:val="20"/>
        </w:rPr>
        <w:t>and, together with Merger Sub I, the “</w:t>
      </w:r>
      <w:r>
        <w:rPr>
          <w:rFonts w:ascii="Times New Roman PS Std;serif" w:hAnsi="Times New Roman PS Std;serif"/>
          <w:b w:val="false"/>
          <w:i w:val="false"/>
          <w:caps w:val="false"/>
          <w:smallCaps w:val="false"/>
          <w:sz w:val="20"/>
          <w:u w:val="single"/>
        </w:rPr>
        <w:t>Merger Subs</w:t>
      </w:r>
      <w:r>
        <w:rPr>
          <w:caps w:val="false"/>
          <w:smallCaps w:val="false"/>
        </w:rPr>
        <w:t xml:space="preserve">” </w:t>
      </w:r>
      <w:r>
        <w:rPr>
          <w:rFonts w:ascii="Times New Roman PS Std;serif" w:hAnsi="Times New Roman PS Std;serif"/>
          <w:b w:val="false"/>
          <w:i w:val="false"/>
          <w:caps w:val="false"/>
          <w:smallCaps w:val="false"/>
          <w:sz w:val="20"/>
        </w:rPr>
        <w:t>and the Merger Subs together with Parent, the “</w:t>
      </w:r>
      <w:r>
        <w:rPr>
          <w:rFonts w:ascii="Times New Roman PS Std;serif" w:hAnsi="Times New Roman PS Std;serif"/>
          <w:b w:val="false"/>
          <w:i w:val="false"/>
          <w:caps w:val="false"/>
          <w:smallCaps w:val="false"/>
          <w:sz w:val="20"/>
          <w:u w:val="single"/>
        </w:rPr>
        <w:t>Parent Parties</w:t>
      </w:r>
      <w:r>
        <w:rPr>
          <w:caps w:val="false"/>
          <w:smallCaps w:val="false"/>
        </w:rPr>
        <w:t>”</w:t>
      </w:r>
      <w:r>
        <w:rPr>
          <w:rFonts w:ascii="Times New Roman PS Std;serif" w:hAnsi="Times New Roman PS Std;serif"/>
          <w:b w:val="false"/>
          <w:i w:val="false"/>
          <w:caps w:val="false"/>
          <w:smallCaps w:val="false"/>
          <w:sz w:val="20"/>
        </w:rPr>
        <w:t>), and LivePerson,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All capitalized terms used in this Agreement shall have the meanings assigned to such terms in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or as otherwise defined elsewhere in this Agreement unless the context clearly indicates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Parent, Merger Sub I and the Company entered into that certain Merger Agreement, dated as of April 21, 2026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 pursuant to which, on the terms and subject to the conditions set forth in the Original Agreement, Merger Sub I would merge with and into the Company, and the Company would survive such merger as an indirect wholly owned subsidiary of Parent;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Pursuant to Section 9.15 of the Original Agreement, Parent, Merger Sub I and the Company desire to amend and restate the Original Agreement in its entirety to reflect the terms and conditions set forth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The parties now intend that, on the terms and subject to the conditions set forth in this Agreement, (a) Merger Sub I be merged with and into the Company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with the Company continuing as the surviving corporation in the First Merger (the Company, as the surviving entity in the First Merger, sometimes being referred to herein as the “</w:t>
      </w:r>
      <w:r>
        <w:rPr>
          <w:rFonts w:ascii="Times New Roman PS Std;serif" w:hAnsi="Times New Roman PS Std;serif"/>
          <w:b w:val="false"/>
          <w:i w:val="false"/>
          <w:caps w:val="false"/>
          <w:smallCaps w:val="false"/>
          <w:sz w:val="20"/>
          <w:u w:val="single"/>
        </w:rPr>
        <w:t>First 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General Corporation Law of the State of Delaware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pursuant to which each share of common stock, par value $0.001 per share, of the Company (“</w:t>
      </w:r>
      <w:r>
        <w:rPr>
          <w:rFonts w:ascii="Times New Roman PS Std;serif" w:hAnsi="Times New Roman PS Std;serif"/>
          <w:b w:val="false"/>
          <w:i w:val="false"/>
          <w:caps w:val="false"/>
          <w:smallCaps w:val="false"/>
          <w:sz w:val="20"/>
          <w:u w:val="single"/>
        </w:rPr>
        <w:t>Company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PS Std;serif" w:hAnsi="Times New Roman PS Std;serif"/>
          <w:b w:val="false"/>
          <w:i w:val="false"/>
          <w:caps w:val="false"/>
          <w:smallCaps w:val="false"/>
          <w:sz w:val="20"/>
          <w:u w:val="single"/>
        </w:rPr>
        <w:t>Second Merger</w:t>
      </w:r>
      <w:r>
        <w:rPr>
          <w:caps w:val="false"/>
          <w:smallCaps w:val="false"/>
        </w:rPr>
        <w:t>”</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val="false"/>
          <w:i w:val="false"/>
          <w:caps w:val="false"/>
          <w:smallCaps w:val="false"/>
          <w:sz w:val="20"/>
          <w:u w:val="single"/>
        </w:rPr>
        <w:t>Mergers</w:t>
      </w:r>
      <w:r>
        <w:rPr>
          <w:caps w:val="false"/>
          <w:smallCaps w:val="false"/>
        </w:rPr>
        <w:t>”</w:t>
      </w:r>
      <w:r>
        <w:rPr>
          <w:rFonts w:ascii="Times New Roman PS Std;serif" w:hAnsi="Times New Roman PS Std;serif"/>
          <w:b w:val="false"/>
          <w:i w:val="false"/>
          <w:caps w:val="false"/>
          <w:smallCaps w:val="false"/>
          <w:sz w:val="20"/>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PS Std;serif" w:hAnsi="Times New Roman PS Std;serif"/>
          <w:b w:val="false"/>
          <w:i w:val="false"/>
          <w:caps w:val="false"/>
          <w:smallCaps w:val="false"/>
          <w:sz w:val="20"/>
          <w:u w:val="single"/>
        </w:rPr>
        <w:t>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The Board of Directors of the Company (the “</w:t>
      </w:r>
      <w:r>
        <w:rPr>
          <w:rFonts w:ascii="Times New Roman PS Std;serif" w:hAnsi="Times New Roman PS Std;serif"/>
          <w:b w:val="false"/>
          <w:i w:val="false"/>
          <w:caps w:val="false"/>
          <w:smallCaps w:val="false"/>
          <w:sz w:val="20"/>
          <w:u w:val="single"/>
        </w:rPr>
        <w:t>Company Board</w:t>
      </w:r>
      <w:r>
        <w:rPr>
          <w:caps w:val="false"/>
          <w:smallCaps w:val="false"/>
        </w:rPr>
        <w:t>”</w:t>
      </w:r>
      <w:r>
        <w:rPr>
          <w:rFonts w:ascii="Times New Roman PS Std;serif" w:hAnsi="Times New Roman PS Std;serif"/>
          <w:b w:val="false"/>
          <w:i w:val="false"/>
          <w:caps w:val="false"/>
          <w:smallCaps w:val="false"/>
          <w:sz w:val="20"/>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PS Std;serif" w:hAnsi="Times New Roman PS Std;serif"/>
          <w:b w:val="false"/>
          <w:i w:val="false"/>
          <w:caps w:val="false"/>
          <w:smallCaps w:val="false"/>
          <w:sz w:val="20"/>
          <w:u w:val="single"/>
        </w:rPr>
        <w:t>Company Board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The Board of Directors of Parent (the “</w:t>
      </w:r>
      <w:r>
        <w:rPr>
          <w:rFonts w:ascii="Times New Roman PS Std;serif" w:hAnsi="Times New Roman PS Std;serif"/>
          <w:b w:val="false"/>
          <w:i w:val="false"/>
          <w:caps w:val="false"/>
          <w:smallCaps w:val="false"/>
          <w:sz w:val="20"/>
          <w:u w:val="single"/>
        </w:rPr>
        <w:t>Parent Board</w:t>
      </w:r>
      <w:r>
        <w:rPr>
          <w:caps w:val="false"/>
          <w:smallCaps w:val="false"/>
        </w:rPr>
        <w:t>”</w:t>
      </w:r>
      <w:r>
        <w:rPr>
          <w:rFonts w:ascii="Times New Roman PS Std;serif" w:hAnsi="Times New Roman PS Std;serif"/>
          <w:b w:val="false"/>
          <w:i w:val="false"/>
          <w:caps w:val="false"/>
          <w:smallCaps w:val="false"/>
          <w:sz w:val="20"/>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Concurrently with the execution of the Original Agreement, each holder of Secured Notes and Parent entered into a Notes Restructuring Agreement (the “</w:t>
      </w:r>
      <w:r>
        <w:rPr>
          <w:rFonts w:ascii="Times New Roman PS Std;serif" w:hAnsi="Times New Roman PS Std;serif"/>
          <w:b w:val="false"/>
          <w:i w:val="false"/>
          <w:caps w:val="false"/>
          <w:smallCaps w:val="false"/>
          <w:sz w:val="20"/>
          <w:u w:val="single"/>
        </w:rPr>
        <w:t>Notes Restructuring Agreement</w:t>
      </w:r>
      <w:r>
        <w:rPr>
          <w:caps w:val="false"/>
          <w:smallCaps w:val="false"/>
        </w:rPr>
        <w:t xml:space="preserve">” </w:t>
      </w:r>
      <w:r>
        <w:rPr>
          <w:rFonts w:ascii="Times New Roman PS Std;serif" w:hAnsi="Times New Roman PS Std;serif"/>
          <w:b w:val="false"/>
          <w:i w:val="false"/>
          <w:caps w:val="false"/>
          <w:smallCaps w:val="false"/>
          <w:sz w:val="20"/>
        </w:rPr>
        <w:t>and the transactions contemplated by the Notes Restructuring Agreement, the “</w:t>
      </w:r>
      <w:r>
        <w:rPr>
          <w:rFonts w:ascii="Times New Roman PS Std;serif" w:hAnsi="Times New Roman PS Std;serif"/>
          <w:b w:val="false"/>
          <w:i w:val="false"/>
          <w:caps w:val="false"/>
          <w:smallCaps w:val="false"/>
          <w:sz w:val="20"/>
          <w:u w:val="single"/>
        </w:rPr>
        <w:t>Notes Restructuring Transactions</w:t>
      </w:r>
      <w:r>
        <w:rPr>
          <w:caps w:val="false"/>
          <w:smallCaps w:val="false"/>
        </w:rPr>
        <w:t>”</w:t>
      </w:r>
      <w:r>
        <w:rPr>
          <w:rFonts w:ascii="Times New Roman PS Std;serif" w:hAnsi="Times New Roman PS Std;serif"/>
          <w:b w:val="false"/>
          <w:i w:val="false"/>
          <w:caps w:val="false"/>
          <w:smallCaps w:val="false"/>
          <w:sz w:val="20"/>
        </w:rPr>
        <w:t>), pursuant to which, among other actions and matters, such holders agreed to release and deem satisfied in full the Secured Notes for the consideration contemplated thereby.</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1</w:t>
        <w:br/>
      </w:r>
      <w:r>
        <w:rPr>
          <w:rFonts w:ascii="Times New Roman PS Std;serif" w:hAnsi="Times New Roman PS Std;serif"/>
          <w:b/>
          <w:i w:val="false"/>
          <w:caps/>
          <w:sz w:val="20"/>
        </w:rPr>
        <w:t>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The Mergers</w:t>
      </w:r>
      <w:r>
        <w:rPr>
          <w:rFonts w:ascii="Times New Roman PS Std;serif" w:hAnsi="Times New Roman PS Std;serif"/>
          <w:b w:val="false"/>
          <w:i w:val="false"/>
          <w:caps w:val="false"/>
          <w:smallCaps w:val="false"/>
          <w:sz w:val="20"/>
        </w:rPr>
        <w:t>. Upon the terms and subject to the satisfaction or waiver of the conditions set forth in this Agreement and in accordance with the applicable provisions of the DGCL:</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PS Std;serif" w:hAnsi="Times New Roman PS Std;serif"/>
          <w:b w:val="false"/>
          <w:i w:val="false"/>
          <w:caps w:val="false"/>
          <w:smallCaps w:val="false"/>
          <w:sz w:val="20"/>
          <w:u w:val="single"/>
        </w:rPr>
        <w:t>Intermediate Sub</w:t>
      </w:r>
      <w:r>
        <w:rPr>
          <w:caps w:val="false"/>
          <w:smallCaps w:val="false"/>
        </w:rPr>
        <w:t>”</w:t>
      </w:r>
      <w:r>
        <w:rPr>
          <w:rFonts w:ascii="Times New Roman PS Std;serif" w:hAnsi="Times New Roman PS Std;serif"/>
          <w:b w:val="false"/>
          <w:i w:val="false"/>
          <w:caps w:val="false"/>
          <w:smallCaps w:val="false"/>
          <w:sz w:val="20"/>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Solely for purposes of Sections 251 and 262 of the DGCL, this Agreement shall constitute separate agreements of merger with respect to the First Merger and the Second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Closing and Effective Times of the Mergers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closing of the Mergers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PS Std;serif" w:hAnsi="Times New Roman PS Std;serif"/>
          <w:b w:val="false"/>
          <w:i w:val="false"/>
          <w:caps w:val="false"/>
          <w:smallCaps w:val="false"/>
          <w:sz w:val="20"/>
          <w:u w:val="single"/>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On the Closing Date, (i) Parent, Merger Sub I and the Company shall cause a certificate of merger (the “</w:t>
      </w:r>
      <w:r>
        <w:rPr>
          <w:rFonts w:ascii="Times New Roman PS Std;serif" w:hAnsi="Times New Roman PS Std;serif"/>
          <w:b w:val="false"/>
          <w:i w:val="false"/>
          <w:caps w:val="false"/>
          <w:smallCaps w:val="false"/>
          <w:sz w:val="20"/>
          <w:u w:val="single"/>
        </w:rPr>
        <w:t>First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PS Std;serif" w:hAnsi="Times New Roman PS Std;serif"/>
          <w:b w:val="false"/>
          <w:i w:val="false"/>
          <w:caps w:val="false"/>
          <w:smallCaps w:val="false"/>
          <w:sz w:val="20"/>
          <w:u w:val="single"/>
        </w:rPr>
        <w:t>Second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PS Std;serif" w:hAnsi="Times New Roman PS Std;serif"/>
          <w:b w:val="false"/>
          <w:i w:val="false"/>
          <w:caps w:val="false"/>
          <w:smallCaps w:val="false"/>
          <w:sz w:val="20"/>
          <w:u w:val="single"/>
        </w:rPr>
        <w:t>First Effective Time</w:t>
      </w:r>
      <w:r>
        <w:rPr>
          <w:caps w:val="false"/>
          <w:smallCaps w:val="false"/>
        </w:rPr>
        <w:t>”</w:t>
      </w:r>
      <w:r>
        <w:rPr>
          <w:rFonts w:ascii="Times New Roman PS Std;serif" w:hAnsi="Times New Roman PS Std;serif"/>
          <w:b w:val="false"/>
          <w:i w:val="false"/>
          <w:caps w:val="false"/>
          <w:smallCaps w:val="false"/>
          <w:sz w:val="20"/>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PS Std;serif" w:hAnsi="Times New Roman PS Std;serif"/>
          <w:b w:val="false"/>
          <w:i w:val="false"/>
          <w:caps w:val="false"/>
          <w:smallCaps w:val="false"/>
          <w:sz w:val="20"/>
          <w:u w:val="single"/>
        </w:rPr>
        <w:t>Second 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2</w:t>
        <w:br/>
      </w:r>
      <w:r>
        <w:rPr>
          <w:rFonts w:ascii="Times New Roman PS Std;serif" w:hAnsi="Times New Roman PS Std;serif"/>
          <w:b/>
          <w:i w:val="false"/>
          <w:caps/>
          <w:sz w:val="20"/>
        </w:rPr>
        <w:t>Conversion of Securities IN THE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2.1         </w:t>
      </w:r>
      <w:r>
        <w:rPr>
          <w:rFonts w:ascii="Times New Roman PS Std;serif" w:hAnsi="Times New Roman PS Std;serif"/>
          <w:b w:val="false"/>
          <w:i w:val="false"/>
          <w:caps w:val="false"/>
          <w:smallCaps w:val="false"/>
          <w:sz w:val="20"/>
          <w:u w:val="single"/>
        </w:rPr>
        <w:t>Conversion of Securities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First Effective Time, by virtue of the First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share of Company Common Stock issued and outstanding immediately prior to the First Effective Time (other than Company Cancelled Shares and the TASE Shares) shall be automatically converted into the right to receive the Per Share Merger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 xml:space="preserve">Section 2.2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(iii)        All shares of Company Common Stock (including TASE Shares) held by (x) the Company as treasury shares, (y) any Company Subsidiary or (z) Parent or any Subsidiary of Parent (a “</w:t>
      </w:r>
      <w:r>
        <w:rPr>
          <w:rFonts w:ascii="Times New Roman PS Std;serif" w:hAnsi="Times New Roman PS Std;serif"/>
          <w:b w:val="false"/>
          <w:i w:val="false"/>
          <w:caps w:val="false"/>
          <w:smallCaps w:val="false"/>
          <w:sz w:val="20"/>
          <w:u w:val="single"/>
        </w:rPr>
        <w:t>Parent Subsidiary</w:t>
      </w:r>
      <w:r>
        <w:rPr>
          <w:caps w:val="false"/>
          <w:smallCaps w:val="false"/>
        </w:rPr>
        <w:t>”</w:t>
      </w:r>
      <w:r>
        <w:rPr>
          <w:rFonts w:ascii="Times New Roman PS Std;serif" w:hAnsi="Times New Roman PS Std;serif"/>
          <w:b w:val="false"/>
          <w:i w:val="false"/>
          <w:caps w:val="false"/>
          <w:smallCaps w:val="false"/>
          <w:sz w:val="20"/>
        </w:rPr>
        <w:t>), in each case, immediately prior to the First Effective Time (collectively, the “</w:t>
      </w:r>
      <w:r>
        <w:rPr>
          <w:rFonts w:ascii="Times New Roman PS Std;serif" w:hAnsi="Times New Roman PS Std;serif"/>
          <w:b w:val="false"/>
          <w:i w:val="false"/>
          <w:caps w:val="false"/>
          <w:smallCaps w:val="false"/>
          <w:sz w:val="20"/>
          <w:u w:val="single"/>
        </w:rPr>
        <w:t>Company Cancelled Shares</w:t>
      </w:r>
      <w:r>
        <w:rPr>
          <w:caps w:val="false"/>
          <w:smallCaps w:val="false"/>
        </w:rPr>
        <w:t>”</w:t>
      </w:r>
      <w:r>
        <w:rPr>
          <w:rFonts w:ascii="Times New Roman PS Std;serif" w:hAnsi="Times New Roman PS Std;serif"/>
          <w:b w:val="false"/>
          <w:i w:val="false"/>
          <w:caps w:val="false"/>
          <w:smallCaps w:val="false"/>
          <w:sz w:val="20"/>
        </w:rPr>
        <w:t>), shall be automatically cancelled and shall cease to exist, and no consideration shall be delivered in exchange therefor.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TASE Shares issued and outstanding immediately prior to the First Effective Time shall remain issued and outstanding.</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         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PS Std;serif" w:hAnsi="Times New Roman PS Std;serif"/>
          <w:b w:val="false"/>
          <w:i w:val="false"/>
          <w:caps w:val="false"/>
          <w:smallCaps w:val="false"/>
          <w:sz w:val="20"/>
          <w:u w:val="single"/>
        </w:rPr>
        <w:t>Merger Sub I Merger Shares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Second Effective Time, by virtue of the Second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share of common stock, par value $0.01 per share, of Merger Sub II issued and outstanding immediately prior to the Second Effective Time shall be automatically converted into one fully paid and nonassessable share of common stock of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nothing in this </w:t>
      </w:r>
      <w:r>
        <w:rPr>
          <w:rFonts w:ascii="Times New Roman PS Std;serif" w:hAnsi="Times New Roman PS Std;serif"/>
          <w:b w:val="false"/>
          <w:i w:val="false"/>
          <w:caps w:val="false"/>
          <w:smallCaps w:val="false"/>
          <w:sz w:val="20"/>
          <w:u w:val="single"/>
        </w:rPr>
        <w:t>Section 2.1(c)</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or the Company to take any action with respect to its securities that is prohibited by the terms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val="false"/>
          <w:caps w:val="false"/>
          <w:smallCaps w:val="false"/>
          <w:sz w:val="20"/>
          <w:u w:val="single"/>
        </w:rPr>
        <w:t>Payment for Securities; Surrender of Certificates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Exchange Agent</w:t>
      </w:r>
      <w:r>
        <w:rPr>
          <w:caps w:val="false"/>
          <w:smallCaps w:val="false"/>
        </w:rPr>
        <w:t>”</w:t>
      </w:r>
      <w:r>
        <w:rPr>
          <w:rFonts w:ascii="Times New Roman PS Std;serif" w:hAnsi="Times New Roman PS Std;serif"/>
          <w:b w:val="false"/>
          <w:i w:val="false"/>
          <w:caps w:val="false"/>
          <w:smallCaps w:val="false"/>
          <w:sz w:val="20"/>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 amount of cash sufficient to deliver the payments contemplated by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to which holders of Company Common Stock shall be entitled at the First Effective Time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and (II) an amount of cash sufficient to deliver the payments contemplated by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to which holders of TASE Shares shall be entitled at the Second Effective Time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PS Std;serif" w:hAnsi="Times New Roman PS Std;serif"/>
          <w:b w:val="false"/>
          <w:i w:val="false"/>
          <w:caps w:val="false"/>
          <w:smallCaps w:val="false"/>
          <w:sz w:val="20"/>
          <w:u w:val="single"/>
        </w:rPr>
        <w:t xml:space="preserve">Section 2.3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the event such deposited shares or funds are insufficient to effect the issuances or make the payments contemplated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Parent shall promptly deposit, or cause to be deposited,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PS Std;serif" w:hAnsi="Times New Roman PS Std;serif"/>
          <w:b w:val="false"/>
          <w:i w:val="false"/>
          <w:caps w:val="false"/>
          <w:smallCaps w:val="false"/>
          <w:sz w:val="20"/>
          <w:u w:val="single"/>
        </w:rPr>
        <w:t>Section 2.2(a)</w:t>
      </w:r>
      <w:r>
        <w:rPr>
          <w:caps w:val="false"/>
          <w:smallCaps w:val="false"/>
        </w:rPr>
        <w:t xml:space="preserve"> </w:t>
      </w:r>
      <w:r>
        <w:rPr>
          <w:rFonts w:ascii="Times New Roman PS Std;serif" w:hAnsi="Times New Roman PS Std;serif"/>
          <w:b w:val="false"/>
          <w:i w:val="false"/>
          <w:caps w:val="false"/>
          <w:smallCaps w:val="false"/>
          <w:sz w:val="20"/>
        </w:rPr>
        <w:t xml:space="preserve">shall be the sole and exclusive property of Parent. No part of such earnings shall accrue to the benefit of holders of Company Common Stock (other than by virtue of receipt of the issuances or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pursuant to the terms thereof) and no losses shall alter Parent’s obligation to cause the Exchange Agent to issue the shares or pay the cash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Procedures for Surrender; Treatment of Company Certificated Shares and Company Book-Entry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Company Certificated Shares</w:t>
      </w:r>
      <w:r>
        <w:rPr>
          <w:rFonts w:ascii="Times New Roman PS Std;serif" w:hAnsi="Times New Roman PS Std;serif"/>
          <w:b w:val="false"/>
          <w:i w:val="false"/>
          <w:caps w:val="false"/>
          <w:smallCaps w:val="false"/>
          <w:sz w:val="20"/>
        </w:rPr>
        <w:t>. As soon as practicable after the First Effective Time (and in no event later than three (3) Business Days after the First Effective Time), Parent shall cause the Exchange Agent to mail to each Person that was a holder of record of shares of Company Common Stock represented by a certificate (“</w:t>
      </w:r>
      <w:r>
        <w:rPr>
          <w:rFonts w:ascii="Times New Roman PS Std;serif" w:hAnsi="Times New Roman PS Std;serif"/>
          <w:b w:val="false"/>
          <w:i w:val="false"/>
          <w:caps w:val="false"/>
          <w:smallCaps w:val="false"/>
          <w:sz w:val="20"/>
          <w:u w:val="single"/>
        </w:rPr>
        <w:t>Company Certificated Shares</w:t>
      </w:r>
      <w:r>
        <w:rPr>
          <w:caps w:val="false"/>
          <w:smallCaps w:val="false"/>
        </w:rPr>
        <w:t>”</w:t>
      </w:r>
      <w:r>
        <w:rPr>
          <w:rFonts w:ascii="Times New Roman PS Std;serif" w:hAnsi="Times New Roman PS Std;serif"/>
          <w:b w:val="false"/>
          <w:i w:val="false"/>
          <w:caps w:val="false"/>
          <w:smallCaps w:val="false"/>
          <w:sz w:val="20"/>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in exchange for the issuance of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Upon surrender of any Company Certificated Shares (or affidavit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Company Book-Entry Shares</w:t>
      </w:r>
      <w:r>
        <w:rPr>
          <w:rFonts w:ascii="Times New Roman PS Std;serif" w:hAnsi="Times New Roman PS Std;serif"/>
          <w:b w:val="false"/>
          <w:i w:val="false"/>
          <w:caps w:val="false"/>
          <w:smallCaps w:val="false"/>
          <w:sz w:val="20"/>
        </w:rPr>
        <w:t>. Notwithstanding anything to the contrary contained in this Agreement, no holder of shares of Company Common Stock held in book-entry form (“</w:t>
      </w:r>
      <w:r>
        <w:rPr>
          <w:rFonts w:ascii="Times New Roman PS Std;serif" w:hAnsi="Times New Roman PS Std;serif"/>
          <w:b w:val="false"/>
          <w:i w:val="false"/>
          <w:caps w:val="false"/>
          <w:smallCaps w:val="false"/>
          <w:sz w:val="20"/>
          <w:u w:val="single"/>
        </w:rPr>
        <w:t>Company Book-Entry Shares</w:t>
      </w:r>
      <w:r>
        <w:rPr>
          <w:caps w:val="false"/>
          <w:smallCaps w:val="false"/>
        </w:rPr>
        <w:t>”</w:t>
      </w:r>
      <w:r>
        <w:rPr>
          <w:rFonts w:ascii="Times New Roman PS Std;serif" w:hAnsi="Times New Roman PS Std;serif"/>
          <w:b w:val="false"/>
          <w:i w:val="false"/>
          <w:caps w:val="false"/>
          <w:smallCaps w:val="false"/>
          <w:sz w:val="20"/>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or any dividends or other distributions (if any) or any cash payment (if any) that such holder is entitled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(B)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w:t>
      </w:r>
      <w:r>
        <w:rPr>
          <w:caps w:val="false"/>
          <w:smallCaps w:val="false"/>
        </w:rPr>
        <w:t xml:space="preserve"> </w:t>
      </w:r>
      <w:r>
        <w:rPr>
          <w:rFonts w:ascii="Times New Roman PS Std;serif" w:hAnsi="Times New Roman PS Std;serif"/>
          <w:b w:val="false"/>
          <w:i w:val="false"/>
          <w:caps w:val="false"/>
          <w:smallCaps w:val="false"/>
          <w:sz w:val="20"/>
        </w:rPr>
        <w:t xml:space="preserve">issuance of the Per Share Merger Consideration pursuant to </w:t>
      </w:r>
      <w:r>
        <w:rPr>
          <w:rFonts w:ascii="Times New Roman PS Std;serif" w:hAnsi="Times New Roman PS Std;serif"/>
          <w:b w:val="false"/>
          <w:i w:val="false"/>
          <w:caps w:val="false"/>
          <w:smallCaps w:val="false"/>
          <w:sz w:val="20"/>
          <w:u w:val="single"/>
        </w:rPr>
        <w:t xml:space="preserve">Section 2.1(a)(i)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respectively) or (2) the payment of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(B) a cash payment for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and (C)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(II)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each Company Book-Entry Share that is a TASE Share shall be deemed at any time after the Second Effective Time to represent only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Transfer Books; No Further Ownership Rights in Shares</w:t>
      </w:r>
      <w:r>
        <w:rPr>
          <w:rFonts w:ascii="Times New Roman PS Std;serif" w:hAnsi="Times New Roman PS Std;serif"/>
          <w:b w:val="false"/>
          <w:i w:val="false"/>
          <w:caps w:val="false"/>
          <w:smallCaps w:val="false"/>
          <w:sz w:val="20"/>
        </w:rPr>
        <w:t xml:space="preserve">. The shares of Parent Common Stock issued upon conversion of shares of Company Common Stock pursuant to and in accordance with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payment of the Per Share Cash Merger Consideration in respect of shares of Company Common Stock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Post-Effective Time Surrender</w:t>
      </w:r>
      <w:r>
        <w:rPr>
          <w:rFonts w:ascii="Times New Roman PS Std;serif" w:hAnsi="Times New Roman PS Std;serif"/>
          <w:b w:val="false"/>
          <w:i w:val="false"/>
          <w:caps w:val="false"/>
          <w:smallCaps w:val="false"/>
          <w:sz w:val="20"/>
        </w:rPr>
        <w:t xml:space="preserve">.If, (i) after the First Effective Time, any Company Certificated Shares (other than TASE Shares) are presented to Parent, the First Surviving Corporation or the Surviving Corporation for any reason, such Company Certificated Shares shall be cancelled and exchanged for the Per Share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Merger Consideration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(ii) after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in each case, subject to abandoned property, escheat or other similar Laws.</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Termination of Fund; Abandoned Property; No Liability</w:t>
      </w:r>
      <w:r>
        <w:rPr>
          <w:rFonts w:ascii="Times New Roman PS Std;serif" w:hAnsi="Times New Roman PS Std;serif"/>
          <w:b w:val="false"/>
          <w:i w:val="false"/>
          <w:caps w:val="false"/>
          <w:smallCaps w:val="false"/>
          <w:sz w:val="20"/>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 xml:space="preserve">prior to such time shall thereafter look only to Parent (subject to abandoned property, escheat or other similar Laws) for delivery of the Per Share Merger Consideration that such holder is entitled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any dividends or other distributions (if any) or any cash payment (if any) that such holder has the right to receive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that such holder is entitled to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delivered to a public official pursuant to any applicable abandoned property, escheat or similar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Lost, Stolen or Destroyed Certificates</w:t>
      </w:r>
      <w:r>
        <w:rPr>
          <w:rFonts w:ascii="Times New Roman PS Std;serif" w:hAnsi="Times New Roman PS Std;serif"/>
          <w:b w:val="false"/>
          <w:i w:val="false"/>
          <w:caps w:val="false"/>
          <w:smallCaps w:val="false"/>
          <w:sz w:val="20"/>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payable in respect thereof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val="false"/>
          <w:caps w:val="false"/>
          <w:smallCaps w:val="false"/>
          <w:sz w:val="20"/>
          <w:u w:val="single"/>
        </w:rPr>
        <w:t>Distributions with Respect to Unexchanged Shares</w:t>
      </w:r>
      <w:r>
        <w:rPr>
          <w:rFonts w:ascii="Times New Roman PS Std;serif" w:hAnsi="Times New Roman PS Std;serif"/>
          <w:b w:val="false"/>
          <w:i w:val="false"/>
          <w:caps w:val="false"/>
          <w:smallCaps w:val="false"/>
          <w:sz w:val="20"/>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until such holder shall comply with the provisions of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Subject to escheat, Tax or other applicable Law, following the surrender of any such shares of Company Common Stock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(after giving effect to any required Tax withholdings as provided in </w:t>
      </w:r>
      <w:r>
        <w:rPr>
          <w:rFonts w:ascii="Times New Roman PS Std;serif" w:hAnsi="Times New Roman PS Std;serif"/>
          <w:b w:val="false"/>
          <w:i w:val="false"/>
          <w:caps w:val="false"/>
          <w:smallCaps w:val="false"/>
          <w:sz w:val="20"/>
          <w:u w:val="single"/>
        </w:rPr>
        <w:t>Section 2.9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val="false"/>
          <w:caps w:val="false"/>
          <w:smallCaps w:val="false"/>
          <w:sz w:val="20"/>
          <w:u w:val="single"/>
        </w:rPr>
        <w:t>Fractional Shares</w:t>
      </w:r>
      <w:r>
        <w:rPr>
          <w:rFonts w:ascii="Times New Roman PS Std;serif" w:hAnsi="Times New Roman PS Std;serif"/>
          <w:b w:val="false"/>
          <w:i w:val="false"/>
          <w:caps w:val="false"/>
          <w:smallCaps w:val="false"/>
          <w:sz w:val="20"/>
        </w:rPr>
        <w:t xml:space="preserve">. No fractional shares of Parent Common Stock shall be issued upon the conversion of shares of Company Common Stock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that would otherwise have been entitled to receive a fraction of a share of Parent Common Stock (after taking into account all shares of Company Common Stock delivered by such holder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shall receive,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was not separately bargained-for consideration, but merely represents a mechanical rounding off for purposes of avoiding the expense and inconvenience to Parent that would otherwise be caused by the issuance of fractional shares of Parent Common Stock.</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val="false"/>
          <w:caps w:val="false"/>
          <w:smallCaps w:val="false"/>
          <w:sz w:val="20"/>
          <w:u w:val="single"/>
        </w:rPr>
        <w:t>Treatment of Company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PS Std;serif" w:hAnsi="Times New Roman PS Std;serif"/>
          <w:b w:val="false"/>
          <w:i w:val="false"/>
          <w:caps w:val="false"/>
          <w:smallCaps w:val="false"/>
          <w:sz w:val="20"/>
          <w:u w:val="single"/>
        </w:rPr>
        <w:t>Continuing Service Provider</w:t>
      </w:r>
      <w:r>
        <w:rPr>
          <w:caps w:val="false"/>
          <w:smallCaps w:val="false"/>
        </w:rPr>
        <w:t>”</w:t>
      </w:r>
      <w:r>
        <w:rPr>
          <w:rFonts w:ascii="Times New Roman PS Std;serif" w:hAnsi="Times New Roman PS Std;serif"/>
          <w:b w:val="false"/>
          <w:i w:val="false"/>
          <w:caps w:val="false"/>
          <w:smallCaps w:val="false"/>
          <w:sz w:val="20"/>
        </w:rPr>
        <w:t xml:space="preserve">), whether or not then vested or exercisable, shall be assumed by Parent and converted into an option to acquire shares of Parent Common Stock in accordance with this </w:t>
      </w:r>
      <w:r>
        <w:rPr>
          <w:rFonts w:ascii="Times New Roman PS Std;serif" w:hAnsi="Times New Roman PS Std;serif"/>
          <w:b w:val="false"/>
          <w:i w:val="false"/>
          <w:caps w:val="false"/>
          <w:smallCaps w:val="false"/>
          <w:sz w:val="20"/>
          <w:u w:val="single"/>
        </w:rPr>
        <w:t>Section 2.6(a)(i)</w:t>
      </w:r>
      <w:r>
        <w:rPr>
          <w:caps w:val="false"/>
          <w:smallCaps w:val="false"/>
        </w:rPr>
        <w:t xml:space="preserve"> </w:t>
      </w:r>
      <w:r>
        <w:rPr>
          <w:rFonts w:ascii="Times New Roman PS Std;serif" w:hAnsi="Times New Roman PS Std;serif"/>
          <w:b w:val="false"/>
          <w:i w:val="false"/>
          <w:caps w:val="false"/>
          <w:smallCaps w:val="false"/>
          <w:sz w:val="20"/>
        </w:rPr>
        <w:t>(each, an “</w:t>
      </w:r>
      <w:r>
        <w:rPr>
          <w:rFonts w:ascii="Times New Roman PS Std;serif" w:hAnsi="Times New Roman PS Std;serif"/>
          <w:b w:val="false"/>
          <w:i w:val="false"/>
          <w:caps w:val="false"/>
          <w:smallCaps w:val="false"/>
          <w:sz w:val="20"/>
          <w:u w:val="single"/>
        </w:rPr>
        <w:t>Assumed Option</w:t>
      </w:r>
      <w:r>
        <w:rPr>
          <w:caps w:val="false"/>
          <w:smallCaps w:val="false"/>
        </w:rPr>
        <w:t>”</w:t>
      </w:r>
      <w:r>
        <w:rPr>
          <w:rFonts w:ascii="Times New Roman PS Std;serif" w:hAnsi="Times New Roman PS Std;serif"/>
          <w:b w:val="false"/>
          <w:i w:val="false"/>
          <w:caps w:val="false"/>
          <w:smallCaps w:val="false"/>
          <w:sz w:val="20"/>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Company RSU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PS Std;serif" w:hAnsi="Times New Roman PS Std;serif"/>
          <w:b w:val="false"/>
          <w:i w:val="false"/>
          <w:caps w:val="false"/>
          <w:smallCaps w:val="false"/>
          <w:sz w:val="20"/>
          <w:u w:val="single"/>
        </w:rPr>
        <w:t>Section 2.6(b)(i)</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shall be assumed by Parent and converted into a restricted stock unit award covering shares of Parent Common Stock (each, an “</w:t>
      </w:r>
      <w:r>
        <w:rPr>
          <w:rFonts w:ascii="Times New Roman PS Std;serif" w:hAnsi="Times New Roman PS Std;serif"/>
          <w:b w:val="false"/>
          <w:i w:val="false"/>
          <w:caps w:val="false"/>
          <w:smallCaps w:val="false"/>
          <w:sz w:val="20"/>
          <w:u w:val="single"/>
        </w:rPr>
        <w:t>Assumed RSU Award</w:t>
      </w:r>
      <w:r>
        <w:rPr>
          <w:caps w:val="false"/>
          <w:smallCaps w:val="false"/>
        </w:rPr>
        <w:t>”</w:t>
      </w:r>
      <w:r>
        <w:rPr>
          <w:rFonts w:ascii="Times New Roman PS Std;serif" w:hAnsi="Times New Roman PS Std;serif"/>
          <w:b w:val="false"/>
          <w:i w:val="false"/>
          <w:caps w:val="false"/>
          <w:smallCaps w:val="false"/>
          <w:sz w:val="20"/>
        </w:rPr>
        <w:t xml:space="preserve">) in accordance with this </w:t>
      </w:r>
      <w:r>
        <w:rPr>
          <w:rFonts w:ascii="Times New Roman PS Std;serif" w:hAnsi="Times New Roman PS Std;serif"/>
          <w:b w:val="false"/>
          <w:i w:val="false"/>
          <w:caps w:val="false"/>
          <w:smallCaps w:val="false"/>
          <w:sz w:val="20"/>
          <w:u w:val="single"/>
        </w:rPr>
        <w:t>Section 2.6(b)(ii)</w:t>
      </w:r>
      <w:r>
        <w:rPr>
          <w:rFonts w:ascii="Times New Roman PS Std;serif" w:hAnsi="Times New Roman PS Std;serif"/>
          <w:b w:val="false"/>
          <w:i w:val="false"/>
          <w:caps w:val="false"/>
          <w:smallCaps w:val="false"/>
          <w:sz w:val="20"/>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Certain Non-US Awards</w:t>
      </w:r>
      <w:r>
        <w:rPr>
          <w:rFonts w:ascii="Times New Roman PS Std;serif" w:hAnsi="Times New Roman PS Std;serif"/>
          <w:b w:val="false"/>
          <w:i w:val="false"/>
          <w:caps w:val="false"/>
          <w:smallCaps w:val="false"/>
          <w:sz w:val="20"/>
        </w:rPr>
        <w:t xml:space="preserve">. Notwithstanding anything to the contrary contained in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xml:space="preserve">, if Parent determines that, for holders of Company Equity Awards employed outside of the United States, the treatment of Company Equity Awards prescribed by this </w:t>
      </w:r>
      <w:r>
        <w:rPr>
          <w:rFonts w:ascii="Times New Roman PS Std;serif" w:hAnsi="Times New Roman PS Std;serif"/>
          <w:b w:val="false"/>
          <w:i w:val="false"/>
          <w:caps w:val="false"/>
          <w:smallCaps w:val="false"/>
          <w:sz w:val="20"/>
          <w:u w:val="single"/>
        </w:rPr>
        <w:t>Section 2.6</w:t>
      </w:r>
      <w:r>
        <w:rPr>
          <w:caps w:val="false"/>
          <w:smallCaps w:val="false"/>
        </w:rPr>
        <w:t xml:space="preserve"> </w:t>
      </w:r>
      <w:r>
        <w:rPr>
          <w:rFonts w:ascii="Times New Roman PS Std;serif" w:hAnsi="Times New Roman PS Std;serif"/>
          <w:b w:val="false"/>
          <w:i w:val="false"/>
          <w:caps w:val="false"/>
          <w:smallCaps w:val="false"/>
          <w:sz w:val="20"/>
        </w:rPr>
        <w:t>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Company ESPP</w:t>
      </w:r>
      <w:r>
        <w:rPr>
          <w:rFonts w:ascii="Times New Roman PS Std;serif" w:hAnsi="Times New Roman PS Std;serif"/>
          <w:b w:val="false"/>
          <w:i w:val="false"/>
          <w:caps w:val="false"/>
          <w:smallCaps w:val="false"/>
          <w:sz w:val="20"/>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PS Std;serif" w:hAnsi="Times New Roman PS Std;serif"/>
          <w:b w:val="false"/>
          <w:i w:val="false"/>
          <w:caps w:val="false"/>
          <w:smallCaps w:val="false"/>
          <w:sz w:val="20"/>
          <w:u w:val="single"/>
        </w:rPr>
        <w:t>Current ESPP Offering Periods</w:t>
      </w:r>
      <w:r>
        <w:rPr>
          <w:caps w:val="false"/>
          <w:smallCaps w:val="false"/>
        </w:rPr>
        <w:t>”</w:t>
      </w:r>
      <w:r>
        <w:rPr>
          <w:rFonts w:ascii="Times New Roman PS Std;serif" w:hAnsi="Times New Roman PS Std;serif"/>
          <w:b w:val="false"/>
          <w:i w:val="false"/>
          <w:caps w:val="false"/>
          <w:smallCaps w:val="false"/>
          <w:sz w:val="20"/>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Other 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          Prior to the First Effective Time, the Company shall pass such resolutions and take such other actions as are necessary so as to cause the treatment of the Company Equity Awards and the Company ESPP as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2.7         </w:t>
      </w:r>
      <w:r>
        <w:rPr>
          <w:rFonts w:ascii="Times New Roman PS Std;serif" w:hAnsi="Times New Roman PS Std;serif"/>
          <w:b w:val="false"/>
          <w:i w:val="false"/>
          <w:caps w:val="false"/>
          <w:smallCaps w:val="false"/>
          <w:sz w:val="20"/>
          <w:u w:val="single"/>
        </w:rPr>
        <w:t>Treatment of Company Warrants</w:t>
      </w:r>
      <w:r>
        <w:rPr>
          <w:rFonts w:ascii="Times New Roman PS Std;serif" w:hAnsi="Times New Roman PS Std;serif"/>
          <w:b w:val="false"/>
          <w:i w:val="false"/>
          <w:caps w:val="false"/>
          <w:smallCaps w:val="false"/>
          <w:sz w:val="20"/>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2.8         </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 No earlier than twenty (20) Business Days nor later than fifteen (15) Business Days prior to the Closing Date, the Company shall deliver to Parent a statement (the “</w:t>
      </w:r>
      <w:r>
        <w:rPr>
          <w:rFonts w:ascii="Times New Roman PS Std;serif" w:hAnsi="Times New Roman PS Std;serif"/>
          <w:b w:val="false"/>
          <w:i w:val="false"/>
          <w:caps w:val="false"/>
          <w:smallCaps w:val="false"/>
          <w:sz w:val="20"/>
          <w:u w:val="single"/>
        </w:rPr>
        <w:t>Estimated Closing Statement</w:t>
      </w:r>
      <w:r>
        <w:rPr>
          <w:caps w:val="false"/>
          <w:smallCaps w:val="false"/>
        </w:rPr>
        <w:t>”</w:t>
      </w:r>
      <w:r>
        <w:rPr>
          <w:rFonts w:ascii="Times New Roman PS Std;serif" w:hAnsi="Times New Roman PS Std;serif"/>
          <w:b w:val="false"/>
          <w:i w:val="false"/>
          <w:caps w:val="false"/>
          <w:smallCaps w:val="false"/>
          <w:sz w:val="20"/>
        </w:rPr>
        <w:t xml:space="preserve">),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pPr>
      <w:r>
        <w:rPr>
          <w:rFonts w:ascii="Times New Roman PS Std;serif" w:hAnsi="Times New Roman PS Std;serif"/>
          <w:b w:val="false"/>
          <w:i w:val="false"/>
          <w:caps w:val="false"/>
          <w:smallCaps w:val="false"/>
          <w:sz w:val="20"/>
        </w:rPr>
        <w:t>prior to the Closing Date. Subject to such good faith consultation by the Company and any updates to the Estimated Closing Statement resulting therefrom, the Company Cash Balance set forth in the Estimated Closing Statement as of such fifth (5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prior to the Closing Date shall be deemed the final Company Cash Balance for purposes of calculating the Aggregate Consideration Amount.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2.9         </w:t>
      </w:r>
      <w:r>
        <w:rPr>
          <w:rFonts w:ascii="Times New Roman PS Std;serif" w:hAnsi="Times New Roman PS Std;serif"/>
          <w:b w:val="false"/>
          <w:i w:val="false"/>
          <w:caps w:val="false"/>
          <w:smallCaps w:val="false"/>
          <w:sz w:val="20"/>
          <w:u w:val="single"/>
        </w:rPr>
        <w:t>Withholding Rights</w:t>
      </w:r>
      <w:r>
        <w:rPr>
          <w:rFonts w:ascii="Times New Roman PS Std;serif" w:hAnsi="Times New Roman PS Std;serif"/>
          <w:b w:val="false"/>
          <w:i w:val="false"/>
          <w:caps w:val="false"/>
          <w:smallCaps w:val="false"/>
          <w:sz w:val="20"/>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2.10       </w:t>
      </w:r>
      <w:r>
        <w:rPr>
          <w:rFonts w:ascii="Times New Roman PS Std;serif" w:hAnsi="Times New Roman PS Std;serif"/>
          <w:b w:val="false"/>
          <w:i w:val="false"/>
          <w:caps w:val="false"/>
          <w:smallCaps w:val="false"/>
          <w:sz w:val="20"/>
          <w:u w:val="single"/>
        </w:rPr>
        <w:t>Tax Treatment</w:t>
      </w:r>
      <w:r>
        <w:rPr>
          <w:rFonts w:ascii="Times New Roman PS Std;serif" w:hAnsi="Times New Roman PS Std;serif"/>
          <w:b w:val="false"/>
          <w:i w:val="false"/>
          <w:caps w:val="false"/>
          <w:smallCaps w:val="false"/>
          <w:sz w:val="20"/>
        </w:rPr>
        <w:t>.Each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2.11       </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pursuant to, and who have complied in all respects with, Section 262 of the DGCL (the “</w:t>
      </w:r>
      <w:r>
        <w:rPr>
          <w:rFonts w:ascii="Times New Roman PS Std;serif" w:hAnsi="Times New Roman PS Std;serif"/>
          <w:b w:val="false"/>
          <w:i w:val="false"/>
          <w:caps w:val="false"/>
          <w:smallCaps w:val="false"/>
          <w:sz w:val="20"/>
          <w:u w:val="single"/>
        </w:rPr>
        <w:t>Appraisal Rights</w:t>
      </w:r>
      <w:r>
        <w:rPr>
          <w:caps w:val="false"/>
          <w:smallCaps w:val="false"/>
        </w:rPr>
        <w:t>”</w:t>
      </w:r>
      <w:r>
        <w:rPr>
          <w:rFonts w:ascii="Times New Roman PS Std;serif" w:hAnsi="Times New Roman PS Std;serif"/>
          <w:b w:val="false"/>
          <w:i w:val="false"/>
          <w:caps w:val="false"/>
          <w:smallCaps w:val="false"/>
          <w:sz w:val="20"/>
        </w:rPr>
        <w:t xml:space="preserve">) shall not be converted into the right to receive the Per Share Cash Merger Consideration payable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rPr>
        <w:t>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 respect to any demand made by a holder of TASE Shares pursuant to and in accordance with this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2.12          </w:t>
      </w:r>
      <w:r>
        <w:rPr>
          <w:rFonts w:ascii="Times New Roman PS Std;serif" w:hAnsi="Times New Roman PS Std;serif"/>
          <w:b w:val="false"/>
          <w:i w:val="false"/>
          <w:caps w:val="false"/>
          <w:smallCaps w:val="false"/>
          <w:sz w:val="20"/>
          <w:u w:val="single"/>
        </w:rPr>
        <w:t>Prohibition on Transfer</w:t>
      </w:r>
      <w:r>
        <w:rPr>
          <w:rFonts w:ascii="Times New Roman PS Std;serif" w:hAnsi="Times New Roman PS Std;serif"/>
          <w:b w:val="false"/>
          <w:i w:val="false"/>
          <w:caps w:val="false"/>
          <w:smallCaps w:val="false"/>
          <w:sz w:val="20"/>
        </w:rPr>
        <w:t>.To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3</w:t>
        <w:br/>
      </w:r>
      <w:r>
        <w:rPr>
          <w:rFonts w:ascii="Times New Roman PS Std;serif" w:hAnsi="Times New Roman PS Std;serif"/>
          <w:b/>
          <w:i w:val="false"/>
          <w:caps/>
          <w:sz w:val="20"/>
        </w:rPr>
        <w:t>Representations and Warranties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Except (a) as set forth in the disclosure schedule delivered by the Company to Parent (the “</w:t>
      </w:r>
      <w:r>
        <w:rPr>
          <w:rFonts w:ascii="Times New Roman PS Std;serif" w:hAnsi="Times New Roman PS Std;serif"/>
          <w:b w:val="false"/>
          <w:i w:val="false"/>
          <w:caps w:val="false"/>
          <w:smallCaps w:val="false"/>
          <w:sz w:val="20"/>
          <w:u w:val="single"/>
        </w:rPr>
        <w:t>Company Disclosure Schedule</w:t>
      </w:r>
      <w:r>
        <w:rPr>
          <w:caps w:val="false"/>
          <w:smallCaps w:val="false"/>
        </w:rPr>
        <w:t>”</w:t>
      </w:r>
      <w:r>
        <w:rPr>
          <w:rFonts w:ascii="Times New Roman PS Std;serif" w:hAnsi="Times New Roman PS Std;serif"/>
          <w:b w:val="false"/>
          <w:i w:val="false"/>
          <w:caps w:val="false"/>
          <w:smallCaps w:val="false"/>
          <w:sz w:val="20"/>
        </w:rPr>
        <w:t xml:space="preserve">) concurrent with the execution of the Original Agreement (with specific reference to the representations and warranties in this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 xml:space="preserve">to which the information in such schedule relates);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PS Std;serif" w:hAnsi="Times New Roman PS Std;serif"/>
          <w:b w:val="false"/>
          <w:i w:val="false"/>
          <w:caps w:val="false"/>
          <w:smallCaps w:val="false"/>
          <w:sz w:val="20"/>
          <w:u w:val="single"/>
        </w:rPr>
        <w:t>Sections 3.1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3.5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3.8(b)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caps w:val="false"/>
          <w:smallCaps w:val="false"/>
        </w:rPr>
        <w:t xml:space="preserve"> </w:t>
      </w:r>
      <w:r>
        <w:rPr>
          <w:rFonts w:ascii="Times New Roman PS Std;serif" w:hAnsi="Times New Roman PS Std;serif"/>
          <w:b w:val="false"/>
          <w:i w:val="false"/>
          <w:caps w:val="false"/>
          <w:smallCaps w:val="false"/>
          <w:sz w:val="20"/>
        </w:rPr>
        <w:t>which the Company hereby represents and warrants to Parent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and each of its Subsidiaries (each, a “</w:t>
      </w:r>
      <w:r>
        <w:rPr>
          <w:rFonts w:ascii="Times New Roman PS Std;serif" w:hAnsi="Times New Roman PS Std;serif"/>
          <w:b w:val="false"/>
          <w:i w:val="false"/>
          <w:caps w:val="false"/>
          <w:smallCaps w:val="false"/>
          <w:sz w:val="20"/>
          <w:u w:val="single"/>
        </w:rPr>
        <w:t>Company Subsidiary</w:t>
      </w:r>
      <w:r>
        <w:rPr>
          <w:caps w:val="false"/>
          <w:smallCaps w:val="false"/>
        </w:rPr>
        <w:t>”</w:t>
      </w:r>
      <w:r>
        <w:rPr>
          <w:rFonts w:ascii="Times New Roman PS Std;serif" w:hAnsi="Times New Roman PS Std;serif"/>
          <w:b w:val="false"/>
          <w:i w:val="false"/>
          <w:caps w:val="false"/>
          <w:smallCaps w:val="false"/>
          <w:sz w:val="20"/>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has made available or caused to be made available to Parent true and complete copies of (i) any amendments to the Fourth Amended and Restated Certificate of Incorporation of the Company (the “</w:t>
      </w:r>
      <w:r>
        <w:rPr>
          <w:rFonts w:ascii="Times New Roman PS Std;serif" w:hAnsi="Times New Roman PS Std;serif"/>
          <w:b w:val="false"/>
          <w:i w:val="false"/>
          <w:caps w:val="false"/>
          <w:smallCaps w:val="false"/>
          <w:sz w:val="20"/>
          <w:u w:val="single"/>
        </w:rPr>
        <w:t>Company Charter</w:t>
      </w:r>
      <w:r>
        <w:rPr>
          <w:caps w:val="false"/>
          <w:smallCaps w:val="false"/>
        </w:rPr>
        <w:t>”</w:t>
      </w:r>
      <w:r>
        <w:rPr>
          <w:rFonts w:ascii="Times New Roman PS Std;serif" w:hAnsi="Times New Roman PS Std;serif"/>
          <w:b w:val="false"/>
          <w:i w:val="false"/>
          <w:caps w:val="false"/>
          <w:smallCaps w:val="false"/>
          <w:sz w:val="20"/>
        </w:rPr>
        <w:t>) not filed prior to the date hereof with the SEC, (ii) any amendments to the Fourth Amended and Restated By-Laws of the Company (the “</w:t>
      </w:r>
      <w:r>
        <w:rPr>
          <w:rFonts w:ascii="Times New Roman PS Std;serif" w:hAnsi="Times New Roman PS Std;serif"/>
          <w:b w:val="false"/>
          <w:i w:val="false"/>
          <w:caps w:val="false"/>
          <w:smallCaps w:val="false"/>
          <w:sz w:val="20"/>
          <w:u w:val="single"/>
        </w:rPr>
        <w:t>Company Bylaws</w:t>
      </w:r>
      <w:r>
        <w:rPr>
          <w:caps w:val="false"/>
          <w:smallCaps w:val="false"/>
        </w:rPr>
        <w:t>”</w:t>
      </w:r>
      <w:r>
        <w:rPr>
          <w:rFonts w:ascii="Times New Roman PS Std;serif" w:hAnsi="Times New Roman PS Std;serif"/>
          <w:b w:val="false"/>
          <w:i w:val="false"/>
          <w:caps w:val="false"/>
          <w:smallCaps w:val="false"/>
          <w:sz w:val="20"/>
        </w:rPr>
        <w:t>) not filed prior to the date hereof with the SEC and (iii) the certificates of incorporation and bylaws, or equivalent organizational or governing documents, of each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3.1(c)</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authorized capital stock of the Company consists of (i) 20,000,000 shares of Company Common Stock, of which, as of the close of business on April 17, 2026 (the “</w:t>
      </w:r>
      <w:r>
        <w:rPr>
          <w:rFonts w:ascii="Times New Roman PS Std;serif" w:hAnsi="Times New Roman PS Std;serif"/>
          <w:b w:val="false"/>
          <w:i w:val="false"/>
          <w:caps w:val="false"/>
          <w:smallCaps w:val="false"/>
          <w:sz w:val="20"/>
          <w:u w:val="single"/>
        </w:rPr>
        <w:t>Company Capitalization Date</w:t>
      </w:r>
      <w:r>
        <w:rPr>
          <w:caps w:val="false"/>
          <w:smallCaps w:val="false"/>
        </w:rPr>
        <w:t>”</w:t>
      </w:r>
      <w:r>
        <w:rPr>
          <w:rFonts w:ascii="Times New Roman PS Std;serif" w:hAnsi="Times New Roman PS Std;serif"/>
          <w:b w:val="false"/>
          <w:i w:val="false"/>
          <w:caps w:val="false"/>
          <w:smallCaps w:val="false"/>
          <w:sz w:val="20"/>
        </w:rPr>
        <w:t>), there were 12,135,767 shares of Company Common Stock issued and outstanding and (ii) 5,000,000 shares of Preferred Stock, par value $0.001 per share, of the Company (“</w:t>
      </w:r>
      <w:r>
        <w:rPr>
          <w:rFonts w:ascii="Times New Roman PS Std;serif" w:hAnsi="Times New Roman PS Std;serif"/>
          <w:b w:val="false"/>
          <w:i w:val="false"/>
          <w:caps w:val="false"/>
          <w:smallCaps w:val="false"/>
          <w:sz w:val="20"/>
          <w:u w:val="single"/>
        </w:rPr>
        <w:t>Company Preferred Stock</w:t>
      </w:r>
      <w:r>
        <w:rPr>
          <w:caps w:val="false"/>
          <w:smallCaps w:val="false"/>
        </w:rPr>
        <w:t xml:space="preserve">” </w:t>
      </w:r>
      <w:r>
        <w:rPr>
          <w:rFonts w:ascii="Times New Roman PS Std;serif" w:hAnsi="Times New Roman PS Std;serif"/>
          <w:b w:val="false"/>
          <w:i w:val="false"/>
          <w:caps w:val="false"/>
          <w:smallCaps w:val="false"/>
          <w:sz w:val="20"/>
        </w:rPr>
        <w:t>and together with the Company Common Stock, the “</w:t>
      </w:r>
      <w:r>
        <w:rPr>
          <w:rFonts w:ascii="Times New Roman PS Std;serif" w:hAnsi="Times New Roman PS Std;serif"/>
          <w:b w:val="false"/>
          <w:i w:val="false"/>
          <w:caps w:val="false"/>
          <w:smallCaps w:val="false"/>
          <w:sz w:val="20"/>
          <w:u w:val="single"/>
        </w:rPr>
        <w:t>Company Stock</w:t>
      </w:r>
      <w:r>
        <w:rPr>
          <w:caps w:val="false"/>
          <w:smallCaps w:val="false"/>
        </w:rPr>
        <w:t>”</w:t>
      </w:r>
      <w:r>
        <w:rPr>
          <w:rFonts w:ascii="Times New Roman PS Std;serif" w:hAnsi="Times New Roman PS Std;serif"/>
          <w:b w:val="false"/>
          <w:i w:val="false"/>
          <w:caps w:val="false"/>
          <w:smallCaps w:val="false"/>
          <w:sz w:val="20"/>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PS Std;serif" w:hAnsi="Times New Roman PS Std;serif"/>
          <w:b w:val="false"/>
          <w:i w:val="false"/>
          <w:caps w:val="false"/>
          <w:smallCaps w:val="false"/>
          <w:sz w:val="20"/>
          <w:u w:val="single"/>
        </w:rPr>
        <w:t>Section 3.2(b)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Except for Equity Interests set forth in </w:t>
      </w:r>
      <w:r>
        <w:rPr>
          <w:rFonts w:ascii="Times New Roman PS Std;serif" w:hAnsi="Times New Roman PS Std;serif"/>
          <w:b w:val="false"/>
          <w:i w:val="false"/>
          <w:caps w:val="false"/>
          <w:smallCaps w:val="false"/>
          <w:sz w:val="20"/>
          <w:u w:val="single"/>
        </w:rPr>
        <w:t>Section 3.2(b)</w:t>
      </w:r>
      <w:r>
        <w:rPr>
          <w:rFonts w:ascii="Times New Roman PS Std;serif" w:hAnsi="Times New Roman PS Std;serif"/>
          <w:b w:val="false"/>
          <w:i w:val="false"/>
          <w:caps w:val="false"/>
          <w:smallCaps w:val="false"/>
          <w:sz w:val="20"/>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PS Std;serif" w:hAnsi="Times New Roman PS Std;serif"/>
          <w:b w:val="false"/>
          <w:i w:val="false"/>
          <w:caps w:val="false"/>
          <w:smallCaps w:val="false"/>
          <w:sz w:val="20"/>
          <w:u w:val="single"/>
        </w:rPr>
        <w:t>Company Rights</w:t>
      </w:r>
      <w:r>
        <w:rPr>
          <w:caps w:val="false"/>
          <w:smallCaps w:val="false"/>
        </w:rPr>
        <w:t>”</w:t>
      </w:r>
      <w:r>
        <w:rPr>
          <w:rFonts w:ascii="Times New Roman PS Std;serif" w:hAnsi="Times New Roman PS Std;serif"/>
          <w:b w:val="false"/>
          <w:i w:val="false"/>
          <w:caps w:val="false"/>
          <w:smallCaps w:val="false"/>
          <w:sz w:val="20"/>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PS Std;serif" w:hAnsi="Times New Roman PS Std;serif"/>
          <w:b w:val="false"/>
          <w:i w:val="false"/>
          <w:caps w:val="false"/>
          <w:smallCaps w:val="false"/>
          <w:sz w:val="20"/>
          <w:u w:val="single"/>
        </w:rPr>
        <w:t>Required Company Vote</w:t>
      </w:r>
      <w:r>
        <w:rPr>
          <w:caps w:val="false"/>
          <w:smallCaps w:val="false"/>
        </w:rPr>
        <w:t>”</w:t>
      </w:r>
      <w:r>
        <w:rPr>
          <w:rFonts w:ascii="Times New Roman PS Std;serif" w:hAnsi="Times New Roman PS Std;serif"/>
          <w:b w:val="false"/>
          <w:i w:val="false"/>
          <w:caps w:val="false"/>
          <w:smallCaps w:val="false"/>
          <w:sz w:val="20"/>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PS Std;serif" w:hAnsi="Times New Roman PS Std;serif"/>
          <w:b w:val="false"/>
          <w:i w:val="false"/>
          <w:caps w:val="false"/>
          <w:smallCaps w:val="false"/>
          <w:sz w:val="20"/>
          <w:u w:val="single"/>
        </w:rPr>
        <w:t>Enforceability Limitations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 PS Std;serif" w:hAnsi="Times New Roman PS Std;serif"/>
          <w:b w:val="false"/>
          <w:i w:val="false"/>
          <w:caps w:val="false"/>
          <w:smallCaps w:val="false"/>
          <w:sz w:val="20"/>
          <w:u w:val="single"/>
        </w:rPr>
        <w:t>Tax Benefits Preservation Plan Waiver</w:t>
      </w:r>
      <w:r>
        <w:rPr>
          <w:caps w:val="false"/>
          <w:smallCaps w:val="false"/>
        </w:rPr>
        <w:t>”</w:t>
      </w:r>
      <w:r>
        <w:rPr>
          <w:rFonts w:ascii="Times New Roman PS Std;serif" w:hAnsi="Times New Roman PS Std;serif"/>
          <w:b w:val="false"/>
          <w:i w:val="false"/>
          <w:caps w:val="false"/>
          <w:smallCaps w:val="false"/>
          <w:sz w:val="20"/>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and all filings and notifications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w:t>
      </w:r>
      <w:r>
        <w:rPr>
          <w:caps w:val="false"/>
          <w:smallCaps w:val="false"/>
        </w:rPr>
        <w:t xml:space="preserve"> </w:t>
      </w:r>
      <w:r>
        <w:rPr>
          <w:rFonts w:ascii="Times New Roman PS Std;serif" w:hAnsi="Times New Roman PS Std;serif"/>
          <w:b w:val="false"/>
          <w:i w:val="false"/>
          <w:caps w:val="false"/>
          <w:smallCaps w:val="false"/>
          <w:sz w:val="20"/>
        </w:rPr>
        <w:t>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Parent Parties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xml:space="preserve">,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3.6         </w:t>
      </w:r>
      <w:r>
        <w:rPr>
          <w:rFonts w:ascii="Times New Roman PS Std;serif" w:hAnsi="Times New Roman PS Std;serif"/>
          <w:b w:val="false"/>
          <w:i w:val="false"/>
          <w:caps w:val="false"/>
          <w:smallCaps w:val="false"/>
          <w:sz w:val="20"/>
          <w:u w:val="single"/>
        </w:rPr>
        <w:t>Compliance With Law</w:t>
      </w:r>
      <w:r>
        <w:rPr>
          <w:rFonts w:ascii="Times New Roman PS Std;serif" w:hAnsi="Times New Roman PS Std;serif"/>
          <w:b w:val="false"/>
          <w:i w:val="false"/>
          <w:caps w:val="false"/>
          <w:smallCaps w:val="false"/>
          <w:sz w:val="20"/>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3.7         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PS Std;serif" w:hAnsi="Times New Roman PS Std;serif"/>
          <w:b w:val="false"/>
          <w:i w:val="false"/>
          <w:caps w:val="false"/>
          <w:smallCaps w:val="false"/>
          <w:sz w:val="20"/>
          <w:u w:val="single"/>
        </w:rPr>
        <w:t>Company SEC Documents</w:t>
      </w:r>
      <w:r>
        <w:rPr>
          <w:caps w:val="false"/>
          <w:smallCaps w:val="false"/>
        </w:rPr>
        <w:t>”</w:t>
      </w:r>
      <w:r>
        <w:rPr>
          <w:rFonts w:ascii="Times New Roman PS Std;serif" w:hAnsi="Times New Roman PS Std;serif"/>
          <w:b w:val="false"/>
          <w:i w:val="false"/>
          <w:caps w:val="false"/>
          <w:smallCaps w:val="false"/>
          <w:sz w:val="20"/>
        </w:rPr>
        <w:t>) or with the ISA under the Israeli Securities Laws since January 1, 2024 (the “</w:t>
      </w:r>
      <w:r>
        <w:rPr>
          <w:rFonts w:ascii="Times New Roman PS Std;serif" w:hAnsi="Times New Roman PS Std;serif"/>
          <w:b w:val="false"/>
          <w:i w:val="false"/>
          <w:caps w:val="false"/>
          <w:smallCaps w:val="false"/>
          <w:sz w:val="20"/>
          <w:u w:val="single"/>
        </w:rPr>
        <w:t>Company ISA Documents</w:t>
      </w:r>
      <w:r>
        <w:rPr>
          <w:caps w:val="false"/>
          <w:smallCaps w:val="false"/>
        </w:rPr>
        <w:t>”</w:t>
      </w:r>
      <w:r>
        <w:rPr>
          <w:rFonts w:ascii="Times New Roman PS Std;serif" w:hAnsi="Times New Roman PS Std;serif"/>
          <w:b w:val="false"/>
          <w:i w:val="false"/>
          <w:caps w:val="false"/>
          <w:smallCaps w:val="false"/>
          <w:sz w:val="20"/>
        </w:rPr>
        <w:t>). No Company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 PS Std;serif" w:hAnsi="Times New Roman PS Std;serif"/>
          <w:b w:val="false"/>
          <w:i w:val="false"/>
          <w:caps w:val="false"/>
          <w:smallCaps w:val="false"/>
          <w:sz w:val="20"/>
          <w:u w:val="single"/>
        </w:rPr>
        <w:t>Company 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3.8         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2025 through the date hereof, there has not been any Company Material Adverse Effect or any change, event or development, that had or would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Since January 1, 2026 through the date of the Original Agreement, there has not been any action taken by the Company or any Company Subsidiary that, if taken during the</w:t>
      </w:r>
      <w:r>
        <w:rPr>
          <w:caps w:val="false"/>
          <w:smallCaps w:val="false"/>
        </w:rPr>
        <w:t xml:space="preserve"> </w:t>
      </w:r>
      <w:r>
        <w:rPr>
          <w:rFonts w:ascii="Times New Roman PS Std;serif" w:hAnsi="Times New Roman PS Std;serif"/>
          <w:b w:val="false"/>
          <w:i w:val="false"/>
          <w:caps w:val="false"/>
          <w:smallCaps w:val="false"/>
          <w:sz w:val="20"/>
        </w:rPr>
        <w:t xml:space="preserve">period between the date hereof through the Second Effective Time, would constitute a breach of </w:t>
      </w:r>
      <w:r>
        <w:rPr>
          <w:rFonts w:ascii="Times New Roman PS Std;serif" w:hAnsi="Times New Roman PS Std;serif"/>
          <w:b w:val="false"/>
          <w:i w:val="false"/>
          <w:caps w:val="false"/>
          <w:smallCaps w:val="false"/>
          <w:sz w:val="20"/>
          <w:u w:val="single"/>
        </w:rPr>
        <w:t>Sections 5.1(a)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5.1(o)</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5.1(q)</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3.9         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w:t>
      </w:r>
      <w:r>
        <w:rPr>
          <w:rFonts w:ascii="Times New Roman PS Std;serif" w:hAnsi="Times New Roman PS Std;serif"/>
          <w:b w:val="false"/>
          <w:i w:val="false"/>
          <w:caps w:val="false"/>
          <w:smallCaps w:val="false"/>
          <w:sz w:val="20"/>
          <w:u w:val="single"/>
        </w:rPr>
        <w:t xml:space="preserve">Section 3.9(a) </w:t>
      </w:r>
      <w:r>
        <w:rPr>
          <w:rFonts w:ascii="Times New Roman PS Std;serif" w:hAnsi="Times New Roman PS Std;serif"/>
          <w:b w:val="false"/>
          <w:i w:val="false"/>
          <w:caps w:val="false"/>
          <w:smallCaps w:val="false"/>
          <w:sz w:val="20"/>
        </w:rPr>
        <w:t>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PS Std;serif" w:hAnsi="Times New Roman PS Std;serif"/>
          <w:b w:val="false"/>
          <w:i w:val="false"/>
          <w:caps w:val="false"/>
          <w:smallCaps w:val="false"/>
          <w:sz w:val="20"/>
          <w:u w:val="single"/>
        </w:rPr>
        <w:t>Non-U.S. Company Benefit Plan</w:t>
      </w:r>
      <w:r>
        <w:rPr>
          <w:caps w:val="false"/>
          <w:smallCaps w:val="false"/>
        </w:rPr>
        <w:t>”</w:t>
      </w:r>
      <w:r>
        <w:rPr>
          <w:rFonts w:ascii="Times New Roman PS Std;serif" w:hAnsi="Times New Roman PS Std;serif"/>
          <w:b w:val="false"/>
          <w:i w:val="false"/>
          <w:caps w:val="false"/>
          <w:smallCaps w:val="false"/>
          <w:sz w:val="20"/>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PS Std;serif" w:hAnsi="Times New Roman PS Std;serif"/>
          <w:b w:val="false"/>
          <w:i w:val="false"/>
          <w:caps w:val="false"/>
          <w:smallCaps w:val="false"/>
          <w:sz w:val="20"/>
          <w:u w:val="single"/>
        </w:rPr>
        <w:t>COBRA</w:t>
      </w:r>
      <w:r>
        <w:rPr>
          <w:caps w:val="false"/>
          <w:smallCaps w:val="false"/>
        </w:rPr>
        <w:t>”</w:t>
      </w:r>
      <w:r>
        <w:rPr>
          <w:rFonts w:ascii="Times New Roman PS Std;serif" w:hAnsi="Times New Roman PS Std;serif"/>
          <w:b w:val="false"/>
          <w:i w:val="false"/>
          <w:caps w:val="false"/>
          <w:smallCaps w:val="false"/>
          <w:sz w:val="20"/>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w:t>
      </w:r>
      <w:r>
        <w:rPr>
          <w:caps w:val="false"/>
          <w:smallCaps w:val="false"/>
        </w:rPr>
        <w:t xml:space="preserve"> </w:t>
      </w:r>
      <w:r>
        <w:rPr>
          <w:rFonts w:ascii="Times New Roman PS Std;serif" w:hAnsi="Times New Roman PS Std;serif"/>
          <w:b w:val="false"/>
          <w:i w:val="false"/>
          <w:caps w:val="false"/>
          <w:smallCaps w:val="false"/>
          <w:sz w:val="20"/>
        </w:rPr>
        <w:t>or (iv) result in the payment of any “excess parachute payments” within the meaning of Section 280G of the Code.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3.10       </w:t>
      </w:r>
      <w:r>
        <w:rPr>
          <w:rFonts w:ascii="Times New Roman PS Std;serif" w:hAnsi="Times New Roman PS Std;serif"/>
          <w:b w:val="false"/>
          <w:i w:val="false"/>
          <w:caps w:val="false"/>
          <w:smallCaps w:val="false"/>
          <w:sz w:val="20"/>
          <w:u w:val="single"/>
        </w:rPr>
        <w:t>Labor and Other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3.10(a)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3.10(b)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PS Std;serif" w:hAnsi="Times New Roman PS Std;serif"/>
          <w:b w:val="false"/>
          <w:i w:val="false"/>
          <w:caps w:val="false"/>
          <w:smallCaps w:val="false"/>
          <w:sz w:val="20"/>
          <w:u w:val="single"/>
        </w:rPr>
        <w:t>WARN Act</w:t>
      </w:r>
      <w:r>
        <w:rPr>
          <w:caps w:val="false"/>
          <w:smallCaps w:val="false"/>
        </w:rPr>
        <w:t>”</w:t>
      </w:r>
      <w:r>
        <w:rPr>
          <w:rFonts w:ascii="Times New Roman PS Std;serif" w:hAnsi="Times New Roman PS Std;serif"/>
          <w:b w:val="false"/>
          <w:i w:val="false"/>
          <w:caps w:val="false"/>
          <w:smallCaps w:val="false"/>
          <w:sz w:val="20"/>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the Company, no current employee with a position at the Vice President level or higher, intends to terminate his or her employment or retire prior to the one-year anniversary of the Closing.</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Solely with respect to employees of the Company or any Company Subsidiary who reside or work in Israel (“</w:t>
      </w:r>
      <w:r>
        <w:rPr>
          <w:rFonts w:ascii="Times New Roman PS Std;serif" w:hAnsi="Times New Roman PS Std;serif"/>
          <w:b w:val="false"/>
          <w:i w:val="false"/>
          <w:caps w:val="false"/>
          <w:smallCaps w:val="false"/>
          <w:sz w:val="20"/>
          <w:u w:val="single"/>
        </w:rPr>
        <w:t>Israeli Employees</w:t>
      </w:r>
      <w:r>
        <w:rPr>
          <w:caps w:val="false"/>
          <w:smallCaps w:val="false"/>
        </w:rPr>
        <w:t>”</w:t>
      </w:r>
      <w:r>
        <w:rPr>
          <w:rFonts w:ascii="Times New Roman PS Std;serif" w:hAnsi="Times New Roman PS Std;serif"/>
          <w:b w:val="false"/>
          <w:i w:val="false"/>
          <w:caps w:val="false"/>
          <w:smallCaps w:val="false"/>
          <w:sz w:val="20"/>
        </w:rPr>
        <w:t>): (i) neither the Company nor any Company Subsidiary has or is subject to, and no Israeli Employee of the Company or any Company Subsidiary benefits from, any extension order (</w:t>
      </w:r>
      <w:r>
        <w:rPr>
          <w:rFonts w:ascii="Times New Roman PS Std;serif" w:hAnsi="Times New Roman PS Std;serif"/>
          <w:b w:val="false"/>
          <w:i/>
          <w:sz w:val="20"/>
        </w:rPr>
        <w:t>tzavei harchava</w:t>
      </w:r>
      <w:r>
        <w:rPr>
          <w:rFonts w:ascii="Times New Roman PS Std;serif" w:hAnsi="Times New Roman PS Std;serif"/>
          <w:b w:val="false"/>
          <w:i w:val="false"/>
          <w:caps w:val="false"/>
          <w:smallCaps w:val="false"/>
          <w:sz w:val="20"/>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PS Std;serif" w:hAnsi="Times New Roman PS Std;serif"/>
          <w:b w:val="false"/>
          <w:i w:val="false"/>
          <w:caps w:val="false"/>
          <w:smallCaps w:val="false"/>
          <w:sz w:val="20"/>
          <w:u w:val="single"/>
        </w:rPr>
        <w:t>Section 14 Arrangement</w:t>
      </w:r>
      <w:r>
        <w:rPr>
          <w:caps w:val="false"/>
          <w:smallCaps w:val="false"/>
        </w:rPr>
        <w:t>”</w:t>
      </w:r>
      <w:r>
        <w:rPr>
          <w:rFonts w:ascii="Times New Roman PS Std;serif" w:hAnsi="Times New Roman PS Std;serif"/>
          <w:b w:val="false"/>
          <w:i w:val="false"/>
          <w:caps w:val="false"/>
          <w:smallCaps w:val="false"/>
          <w:sz w:val="20"/>
        </w:rPr>
        <w:t xml:space="preserve">)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3.11       </w:t>
      </w:r>
      <w:r>
        <w:rPr>
          <w:rFonts w:ascii="Times New Roman PS Std;serif" w:hAnsi="Times New Roman PS Std;serif"/>
          <w:b w:val="false"/>
          <w:i w:val="false"/>
          <w:caps w:val="false"/>
          <w:smallCaps w:val="false"/>
          <w:sz w:val="20"/>
          <w:u w:val="single"/>
        </w:rPr>
        <w:t>Contracts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pStyle w:val="TextBody"/>
        <w:keepNext w:val="true"/>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relating to indebtedness for borrowed money or any financial guaranty (including any guaranty by the Company or any Company Subsidiary of any obligations of any third party), in each case pertaining to indebtedness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Collective Bargaining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with any Person that is one of the top 20 customers of the Company and the Company Subsidiaries (as measured by total revenue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with any Person that is one of the top 20 vendors of the Company and the Company Subsidiaries (as measured by expenditures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lease or sublease with respect to the Company Leased Real Property that is material to the conduct of the Company’s and the Company Subsidiaries’ business as currently conducted;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settlement agreement or similar Contract restricting in any material respect the operations or conduct of the Company or any Company Subsidiary or any of their respective affiliates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(including any side letter) governing or amending, modifying, supplementing or otherwise relating to the 2026 Notes or the Secured Notes;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any Contract that contains any exclusivity rights or “most favored nations” provisions or minimum use, supply or display requirements that are binding on the Company or any Company Subsidiary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any Contract between the Company or any Company Subsidiary, on the one hand, and any Governmental Entity or prime contractor or subcontractor of a Governmental Entity, on the other hand;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any Contract that by its terms expressly obligates the Company or any Company Subsidiary to make any capital investment or capital expenditure outside the ordinary course of business and in excess of $250,000;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any other “material contract” (as such term is defined in Item 601(b)(10) of Regulation S-K of the SEC), other than a Company Benefit Plan.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Contract of the type described in this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is referred to herein as a “</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3.12       </w:t>
      </w:r>
      <w:r>
        <w:rPr>
          <w:rFonts w:ascii="Times New Roman PS Std;serif" w:hAnsi="Times New Roman PS Std;serif"/>
          <w:b w:val="false"/>
          <w:i w:val="false"/>
          <w:caps w:val="false"/>
          <w:smallCaps w:val="false"/>
          <w:sz w:val="20"/>
          <w:u w:val="single"/>
        </w:rPr>
        <w:t>Permits</w:t>
      </w:r>
      <w:r>
        <w:rPr>
          <w:rFonts w:ascii="Times New Roman PS Std;serif" w:hAnsi="Times New Roman PS Std;serif"/>
          <w:b w:val="false"/>
          <w:i w:val="false"/>
          <w:caps w:val="false"/>
          <w:smallCaps w:val="false"/>
          <w:sz w:val="20"/>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PS Std;serif" w:hAnsi="Times New Roman PS Std;serif"/>
          <w:b w:val="false"/>
          <w:i w:val="false"/>
          <w:caps w:val="false"/>
          <w:smallCaps w:val="false"/>
          <w:sz w:val="20"/>
          <w:u w:val="single"/>
        </w:rPr>
        <w:t>Company Permits</w:t>
      </w:r>
      <w:r>
        <w:rPr>
          <w:caps w:val="false"/>
          <w:smallCaps w:val="false"/>
        </w:rPr>
        <w:t>”</w:t>
      </w:r>
      <w:r>
        <w:rPr>
          <w:rFonts w:ascii="Times New Roman PS Std;serif" w:hAnsi="Times New Roman PS Std;serif"/>
          <w:b w:val="false"/>
          <w:i w:val="false"/>
          <w:caps w:val="false"/>
          <w:smallCaps w:val="false"/>
          <w:sz w:val="20"/>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3.13       </w:t>
      </w:r>
      <w:r>
        <w:rPr>
          <w:rFonts w:ascii="Times New Roman PS Std;serif" w:hAnsi="Times New Roman PS Std;serif"/>
          <w:b w:val="false"/>
          <w:i w:val="false"/>
          <w:caps w:val="false"/>
          <w:smallCaps w:val="false"/>
          <w:sz w:val="20"/>
          <w:u w:val="single"/>
        </w:rPr>
        <w:t>Litigation</w:t>
      </w:r>
      <w:r>
        <w:rPr>
          <w:rFonts w:ascii="Times New Roman PS Std;serif" w:hAnsi="Times New Roman PS Std;serif"/>
          <w:b w:val="false"/>
          <w:i w:val="false"/>
          <w:caps w:val="false"/>
          <w:smallCaps w:val="false"/>
          <w:sz w:val="20"/>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3.14       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xml:space="preserve">.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3.15       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3.15(a)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PS Std;serif" w:hAnsi="Times New Roman PS Std;serif"/>
          <w:b w:val="false"/>
          <w:i w:val="false"/>
          <w:caps w:val="false"/>
          <w:smallCaps w:val="false"/>
          <w:sz w:val="20"/>
          <w:u w:val="single"/>
        </w:rPr>
        <w:t>Company Registered Intellectual Property</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PS Std;serif" w:hAnsi="Times New Roman PS Std;serif"/>
          <w:b w:val="false"/>
          <w:i w:val="false"/>
          <w:caps w:val="false"/>
          <w:smallCaps w:val="false"/>
          <w:sz w:val="20"/>
          <w:u w:val="single"/>
        </w:rPr>
        <w:t>Company IT Assets</w:t>
      </w:r>
      <w:r>
        <w:rPr>
          <w:caps w:val="false"/>
          <w:smallCaps w:val="false"/>
        </w:rPr>
        <w:t>”</w:t>
      </w:r>
      <w:r>
        <w:rPr>
          <w:rFonts w:ascii="Times New Roman PS Std;serif" w:hAnsi="Times New Roman PS Std;serif"/>
          <w:b w:val="false"/>
          <w:i w:val="false"/>
          <w:caps w:val="false"/>
          <w:smallCaps w:val="false"/>
          <w:sz w:val="20"/>
        </w:rPr>
        <w:t>) operate and perform as required by the Company and the Company Subsidiaries for the conduct of their businesses as currently conducted, and have not malfunctioned or failed since January 1, 2023.</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          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3.16       </w:t>
      </w:r>
      <w:r>
        <w:rPr>
          <w:rFonts w:ascii="Times New Roman PS Std;serif" w:hAnsi="Times New Roman PS Std;serif"/>
          <w:b w:val="false"/>
          <w:i w:val="false"/>
          <w:caps w:val="false"/>
          <w:smallCaps w:val="false"/>
          <w:sz w:val="20"/>
          <w:u w:val="single"/>
        </w:rPr>
        <w:t>Data Privacy and Security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PS Std;serif" w:hAnsi="Times New Roman PS Std;serif"/>
          <w:b w:val="false"/>
          <w:i w:val="false"/>
          <w:caps w:val="false"/>
          <w:smallCaps w:val="false"/>
          <w:sz w:val="20"/>
          <w:u w:val="single"/>
        </w:rPr>
        <w:t>Data Partners</w:t>
      </w:r>
      <w:r>
        <w:rPr>
          <w:caps w:val="false"/>
          <w:smallCaps w:val="false"/>
        </w:rPr>
        <w:t>”</w:t>
      </w:r>
      <w:r>
        <w:rPr>
          <w:rFonts w:ascii="Times New Roman PS Std;serif" w:hAnsi="Times New Roman PS Std;serif"/>
          <w:b w:val="false"/>
          <w:i w:val="false"/>
          <w:caps w:val="false"/>
          <w:smallCaps w:val="false"/>
          <w:sz w:val="20"/>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PS Std;serif" w:hAnsi="Times New Roman PS Std;serif"/>
          <w:b w:val="false"/>
          <w:i w:val="false"/>
          <w:caps w:val="false"/>
          <w:smallCaps w:val="false"/>
          <w:sz w:val="20"/>
          <w:u w:val="single"/>
        </w:rPr>
        <w:t>Privacy Requirements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3.17       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Company Material Adverse Effect: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Taxes payable by the Company and the Company Subsidiaries (whether or not shown to be due and payable on any Tax Return) have been fully and timely paid to the appropriate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there are no disputes, audits, examinations, investigations or other Proceedings in progress, or to the Knowledge of the Company, pending or threatened, by any Governmental Entity with respect to any Taxes or Tax Returns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         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local or non-U.S. Tax Law), as a transferee or successor, by Contract (other than any customary commercial Contract not primarily related to Taxes and entered into the ordinary course of business), or otherwise by operation of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there are no Liens for Taxes upon any property or assets of the Company or the Company Subsidiaries, other than Permitted Liens;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neither the Company nor any Company Subsidiary has participated in any “listed transaction” within the meaning of Treasury Regulations Section 1.6011-4(b)(2) (or under a similar provision of state, local, or non-U.S. Tax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3.18       </w:t>
      </w:r>
      <w:r>
        <w:rPr>
          <w:rFonts w:ascii="Times New Roman PS Std;serif" w:hAnsi="Times New Roman PS Std;serif"/>
          <w:b w:val="false"/>
          <w:i w:val="false"/>
          <w:caps w:val="false"/>
          <w:smallCaps w:val="false"/>
          <w:sz w:val="20"/>
          <w:u w:val="single"/>
        </w:rPr>
        <w:t>Real Property; Title to Assets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Company nor any of the Company Subsidiaries owns, or has ever (or, in the case of each Company Subsidiary, for so long as such Person has been a Subsidiary of the Company) owned, any real property.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3.18(b)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(i) a true and complete list of all material real property leased, subleased or otherwise occupied by the Company or any of the Company Subsidiaries (collectively, the “</w:t>
      </w:r>
      <w:r>
        <w:rPr>
          <w:rFonts w:ascii="Times New Roman PS Std;serif" w:hAnsi="Times New Roman PS Std;serif"/>
          <w:b w:val="false"/>
          <w:i w:val="false"/>
          <w:caps w:val="false"/>
          <w:smallCaps w:val="false"/>
          <w:sz w:val="20"/>
          <w:u w:val="single"/>
        </w:rPr>
        <w:t>Company Leased Real Property</w:t>
      </w:r>
      <w:r>
        <w:rPr>
          <w:caps w:val="false"/>
          <w:smallCaps w:val="false"/>
        </w:rPr>
        <w:t>”</w:t>
      </w:r>
      <w:r>
        <w:rPr>
          <w:rFonts w:ascii="Times New Roman PS Std;serif" w:hAnsi="Times New Roman PS Std;serif"/>
          <w:b w:val="false"/>
          <w:i w:val="false"/>
          <w:caps w:val="false"/>
          <w:smallCaps w:val="false"/>
          <w:sz w:val="20"/>
        </w:rPr>
        <w:t>), (ii) the address for such Company Leased Real Property, and (iii) a description of the applicable lease, sublease or other agreement therefore and any and all amendments and modifications relating thereto (collectively, the “</w:t>
      </w:r>
      <w:r>
        <w:rPr>
          <w:rFonts w:ascii="Times New Roman PS Std;serif" w:hAnsi="Times New Roman PS Std;serif"/>
          <w:b w:val="false"/>
          <w:i w:val="false"/>
          <w:caps w:val="false"/>
          <w:smallCaps w:val="false"/>
          <w:sz w:val="20"/>
          <w:u w:val="single"/>
        </w:rPr>
        <w:t>Company Real Property Leases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3.19       </w:t>
      </w:r>
      <w:r>
        <w:rPr>
          <w:rFonts w:ascii="Times New Roman PS Std;serif" w:hAnsi="Times New Roman PS Std;serif"/>
          <w:b w:val="false"/>
          <w:i w:val="false"/>
          <w:caps w:val="false"/>
          <w:smallCaps w:val="false"/>
          <w:sz w:val="20"/>
          <w:u w:val="single"/>
        </w:rPr>
        <w:t>Anti-Corruption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each Company Subsidiary, and each Company Representative is and, since January 1, 2021, has been in compliance with the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established and maintain and enforce policies and procedures reasonably designed to promote and achieve compliance with the Anti-Corruption Laws applicable to the Company and the Company Subsidiaries.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3.20       </w:t>
      </w:r>
      <w:r>
        <w:rPr>
          <w:rFonts w:ascii="Times New Roman PS Std;serif" w:hAnsi="Times New Roman PS Std;serif"/>
          <w:b w:val="false"/>
          <w:i w:val="false"/>
          <w:caps w:val="false"/>
          <w:smallCaps w:val="false"/>
          <w:sz w:val="20"/>
          <w:u w:val="single"/>
        </w:rPr>
        <w:t>International Trade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since April 24, 2019, implemented and maintain policies and procedures to promote compliance with Sanctions and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3.21       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The Company Board has received the opinion (the “</w:t>
      </w:r>
      <w:r>
        <w:rPr>
          <w:rFonts w:ascii="Times New Roman PS Std;serif" w:hAnsi="Times New Roman PS Std;serif"/>
          <w:b w:val="false"/>
          <w:i w:val="false"/>
          <w:caps w:val="false"/>
          <w:smallCaps w:val="false"/>
          <w:sz w:val="20"/>
          <w:u w:val="single"/>
        </w:rPr>
        <w:t>Company Fairness Opinion</w:t>
      </w:r>
      <w:r>
        <w:rPr>
          <w:caps w:val="false"/>
          <w:smallCaps w:val="false"/>
        </w:rPr>
        <w:t>”</w:t>
      </w:r>
      <w:r>
        <w:rPr>
          <w:rFonts w:ascii="Times New Roman PS Std;serif" w:hAnsi="Times New Roman PS Std;serif"/>
          <w:b w:val="false"/>
          <w:i w:val="false"/>
          <w:caps w:val="false"/>
          <w:smallCaps w:val="false"/>
          <w:sz w:val="20"/>
        </w:rPr>
        <w:t>) of Houlihan Lokey Capital, Inc. (“</w:t>
      </w:r>
      <w:r>
        <w:rPr>
          <w:rFonts w:ascii="Times New Roman PS Std;serif" w:hAnsi="Times New Roman PS Std;serif"/>
          <w:b w:val="false"/>
          <w:i w:val="false"/>
          <w:caps w:val="false"/>
          <w:smallCaps w:val="false"/>
          <w:sz w:val="20"/>
          <w:u w:val="single"/>
        </w:rPr>
        <w:t>Houlihan Lokey</w:t>
      </w:r>
      <w:r>
        <w:rPr>
          <w:caps w:val="false"/>
          <w:smallCaps w:val="false"/>
        </w:rPr>
        <w:t>”</w:t>
      </w:r>
      <w:r>
        <w:rPr>
          <w:rFonts w:ascii="Times New Roman PS Std;serif" w:hAnsi="Times New Roman PS Std;serif"/>
          <w:b w:val="false"/>
          <w:i w:val="false"/>
          <w:caps w:val="false"/>
          <w:smallCaps w:val="false"/>
          <w:sz w:val="20"/>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3.22       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3.23       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PS Std;serif" w:hAnsi="Times New Roman PS Std;serif"/>
          <w:b w:val="false"/>
          <w:i w:val="false"/>
          <w:caps w:val="false"/>
          <w:smallCaps w:val="false"/>
          <w:sz w:val="20"/>
          <w:u w:val="single"/>
        </w:rPr>
        <w:t>Takeover Statutes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3.24       </w:t>
      </w:r>
      <w:r>
        <w:rPr>
          <w:rFonts w:ascii="Times New Roman PS Std;serif" w:hAnsi="Times New Roman PS Std;serif"/>
          <w:b w:val="false"/>
          <w:i w:val="false"/>
          <w:caps w:val="false"/>
          <w:smallCaps w:val="false"/>
          <w:sz w:val="20"/>
          <w:u w:val="single"/>
        </w:rPr>
        <w:t>Related Party Transactions</w:t>
      </w:r>
      <w:r>
        <w:rPr>
          <w:rFonts w:ascii="Times New Roman PS Std;serif" w:hAnsi="Times New Roman PS Std;serif"/>
          <w:b w:val="false"/>
          <w:i w:val="false"/>
          <w:caps w:val="false"/>
          <w:smallCaps w:val="false"/>
          <w:sz w:val="20"/>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PS Std;serif" w:hAnsi="Times New Roman PS Std;serif"/>
          <w:b w:val="false"/>
          <w:i w:val="false"/>
          <w:caps w:val="false"/>
          <w:smallCaps w:val="false"/>
          <w:sz w:val="20"/>
          <w:u w:val="single"/>
        </w:rPr>
        <w:t>Company Related Party</w:t>
      </w:r>
      <w:r>
        <w:rPr>
          <w:caps w:val="false"/>
          <w:smallCaps w:val="false"/>
        </w:rPr>
        <w:t>”</w:t>
      </w:r>
      <w:r>
        <w:rPr>
          <w:rFonts w:ascii="Times New Roman PS Std;serif" w:hAnsi="Times New Roman PS Std;serif"/>
          <w:b w:val="false"/>
          <w:i w:val="false"/>
          <w:caps w:val="false"/>
          <w:smallCaps w:val="false"/>
          <w:sz w:val="20"/>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3.25       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3.26       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3.27       </w:t>
      </w:r>
      <w:r>
        <w:rPr>
          <w:rFonts w:ascii="Times New Roman PS Std;serif" w:hAnsi="Times New Roman PS Std;serif"/>
          <w:b w:val="false"/>
          <w:i w:val="false"/>
          <w:caps w:val="false"/>
          <w:smallCaps w:val="false"/>
          <w:sz w:val="20"/>
          <w:u w:val="single"/>
        </w:rPr>
        <w:t>No Other Representations or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4</w:t>
        <w:br/>
      </w:r>
      <w:r>
        <w:rPr>
          <w:rFonts w:ascii="Times New Roman PS Std;serif" w:hAnsi="Times New Roman PS Std;serif"/>
          <w:b/>
          <w:i w:val="false"/>
          <w:caps/>
          <w:sz w:val="20"/>
        </w:rPr>
        <w:t>Representations and Warranties of Parent and MERGER SUBS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PS Std;serif" w:hAnsi="Times New Roman PS Std;serif"/>
          <w:b w:val="false"/>
          <w:i w:val="false"/>
          <w:caps w:val="false"/>
          <w:smallCaps w:val="false"/>
          <w:sz w:val="20"/>
          <w:u w:val="single"/>
        </w:rPr>
        <w:t>Sections 4.1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4.10</w:t>
      </w:r>
      <w:r>
        <w:rPr>
          <w:caps w:val="false"/>
          <w:smallCaps w:val="false"/>
        </w:rPr>
        <w:t xml:space="preserve"> </w:t>
      </w:r>
      <w:r>
        <w:rPr>
          <w:rFonts w:ascii="Times New Roman PS Std;serif" w:hAnsi="Times New Roman PS Std;serif"/>
          <w:b w:val="false"/>
          <w:i w:val="false"/>
          <w:caps w:val="false"/>
          <w:smallCaps w:val="false"/>
          <w:sz w:val="20"/>
        </w:rPr>
        <w:t>which each Parent Party hereby jointly and severally represents and warrants to the Company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4.2         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 xml:space="preserve">.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4.3         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contravene, conflict with or result in a violation or breach of any provision of any material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4.4         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Company in </w:t>
      </w:r>
      <w:r>
        <w:rPr>
          <w:rFonts w:ascii="Times New Roman PS Std;serif" w:hAnsi="Times New Roman PS Std;serif"/>
          <w:b w:val="false"/>
          <w:i w:val="false"/>
          <w:caps w:val="false"/>
          <w:smallCaps w:val="false"/>
          <w:sz w:val="20"/>
          <w:u w:val="single"/>
        </w:rPr>
        <w:t>Section 3.5</w:t>
      </w:r>
      <w:r>
        <w:rPr>
          <w:rFonts w:ascii="Times New Roman PS Std;serif" w:hAnsi="Times New Roman PS Std;serif"/>
          <w:b w:val="false"/>
          <w:i w:val="false"/>
          <w:caps w:val="false"/>
          <w:smallCaps w:val="false"/>
          <w:sz w:val="20"/>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4.5         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No Parent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Parent included in the Parent SEC Documents (including, in each case, any notes or schedules thereto) (the “</w:t>
      </w:r>
      <w:r>
        <w:rPr>
          <w:rFonts w:ascii="Times New Roman PS Std;serif" w:hAnsi="Times New Roman PS Std;serif"/>
          <w:b w:val="false"/>
          <w:i w:val="false"/>
          <w:caps w:val="false"/>
          <w:smallCaps w:val="false"/>
          <w:sz w:val="20"/>
          <w:u w:val="single"/>
        </w:rPr>
        <w:t>Parent</w:t>
      </w:r>
      <w:r>
        <w:rPr>
          <w:caps w:val="false"/>
          <w:smallCaps w:val="false"/>
          <w:u w:val="single"/>
        </w:rPr>
        <w:t xml:space="preserve"> </w:t>
      </w:r>
      <w:r>
        <w:rPr>
          <w:rFonts w:ascii="Times New Roman PS Std;serif" w:hAnsi="Times New Roman PS Std;serif"/>
          <w:b w:val="false"/>
          <w:i w:val="false"/>
          <w:caps w:val="false"/>
          <w:smallCaps w:val="false"/>
          <w:sz w:val="20"/>
          <w:u w:val="single"/>
        </w:rPr>
        <w:t>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4.6         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4.7         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4.8         </w:t>
      </w:r>
      <w:r>
        <w:rPr>
          <w:rFonts w:ascii="Times New Roman PS Std;serif" w:hAnsi="Times New Roman PS Std;serif"/>
          <w:b w:val="false"/>
          <w:i w:val="false"/>
          <w:caps w:val="false"/>
          <w:smallCaps w:val="false"/>
          <w:sz w:val="20"/>
          <w:u w:val="single"/>
        </w:rPr>
        <w:t>Ownership of Merger Subs</w:t>
      </w:r>
      <w:r>
        <w:rPr>
          <w:rFonts w:ascii="Times New Roman PS Std;serif" w:hAnsi="Times New Roman PS Std;serif"/>
          <w:b w:val="false"/>
          <w:i w:val="false"/>
          <w:caps w:val="false"/>
          <w:smallCaps w:val="false"/>
          <w:sz w:val="20"/>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4.9         </w:t>
      </w:r>
      <w:r>
        <w:rPr>
          <w:rFonts w:ascii="Times New Roman PS Std;serif" w:hAnsi="Times New Roman PS Std;serif"/>
          <w:b w:val="false"/>
          <w:i w:val="false"/>
          <w:caps w:val="false"/>
          <w:smallCaps w:val="false"/>
          <w:sz w:val="20"/>
          <w:u w:val="single"/>
        </w:rPr>
        <w:t>Valid Issuance</w:t>
      </w:r>
      <w:r>
        <w:rPr>
          <w:rFonts w:ascii="Times New Roman PS Std;serif" w:hAnsi="Times New Roman PS Std;serif"/>
          <w:b w:val="false"/>
          <w:i w:val="false"/>
          <w:caps w:val="false"/>
          <w:smallCaps w:val="false"/>
          <w:sz w:val="20"/>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4.10       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4.11       </w:t>
      </w:r>
      <w:r>
        <w:rPr>
          <w:rFonts w:ascii="Times New Roman PS Std;serif" w:hAnsi="Times New Roman PS Std;serif"/>
          <w:b w:val="false"/>
          <w:i w:val="false"/>
          <w:caps w:val="false"/>
          <w:smallCaps w:val="false"/>
          <w:sz w:val="20"/>
          <w:u w:val="single"/>
        </w:rPr>
        <w:t>No Other Representations and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5</w:t>
        <w:br/>
      </w:r>
      <w:r>
        <w:rPr>
          <w:rFonts w:ascii="Times New Roman PS Std;serif" w:hAnsi="Times New Roman PS Std;serif"/>
          <w:b/>
          <w:i w:val="false"/>
          <w:caps/>
          <w:sz w:val="20"/>
        </w:rPr>
        <w:t>Conduct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Conduct of Business by the Company Pending the Closing</w:t>
      </w:r>
      <w:r>
        <w:rPr>
          <w:rFonts w:ascii="Times New Roman PS Std;serif" w:hAnsi="Times New Roman PS Std;serif"/>
          <w:b w:val="false"/>
          <w:i w:val="false"/>
          <w:caps w:val="false"/>
          <w:smallCaps w:val="false"/>
          <w:sz w:val="20"/>
        </w:rPr>
        <w:t xml:space="preserve">. The Company agrees that, between the date of the Original Agreement and the earlier of the Second Effective Time and the valid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except (w)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PS Std;serif" w:hAnsi="Times New Roman PS Std;serif"/>
          <w:b w:val="false"/>
          <w:i w:val="false"/>
          <w:caps w:val="false"/>
          <w:smallCaps w:val="false"/>
          <w:sz w:val="20"/>
          <w:u w:val="single"/>
        </w:rPr>
        <w:t>Section 6.15(a)</w:t>
      </w:r>
      <w:r>
        <w:rPr>
          <w:rFonts w:ascii="Times New Roman PS Std;serif" w:hAnsi="Times New Roman PS Std;serif"/>
          <w:b w:val="false"/>
          <w:i w:val="false"/>
          <w:caps w:val="false"/>
          <w:smallCaps w:val="false"/>
          <w:sz w:val="20"/>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directly or indirectly, take any of the following actions: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PS Std;serif" w:hAnsi="Times New Roman PS Std;serif"/>
          <w:b w:val="false"/>
          <w:i w:val="false"/>
          <w:caps w:val="false"/>
          <w:smallCaps w:val="false"/>
          <w:sz w:val="20"/>
          <w:u w:val="single"/>
        </w:rPr>
        <w:t>Section 2.6(d)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PS Std;serif" w:hAnsi="Times New Roman PS Std;serif"/>
          <w:b w:val="false"/>
          <w:i w:val="false"/>
          <w:caps w:val="false"/>
          <w:smallCaps w:val="false"/>
          <w:sz w:val="20"/>
          <w:u w:val="single"/>
        </w:rPr>
        <w:t xml:space="preserve">Section 6.15 </w:t>
      </w:r>
      <w:r>
        <w:rPr>
          <w:rFonts w:ascii="Times New Roman PS Std;serif" w:hAnsi="Times New Roman PS Std;serif"/>
          <w:b w:val="false"/>
          <w:i w:val="false"/>
          <w:caps w:val="false"/>
          <w:smallCaps w:val="false"/>
          <w:sz w:val="20"/>
        </w:rPr>
        <w:t>or (B) payment of interest due and payable pursuant to the terms of the First Lien Notes;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(j)          (i) enter into any Contract that would, if entered into prior to the date of the Original Agreement, be a Company Material Contract, other than, solely with respect to Company Material Contracts under </w:t>
      </w:r>
      <w:r>
        <w:rPr>
          <w:rFonts w:ascii="Times New Roman PS Std;serif" w:hAnsi="Times New Roman PS Std;serif"/>
          <w:b w:val="false"/>
          <w:i w:val="false"/>
          <w:caps w:val="false"/>
          <w:smallCaps w:val="false"/>
          <w:sz w:val="20"/>
          <w:u w:val="single"/>
        </w:rPr>
        <w:t>Sections 3.11(a)(ii)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3.11(a)(xvii)</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3.11(a)(xx)</w:t>
      </w:r>
      <w:r>
        <w:rPr>
          <w:caps w:val="false"/>
          <w:smallCaps w:val="false"/>
        </w:rPr>
        <w:t xml:space="preserve"> </w:t>
      </w:r>
      <w:r>
        <w:rPr>
          <w:rFonts w:ascii="Times New Roman PS Std;serif" w:hAnsi="Times New Roman PS Std;serif"/>
          <w:b w:val="false"/>
          <w:i w:val="false"/>
          <w:caps w:val="false"/>
          <w:smallCaps w:val="false"/>
          <w:sz w:val="20"/>
        </w:rPr>
        <w:t xml:space="preserve">(in each case, so long as any such Contract would not also constitute a contract of the type described in </w:t>
      </w:r>
      <w:r>
        <w:rPr>
          <w:rFonts w:ascii="Times New Roman PS Std;serif" w:hAnsi="Times New Roman PS Std;serif"/>
          <w:b w:val="false"/>
          <w:i w:val="false"/>
          <w:caps w:val="false"/>
          <w:smallCaps w:val="false"/>
          <w:sz w:val="20"/>
          <w:u w:val="single"/>
        </w:rPr>
        <w:t>Section 3.11(a)(iv)</w:t>
      </w:r>
      <w:r>
        <w:rPr>
          <w:rFonts w:ascii="Times New Roman PS Std;serif" w:hAnsi="Times New Roman PS Std;serif"/>
          <w:b w:val="false"/>
          <w:i w:val="false"/>
          <w:caps w:val="false"/>
          <w:smallCaps w:val="false"/>
          <w:sz w:val="20"/>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         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implement or announce any “mass layoff” or “plant closing,” in each case as defined in an applicable WARN Act, or take any other action that would reasonably be expected to trigger an applicable WARN Act;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enter into, materially amend or terminate any transaction with any Company Related Party;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fail to use commercially reasonable efforts to maintain the Company’s insurance policies in the ordinary course of business consistent with past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(v)         (i)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(iv)</w:t>
      </w:r>
      <w:r>
        <w:rPr>
          <w:rFonts w:ascii="Times New Roman PS Std;serif" w:hAnsi="Times New Roman PS Std;serif"/>
          <w:b w:val="false"/>
          <w:i w:val="false"/>
          <w:caps w:val="false"/>
          <w:smallCaps w:val="false"/>
          <w:sz w:val="20"/>
        </w:rPr>
        <w:t>, 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convene any special meeting (or any adjournment or postponement thereof) of the Company’s stockholders;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terminate or modify or waive in any material respect any right under any material Company Permit;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         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         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agree, authorize or enter into any Contract to do any of the foregoing or otherwise make any commitment to do any of the foregoing.</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6</w:t>
        <w:br/>
      </w:r>
      <w:r>
        <w:rPr>
          <w:rFonts w:ascii="Times New Roman PS Std;serif" w:hAnsi="Times New Roman PS Std;serif"/>
          <w:b/>
          <w:i w:val="false"/>
          <w:caps/>
          <w:sz w:val="20"/>
        </w:rPr>
        <w:t>Additional Covenants of the Parties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Preparation of Proxy Statement/Prospectus and Registration Statement; Company Stockholder Meeting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PS Std;serif" w:hAnsi="Times New Roman PS Std;serif"/>
          <w:b w:val="false"/>
          <w:i w:val="false"/>
          <w:caps w:val="false"/>
          <w:smallCaps w:val="false"/>
          <w:sz w:val="20"/>
          <w:u w:val="single"/>
        </w:rPr>
        <w:t>Company Stockholders Meeting</w:t>
      </w:r>
      <w:r>
        <w:rPr>
          <w:caps w:val="false"/>
          <w:smallCaps w:val="false"/>
        </w:rPr>
        <w:t>”</w:t>
      </w:r>
      <w:r>
        <w:rPr>
          <w:rFonts w:ascii="Times New Roman PS Std;serif" w:hAnsi="Times New Roman PS Std;serif"/>
          <w:b w:val="false"/>
          <w:i w:val="false"/>
          <w:caps w:val="false"/>
          <w:smallCaps w:val="false"/>
          <w:sz w:val="20"/>
        </w:rPr>
        <w:t>, and such proxy statement/prospectus, and any amendments or supplements thereto, the “</w:t>
      </w:r>
      <w:r>
        <w:rPr>
          <w:rFonts w:ascii="Times New Roman PS Std;serif" w:hAnsi="Times New Roman PS Std;serif"/>
          <w:b w:val="false"/>
          <w:i w:val="false"/>
          <w:caps w:val="false"/>
          <w:smallCaps w:val="false"/>
          <w:sz w:val="20"/>
          <w:u w:val="single"/>
        </w:rPr>
        <w:t>Proxy Statement/Prospectus</w:t>
      </w:r>
      <w:r>
        <w:rPr>
          <w:caps w:val="false"/>
          <w:smallCaps w:val="false"/>
        </w:rPr>
        <w:t>”</w:t>
      </w:r>
      <w:r>
        <w:rPr>
          <w:rFonts w:ascii="Times New Roman PS Std;serif" w:hAnsi="Times New Roman PS Std;serif"/>
          <w:b w:val="false"/>
          <w:i w:val="false"/>
          <w:caps w:val="false"/>
          <w:smallCaps w:val="false"/>
          <w:sz w:val="20"/>
        </w:rPr>
        <w:t>) and the registration statement on Form S-4 (and any amendment or supplement thereto) pursuant to which shares of Parent Common Stock issuable in the First Merger shall be registered with the SEC (the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this right of approval shall not apply with respect to documents filed by a party which are incorporated by reference in the Proxy Statement/Prospectus or the Registration Statement.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and, to the extent required by the terms and conditions of this Agreement, the Company has paid or caused to be paid to Parent the Company Termination Fee in accordance with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xml:space="preserve">, its obligation to hold the Company Stockholders Meeting pursuant to this </w:t>
      </w:r>
      <w:r>
        <w:rPr>
          <w:rFonts w:ascii="Times New Roman PS Std;serif" w:hAnsi="Times New Roman PS Std;serif"/>
          <w:b w:val="false"/>
          <w:i w:val="false"/>
          <w:caps w:val="false"/>
          <w:smallCaps w:val="false"/>
          <w:sz w:val="20"/>
          <w:u w:val="single"/>
        </w:rPr>
        <w:t>Section 6.1(c)</w:t>
      </w:r>
      <w:r>
        <w:rPr>
          <w:caps w:val="false"/>
          <w:smallCaps w:val="false"/>
        </w:rPr>
        <w:t> </w:t>
      </w:r>
      <w:r>
        <w:rPr>
          <w:rFonts w:ascii="Times New Roman PS Std;serif" w:hAnsi="Times New Roman PS Std;serif"/>
          <w:b w:val="false"/>
          <w:i w:val="false"/>
          <w:caps w:val="false"/>
          <w:smallCaps w:val="false"/>
          <w:sz w:val="20"/>
        </w:rPr>
        <w:t xml:space="preserve">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 unless agreed to in writing by Parent, (x) any such adjournment or postponement shall be for a period of no more than thirty five (35) days and (y) the Company shall only be permitted to effect one (1) such adjournment or postponement pursuant to clause (B) provided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Access to Information;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the date hereof to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PS Std;serif" w:hAnsi="Times New Roman PS Std;serif"/>
          <w:b w:val="false"/>
          <w:i w:val="false"/>
          <w:caps w:val="false"/>
          <w:smallCaps w:val="false"/>
          <w:sz w:val="20"/>
          <w:u w:val="single"/>
        </w:rPr>
        <w:t>Sections 6.3)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Confidentiality Agreement, dated December 18, 2025, by and between Parent and the Company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and the Clean Team Agreement, dated March 19, 2026, by and between Parent and the Company (the “</w:t>
      </w:r>
      <w:r>
        <w:rPr>
          <w:rFonts w:ascii="Times New Roman PS Std;serif" w:hAnsi="Times New Roman PS Std;serif"/>
          <w:b w:val="false"/>
          <w:i w:val="false"/>
          <w:caps w:val="false"/>
          <w:smallCaps w:val="false"/>
          <w:sz w:val="20"/>
          <w:u w:val="single"/>
        </w:rPr>
        <w:t>Clean Team Agreement</w:t>
      </w:r>
      <w:r>
        <w:rPr>
          <w:caps w:val="false"/>
          <w:smallCaps w:val="false"/>
        </w:rPr>
        <w:t>”</w:t>
      </w:r>
      <w:r>
        <w:rPr>
          <w:rFonts w:ascii="Times New Roman PS Std;serif" w:hAnsi="Times New Roman PS Std;serif"/>
          <w:b w:val="false"/>
          <w:i w:val="false"/>
          <w:caps w:val="false"/>
          <w:smallCaps w:val="false"/>
          <w:sz w:val="20"/>
        </w:rPr>
        <w:t xml:space="preserve">) shall each apply with respect to information furnished under this </w:t>
      </w:r>
      <w:r>
        <w:rPr>
          <w:rFonts w:ascii="Times New Roman PS Std;serif" w:hAnsi="Times New Roman PS Std;serif"/>
          <w:b w:val="false"/>
          <w:i w:val="false"/>
          <w:caps w:val="false"/>
          <w:smallCaps w:val="false"/>
          <w:sz w:val="20"/>
          <w:u w:val="single"/>
        </w:rPr>
        <w:t>Section 6.2</w:t>
      </w:r>
      <w:r>
        <w:rPr>
          <w:caps w:val="false"/>
          <w:smallCaps w:val="false"/>
        </w:rPr>
        <w:t xml:space="preserve"> </w:t>
      </w:r>
      <w:r>
        <w:rPr>
          <w:rFonts w:ascii="Times New Roman PS Std;serif" w:hAnsi="Times New Roman PS Std;serif"/>
          <w:b w:val="false"/>
          <w:i w:val="false"/>
          <w:caps w:val="false"/>
          <w:smallCaps w:val="false"/>
          <w:sz w:val="20"/>
        </w:rPr>
        <w:t>and shall each survive any termination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6.3            </w:t>
      </w:r>
      <w:r>
        <w:rPr>
          <w:rFonts w:ascii="Times New Roman PS Std;serif" w:hAnsi="Times New Roman PS Std;serif"/>
          <w:b w:val="false"/>
          <w:i w:val="false"/>
          <w:caps w:val="false"/>
          <w:smallCaps w:val="false"/>
          <w:sz w:val="20"/>
          <w:u w:val="single"/>
        </w:rPr>
        <w:t>Company Non-Solicitation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Except as expressly provided in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from and after the date of the Original Agreement until the Second Effective Time or, if earlier,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PS Std;serif" w:hAnsi="Times New Roman PS Std;serif"/>
          <w:b w:val="false"/>
          <w:i w:val="false"/>
          <w:caps w:val="false"/>
          <w:smallCaps w:val="false"/>
          <w:sz w:val="20"/>
          <w:u w:val="single"/>
        </w:rPr>
        <w:t>Change of Company Board Recommendation</w:t>
      </w:r>
      <w:r>
        <w:rPr>
          <w:caps w:val="false"/>
          <w:smallCaps w:val="false"/>
        </w:rPr>
        <w:t>”</w:t>
      </w:r>
      <w:r>
        <w:rPr>
          <w:rFonts w:ascii="Times New Roman PS Std;serif" w:hAnsi="Times New Roman PS Std;serif"/>
          <w:b w:val="false"/>
          <w:i w:val="false"/>
          <w:caps w:val="false"/>
          <w:smallCaps w:val="false"/>
          <w:sz w:val="20"/>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Such notice provided by the Company to Parent pursuant to this </w:t>
      </w:r>
      <w:r>
        <w:rPr>
          <w:rFonts w:ascii="Times New Roman PS Std;serif" w:hAnsi="Times New Roman PS Std;serif"/>
          <w:b w:val="false"/>
          <w:i w:val="false"/>
          <w:caps w:val="false"/>
          <w:smallCaps w:val="false"/>
          <w:sz w:val="20"/>
          <w:u w:val="single"/>
        </w:rPr>
        <w:t>Section 6.3(c)</w:t>
      </w:r>
      <w:r>
        <w:rPr>
          <w:caps w:val="false"/>
          <w:smallCaps w:val="false"/>
        </w:rPr>
        <w:t xml:space="preserve"> </w:t>
      </w:r>
      <w:r>
        <w:rPr>
          <w:rFonts w:ascii="Times New Roman PS Std;serif" w:hAnsi="Times New Roman PS Std;serif"/>
          <w:b w:val="false"/>
          <w:i w:val="false"/>
          <w:caps w:val="false"/>
          <w:smallCaps w:val="false"/>
          <w:sz w:val="20"/>
        </w:rPr>
        <w:t>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PS Std;serif" w:hAnsi="Times New Roman PS Std;serif"/>
          <w:b w:val="false"/>
          <w:i w:val="false"/>
          <w:caps w:val="false"/>
          <w:smallCaps w:val="false"/>
          <w:sz w:val="20"/>
          <w:u w:val="single"/>
        </w:rPr>
        <w:t>Section 8.1</w:t>
      </w:r>
      <w:r>
        <w:rPr>
          <w:caps w:val="false"/>
          <w:smallCaps w:val="false"/>
        </w:rPr>
        <w:t xml:space="preserve"> </w:t>
      </w:r>
      <w:r>
        <w:rPr>
          <w:rFonts w:ascii="Times New Roman PS Std;serif" w:hAnsi="Times New Roman PS Std;serif"/>
          <w:b w:val="false"/>
          <w:i w:val="false"/>
          <w:caps w:val="false"/>
          <w:smallCaps w:val="false"/>
          <w:sz w:val="20"/>
        </w:rPr>
        <w:t>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6.3(e)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The Company shall not be entitled to effect a Change of Company Board Recommendation pursuant to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unless, in each case:</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the Company shall have provided to Parent at least five (5) Business Days’ prior written notice (the “</w:t>
      </w:r>
      <w:r>
        <w:rPr>
          <w:rFonts w:ascii="Times New Roman PS Std;serif" w:hAnsi="Times New Roman PS Std;serif"/>
          <w:b w:val="false"/>
          <w:i w:val="false"/>
          <w:caps w:val="false"/>
          <w:smallCaps w:val="false"/>
          <w:sz w:val="20"/>
          <w:u w:val="single"/>
        </w:rPr>
        <w:t>Company Notice Period</w:t>
      </w:r>
      <w:r>
        <w:rPr>
          <w:caps w:val="false"/>
          <w:smallCaps w:val="false"/>
        </w:rPr>
        <w:t>”</w:t>
      </w:r>
      <w:r>
        <w:rPr>
          <w:rFonts w:ascii="Times New Roman PS Std;serif" w:hAnsi="Times New Roman PS Std;serif"/>
          <w:b w:val="false"/>
          <w:i w:val="false"/>
          <w:caps w:val="false"/>
          <w:smallCaps w:val="false"/>
          <w:sz w:val="20"/>
        </w:rPr>
        <w:t xml:space="preserve">) of the Company’s intention to take such action, which notice shall include, (A) with respect to a Company Acquisition Proposal, the material terms and conditions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(iii)        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PS Std;serif" w:hAnsi="Times New Roman PS Std;serif"/>
          <w:b w:val="false"/>
          <w:i w:val="false"/>
          <w:caps w:val="false"/>
          <w:smallCaps w:val="false"/>
          <w:sz w:val="20"/>
          <w:u w:val="single"/>
        </w:rPr>
        <w:t xml:space="preserve">Section 6.3 </w:t>
      </w:r>
      <w:r>
        <w:rPr>
          <w:rFonts w:ascii="Times New Roman PS Std;serif" w:hAnsi="Times New Roman PS Std;serif"/>
          <w:b w:val="false"/>
          <w:i w:val="false"/>
          <w:caps w:val="false"/>
          <w:smallCaps w:val="false"/>
          <w:sz w:val="20"/>
        </w:rPr>
        <w:t>would be inconsistent with its fiduciary duties under applicable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PS Std;serif" w:hAnsi="Times New Roman PS Std;serif"/>
          <w:b w:val="false"/>
          <w:i w:val="false"/>
          <w:caps w:val="false"/>
          <w:smallCaps w:val="false"/>
          <w:sz w:val="20"/>
          <w:u w:val="single"/>
        </w:rPr>
        <w:t>Section 6.3(e)</w:t>
      </w:r>
      <w:r>
        <w:rPr>
          <w:caps w:val="false"/>
          <w:smallCaps w:val="false"/>
        </w:rPr>
        <w:t xml:space="preserve"> </w:t>
      </w:r>
      <w:r>
        <w:rPr>
          <w:rFonts w:ascii="Times New Roman PS Std;serif" w:hAnsi="Times New Roman PS Std;serif"/>
          <w:b w:val="false"/>
          <w:i w:val="false"/>
          <w:caps w:val="false"/>
          <w:smallCaps w:val="false"/>
          <w:sz w:val="20"/>
        </w:rPr>
        <w:t>with respect to such new written notice, except that the Company Notice Period shall be three (3) Business Days with respect to any such revised Company Superior Proposal, but no such new written notice shall shorten the original Company Notice Period.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Notwithstanding a Change of Company Board Recommendation or any other provision of this Agreement to the contrary, unless this Agreement has been validly terminated pursuant to and in accordance with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the Company shall cause the transactions contemplated by this Agreement, including the Mergers, to be submitted to a vote of the stockholders of the Company at the Company Stockholders Meeting in order to obtain the Required Company Vote.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Nothing contained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Any violation of the restrictions provided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by any Company Subsidiary or Company Representative, as applicable, shall be deemed to be a breach of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The Company agrees that it shall promptly inform the Company Representatives of the obligations undertaken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6.4         </w:t>
      </w:r>
      <w:r>
        <w:rPr>
          <w:rFonts w:ascii="Times New Roman PS Std;serif" w:hAnsi="Times New Roman PS Std;serif"/>
          <w:b w:val="false"/>
          <w:i w:val="false"/>
          <w:caps w:val="false"/>
          <w:smallCaps w:val="false"/>
          <w:sz w:val="20"/>
          <w:u w:val="single"/>
        </w:rPr>
        <w:t>Appropriate Action; Consents; Filings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Parent shall consider in good faith the views and comments of the Company and its outside counsel with respect to such communications and strategies.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PS Std;serif" w:hAnsi="Times New Roman PS Std;serif"/>
          <w:b w:val="false"/>
          <w:i w:val="false"/>
          <w:caps w:val="false"/>
          <w:smallCaps w:val="false"/>
          <w:sz w:val="20"/>
          <w:u w:val="single"/>
        </w:rPr>
        <w:t>Section 3.4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3.5</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PS Std;serif" w:hAnsi="Times New Roman PS Std;serif"/>
          <w:b w:val="false"/>
          <w:i w:val="false"/>
          <w:caps w:val="false"/>
          <w:smallCaps w:val="false"/>
          <w:sz w:val="20"/>
          <w:u w:val="single"/>
        </w:rPr>
        <w:t>Section 6.4(b)</w:t>
      </w:r>
      <w:r>
        <w:rPr>
          <w:rFonts w:ascii="Times New Roman PS Std;serif" w:hAnsi="Times New Roman PS Std;serif"/>
          <w:b w:val="false"/>
          <w:i w:val="false"/>
          <w:caps w:val="false"/>
          <w:smallCaps w:val="false"/>
          <w:sz w:val="20"/>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Without limiting the generality of anything contained in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and subject to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6.5         </w:t>
      </w:r>
      <w:r>
        <w:rPr>
          <w:rFonts w:ascii="Times New Roman PS Std;serif" w:hAnsi="Times New Roman PS Std;serif"/>
          <w:b w:val="false"/>
          <w:i w:val="false"/>
          <w:caps w:val="false"/>
          <w:smallCaps w:val="false"/>
          <w:sz w:val="20"/>
          <w:u w:val="single"/>
        </w:rPr>
        <w:t>Certain Notices</w:t>
      </w:r>
      <w:r>
        <w:rPr>
          <w:rFonts w:ascii="Times New Roman PS Std;serif" w:hAnsi="Times New Roman PS Std;serif"/>
          <w:b w:val="false"/>
          <w:i w:val="false"/>
          <w:caps w:val="false"/>
          <w:smallCaps w:val="false"/>
          <w:sz w:val="20"/>
        </w:rPr>
        <w:t xml:space="preserve">. From and after the date of the Original Agreement until the earlier of the Second Effective Time or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delivery of any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affect any representation, warranty, covenant or agreement contained in this Agreement and any failure to make such notice (in and of itself) shall not be taken into account in determining whether the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or give rise to any right of termination set forth in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6.6         </w:t>
      </w:r>
      <w:r>
        <w:rPr>
          <w:rFonts w:ascii="Times New Roman PS Std;serif" w:hAnsi="Times New Roman PS Std;serif"/>
          <w:b w:val="false"/>
          <w:i w:val="false"/>
          <w:caps w:val="false"/>
          <w:smallCaps w:val="false"/>
          <w:sz w:val="20"/>
          <w:u w:val="single"/>
        </w:rPr>
        <w:t>Stockholder Litigation</w:t>
      </w:r>
      <w:r>
        <w:rPr>
          <w:rFonts w:ascii="Times New Roman PS Std;serif" w:hAnsi="Times New Roman PS Std;serif"/>
          <w:b w:val="false"/>
          <w:i w:val="false"/>
          <w:caps w:val="false"/>
          <w:smallCaps w:val="false"/>
          <w:sz w:val="20"/>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PS Std;serif" w:hAnsi="Times New Roman PS Std;serif"/>
          <w:b w:val="false"/>
          <w:i w:val="false"/>
          <w:caps w:val="false"/>
          <w:smallCaps w:val="false"/>
          <w:sz w:val="20"/>
          <w:u w:val="single"/>
        </w:rPr>
        <w:t>Company Transaction Litigation</w:t>
      </w:r>
      <w:r>
        <w:rPr>
          <w:caps w:val="false"/>
          <w:smallCaps w:val="false"/>
        </w:rPr>
        <w:t>”</w:t>
      </w:r>
      <w:r>
        <w:rPr>
          <w:rFonts w:ascii="Times New Roman PS Std;serif" w:hAnsi="Times New Roman PS Std;serif"/>
          <w:b w:val="false"/>
          <w:i w:val="false"/>
          <w:caps w:val="false"/>
          <w:smallCaps w:val="false"/>
          <w:sz w:val="20"/>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xml:space="preserve">, “participate” means that Parent will be kept apprised of proposed strategy and other significant decisions with respect to any such Company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6.7         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6.8         </w:t>
      </w:r>
      <w:r>
        <w:rPr>
          <w:rFonts w:ascii="Times New Roman PS Std;serif" w:hAnsi="Times New Roman PS Std;serif"/>
          <w:b w:val="false"/>
          <w:i w:val="false"/>
          <w:caps w:val="false"/>
          <w:smallCaps w:val="false"/>
          <w:sz w:val="20"/>
          <w:u w:val="single"/>
        </w:rPr>
        <w:t>Employee Benefit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(taking into account such employee’s years of service as required pursuant to </w:t>
      </w:r>
      <w:r>
        <w:rPr>
          <w:rFonts w:ascii="Times New Roman PS Std;serif" w:hAnsi="Times New Roman PS Std;serif"/>
          <w:b w:val="false"/>
          <w:i w:val="false"/>
          <w:caps w:val="false"/>
          <w:smallCaps w:val="false"/>
          <w:sz w:val="20"/>
          <w:u w:val="single"/>
        </w:rPr>
        <w:t>Section 6.8(b)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PS Std;serif" w:hAnsi="Times New Roman PS Std;serif"/>
          <w:b w:val="false"/>
          <w:i w:val="false"/>
          <w:caps w:val="false"/>
          <w:smallCaps w:val="false"/>
          <w:sz w:val="20"/>
          <w:u w:val="single"/>
        </w:rPr>
        <w:t>New Plans</w:t>
      </w:r>
      <w:r>
        <w:rPr>
          <w:caps w:val="false"/>
          <w:smallCaps w:val="false"/>
        </w:rPr>
        <w:t>”</w:t>
      </w:r>
      <w:r>
        <w:rPr>
          <w:rFonts w:ascii="Times New Roman PS Std;serif" w:hAnsi="Times New Roman PS Std;serif"/>
          <w:b w:val="false"/>
          <w:i w:val="false"/>
          <w:caps w:val="false"/>
          <w:smallCaps w:val="false"/>
          <w:sz w:val="20"/>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PS Std;serif" w:hAnsi="Times New Roman PS Std;serif"/>
          <w:b w:val="false"/>
          <w:i w:val="false"/>
          <w:caps w:val="false"/>
          <w:smallCaps w:val="false"/>
          <w:sz w:val="20"/>
          <w:u w:val="single"/>
        </w:rPr>
        <w:t>Old Plans</w:t>
      </w:r>
      <w:r>
        <w:rPr>
          <w:caps w:val="false"/>
          <w:smallCaps w:val="false"/>
        </w:rPr>
        <w:t>”</w:t>
      </w:r>
      <w:r>
        <w:rPr>
          <w:rFonts w:ascii="Times New Roman PS Std;serif" w:hAnsi="Times New Roman PS Std;serif"/>
          <w:b w:val="false"/>
          <w:i w:val="false"/>
          <w:caps w:val="false"/>
          <w:smallCaps w:val="false"/>
          <w:sz w:val="20"/>
        </w:rPr>
        <w:t xml:space="preserve">),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PS Std;serif" w:hAnsi="Times New Roman PS Std;serif"/>
          <w:b w:val="false"/>
          <w:i w:val="false"/>
          <w:caps w:val="false"/>
          <w:smallCaps w:val="false"/>
          <w:sz w:val="20"/>
          <w:u w:val="single"/>
        </w:rPr>
        <w:t>Company 401(k) Plans</w:t>
      </w:r>
      <w:r>
        <w:rPr>
          <w:caps w:val="false"/>
          <w:smallCaps w:val="false"/>
        </w:rPr>
        <w:t>”</w:t>
      </w:r>
      <w:r>
        <w:rPr>
          <w:rFonts w:ascii="Times New Roman PS Std;serif" w:hAnsi="Times New Roman PS Std;serif"/>
          <w:b w:val="false"/>
          <w:i w:val="false"/>
          <w:caps w:val="false"/>
          <w:smallCaps w:val="false"/>
          <w:sz w:val="20"/>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PS Std;serif" w:hAnsi="Times New Roman PS Std;serif"/>
          <w:b w:val="false"/>
          <w:i w:val="false"/>
          <w:caps w:val="false"/>
          <w:smallCaps w:val="false"/>
          <w:sz w:val="20"/>
          <w:u w:val="single"/>
        </w:rPr>
        <w:t>Section 6.8(c)</w:t>
      </w:r>
      <w:r>
        <w:rPr>
          <w:caps w:val="false"/>
          <w:smallCaps w:val="false"/>
        </w:rPr>
        <w:t xml:space="preserve"> </w:t>
      </w:r>
      <w:r>
        <w:rPr>
          <w:rFonts w:ascii="Times New Roman PS Std;serif" w:hAnsi="Times New Roman PS Std;serif"/>
          <w:b w:val="false"/>
          <w:i w:val="false"/>
          <w:caps w:val="false"/>
          <w:smallCaps w:val="false"/>
          <w:sz w:val="20"/>
        </w:rPr>
        <w:t>(each such terminated Company 401(k) Plan, a “</w:t>
      </w:r>
      <w:r>
        <w:rPr>
          <w:rFonts w:ascii="Times New Roman PS Std;serif" w:hAnsi="Times New Roman PS Std;serif"/>
          <w:b w:val="false"/>
          <w:i w:val="false"/>
          <w:caps w:val="false"/>
          <w:smallCaps w:val="false"/>
          <w:sz w:val="20"/>
          <w:u w:val="single"/>
        </w:rPr>
        <w:t>Terminated Company 401(k) Plan</w:t>
      </w:r>
      <w:r>
        <w:rPr>
          <w:caps w:val="false"/>
          <w:smallCaps w:val="false"/>
        </w:rPr>
        <w:t>”</w:t>
      </w:r>
      <w:r>
        <w:rPr>
          <w:rFonts w:ascii="Times New Roman PS Std;serif" w:hAnsi="Times New Roman PS Std;serif"/>
          <w:b w:val="false"/>
          <w:i w:val="false"/>
          <w:caps w:val="false"/>
          <w:smallCaps w:val="false"/>
          <w:sz w:val="20"/>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w:t>
      </w:r>
      <w:r>
        <w:rPr>
          <w:caps w:val="false"/>
          <w:smallCaps w:val="false"/>
        </w:rPr>
        <w:t xml:space="preserve"> </w:t>
      </w:r>
      <w:r>
        <w:rPr>
          <w:rFonts w:ascii="Times New Roman PS Std;serif" w:hAnsi="Times New Roman PS Std;serif"/>
          <w:b w:val="false"/>
          <w:i w:val="false"/>
          <w:caps w:val="false"/>
          <w:smallCaps w:val="false"/>
          <w:sz w:val="20"/>
        </w:rPr>
        <w:t>under such Terminated Company 401(k) Plan, if elected by any such individuals.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(d)             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PS Std;serif" w:hAnsi="Times New Roman PS Std;serif"/>
          <w:b w:val="false"/>
          <w:i w:val="false"/>
          <w:caps w:val="false"/>
          <w:smallCaps w:val="false"/>
          <w:sz w:val="20"/>
          <w:u w:val="single"/>
        </w:rPr>
        <w:t xml:space="preserve">Section 6.8 </w:t>
      </w:r>
      <w:r>
        <w:rPr>
          <w:rFonts w:ascii="Times New Roman PS Std;serif" w:hAnsi="Times New Roman PS Std;serif"/>
          <w:b w:val="false"/>
          <w:i w:val="false"/>
          <w:caps w:val="false"/>
          <w:smallCaps w:val="false"/>
          <w:sz w:val="20"/>
        </w:rPr>
        <w:t xml:space="preserve">are solely for the benefit of the parties, and no Continuing Employee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6.8</w:t>
      </w:r>
      <w:r>
        <w:rPr>
          <w:caps w:val="false"/>
          <w:smallCaps w:val="false"/>
        </w:rPr>
        <w:t xml:space="preserve"> </w:t>
      </w:r>
      <w:r>
        <w:rPr>
          <w:rFonts w:ascii="Times New Roman PS Std;serif" w:hAnsi="Times New Roman PS Std;serif"/>
          <w:b w:val="false"/>
          <w:i w:val="false"/>
          <w:caps w:val="false"/>
          <w:smallCaps w:val="false"/>
          <w:sz w:val="20"/>
        </w:rPr>
        <w:t>shall create such rights in any such persons.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6.9         </w:t>
      </w:r>
      <w:r>
        <w:rPr>
          <w:rFonts w:ascii="Times New Roman PS Std;serif" w:hAnsi="Times New Roman PS Std;serif"/>
          <w:b w:val="false"/>
          <w:i w:val="false"/>
          <w:caps w:val="false"/>
          <w:smallCaps w:val="false"/>
          <w:sz w:val="20"/>
          <w:u w:val="single"/>
        </w:rPr>
        <w:t>Indemnification of Directors and Officers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PS Std;serif" w:hAnsi="Times New Roman PS Std;serif"/>
          <w:b w:val="false"/>
          <w:i w:val="false"/>
          <w:caps w:val="false"/>
          <w:smallCaps w:val="false"/>
          <w:sz w:val="20"/>
          <w:u w:val="single"/>
        </w:rPr>
        <w:t>Covered Persons</w:t>
      </w:r>
      <w:r>
        <w:rPr>
          <w:caps w:val="false"/>
          <w:smallCaps w:val="false"/>
        </w:rPr>
        <w:t>”</w:t>
      </w:r>
      <w:r>
        <w:rPr>
          <w:rFonts w:ascii="Times New Roman PS Std;serif" w:hAnsi="Times New Roman PS Std;serif"/>
          <w:b w:val="false"/>
          <w:i w:val="false"/>
          <w:caps w:val="false"/>
          <w:smallCaps w:val="false"/>
          <w:sz w:val="20"/>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 xml:space="preserve">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xml:space="preserve">. Notwithstanding anything herein to the contrary, if any Proceeding (whether arising before, at or after the First Effective Time) is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against such persons with respect to matters subject to indemnification hereunder on or prior to the sixth anniversary of the Second Effective Time, the provisions of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shall continue in effect until the final disposition of such Proceeding.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PS Std;serif" w:hAnsi="Times New Roman PS Std;serif"/>
          <w:b w:val="false"/>
          <w:i w:val="false"/>
          <w:caps w:val="false"/>
          <w:smallCaps w:val="false"/>
          <w:sz w:val="20"/>
          <w:u w:val="single"/>
        </w:rPr>
        <w:t>Section 6.9(b)</w:t>
      </w:r>
      <w:r>
        <w:rPr>
          <w:rFonts w:ascii="Times New Roman PS Std;serif" w:hAnsi="Times New Roman PS Std;serif"/>
          <w:b w:val="false"/>
          <w:i w:val="false"/>
          <w:caps w:val="false"/>
          <w:smallCaps w:val="false"/>
          <w:sz w:val="20"/>
        </w:rPr>
        <w:t>, unless such assumption occurs by operation of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the Surviving Corporation be required to expend pursuant to this </w:t>
      </w:r>
      <w:r>
        <w:rPr>
          <w:rFonts w:ascii="Times New Roman PS Std;serif" w:hAnsi="Times New Roman PS Std;serif"/>
          <w:b w:val="false"/>
          <w:i w:val="false"/>
          <w:caps w:val="false"/>
          <w:smallCaps w:val="false"/>
          <w:sz w:val="20"/>
          <w:u w:val="single"/>
        </w:rPr>
        <w:t>Section 6.9(c)</w:t>
      </w:r>
      <w:r>
        <w:rPr>
          <w:caps w:val="false"/>
          <w:smallCaps w:val="false"/>
        </w:rPr>
        <w:t xml:space="preserve"> </w:t>
      </w:r>
      <w:r>
        <w:rPr>
          <w:rFonts w:ascii="Times New Roman PS Std;serif" w:hAnsi="Times New Roman PS Std;serif"/>
          <w:b w:val="false"/>
          <w:i w:val="false"/>
          <w:caps w:val="false"/>
          <w:smallCaps w:val="false"/>
          <w:sz w:val="20"/>
        </w:rPr>
        <w:t>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Following the Second Effective Time, the obligations under this </w:t>
      </w:r>
      <w:r>
        <w:rPr>
          <w:rFonts w:ascii="Times New Roman PS Std;serif" w:hAnsi="Times New Roman PS Std;serif"/>
          <w:b w:val="false"/>
          <w:i w:val="false"/>
          <w:caps w:val="false"/>
          <w:smallCaps w:val="false"/>
          <w:sz w:val="20"/>
          <w:u w:val="single"/>
        </w:rPr>
        <w:t>Section 6.9</w:t>
      </w:r>
      <w:r>
        <w:rPr>
          <w:caps w:val="false"/>
          <w:smallCaps w:val="false"/>
        </w:rPr>
        <w:t xml:space="preserve"> </w:t>
      </w:r>
      <w:r>
        <w:rPr>
          <w:rFonts w:ascii="Times New Roman PS Std;serif" w:hAnsi="Times New Roman PS Std;serif"/>
          <w:b w:val="false"/>
          <w:i w:val="false"/>
          <w:caps w:val="false"/>
          <w:smallCaps w:val="false"/>
          <w:sz w:val="20"/>
        </w:rPr>
        <w:t xml:space="preserve">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PS Std;serif" w:hAnsi="Times New Roman PS Std;serif"/>
          <w:b w:val="false"/>
          <w:i w:val="false"/>
          <w:caps w:val="false"/>
          <w:smallCaps w:val="false"/>
          <w:sz w:val="20"/>
          <w:u w:val="single"/>
        </w:rPr>
        <w:t>Section 6.9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6.10          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6.11       </w:t>
      </w:r>
      <w:r>
        <w:rPr>
          <w:rFonts w:ascii="Times New Roman PS Std;serif" w:hAnsi="Times New Roman PS Std;serif"/>
          <w:b w:val="false"/>
          <w:i w:val="false"/>
          <w:caps w:val="false"/>
          <w:smallCaps w:val="false"/>
          <w:sz w:val="20"/>
          <w:u w:val="single"/>
        </w:rPr>
        <w:t>Listing Matters</w:t>
      </w:r>
      <w:r>
        <w:rPr>
          <w:rFonts w:ascii="Times New Roman PS Std;serif" w:hAnsi="Times New Roman PS Std;serif"/>
          <w:b w:val="false"/>
          <w:i w:val="false"/>
          <w:caps w:val="false"/>
          <w:smallCaps w:val="false"/>
          <w:sz w:val="20"/>
        </w:rPr>
        <w:t xml:space="preserve">. The Company and Parent shall cause the Company’s securities to be de-listed from the Nasdaq and de-registered under the Exchange Act as promptly as practicable following the Second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that</w:t>
      </w:r>
      <w:r>
        <w:rPr>
          <w:caps w:val="false"/>
          <w:smallCaps w:val="false"/>
        </w:rPr>
        <w:t xml:space="preserve"> </w:t>
      </w:r>
      <w:r>
        <w:rPr>
          <w:rFonts w:ascii="Times New Roman PS Std;serif" w:hAnsi="Times New Roman PS Std;serif"/>
          <w:b w:val="false"/>
          <w:i w:val="false"/>
          <w:caps w:val="false"/>
          <w:smallCaps w:val="false"/>
          <w:sz w:val="20"/>
        </w:rPr>
        <w:t xml:space="preserve">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6.12       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6.13       </w:t>
      </w:r>
      <w:r>
        <w:rPr>
          <w:rFonts w:ascii="Times New Roman PS Std;serif" w:hAnsi="Times New Roman PS Std;serif"/>
          <w:b w:val="false"/>
          <w:i w:val="false"/>
          <w:caps w:val="false"/>
          <w:smallCaps w:val="false"/>
          <w:sz w:val="20"/>
          <w:u w:val="single"/>
        </w:rPr>
        <w:t>Tax Benefits Preservation Plan</w:t>
      </w:r>
      <w:r>
        <w:rPr>
          <w:rFonts w:ascii="Times New Roman PS Std;serif" w:hAnsi="Times New Roman PS Std;serif"/>
          <w:b w:val="false"/>
          <w:i w:val="false"/>
          <w:caps w:val="false"/>
          <w:smallCaps w:val="false"/>
          <w:sz w:val="20"/>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6.14       </w:t>
      </w:r>
      <w:r>
        <w:rPr>
          <w:rFonts w:ascii="Times New Roman PS Std;serif" w:hAnsi="Times New Roman PS Std;serif"/>
          <w:b w:val="false"/>
          <w:i w:val="false"/>
          <w:caps w:val="false"/>
          <w:smallCaps w:val="false"/>
          <w:sz w:val="20"/>
          <w:u w:val="single"/>
        </w:rPr>
        <w:t>Cooperation as to Integration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and after the date hereof until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(subject to the limitations contained therein), in connection with planning for the integration of the business operations, systems, processes and personnel of Parent and the Company (collectively, “</w:t>
      </w:r>
      <w:r>
        <w:rPr>
          <w:rFonts w:ascii="Times New Roman PS Std;serif" w:hAnsi="Times New Roman PS Std;serif"/>
          <w:b w:val="false"/>
          <w:i w:val="false"/>
          <w:caps w:val="false"/>
          <w:smallCaps w:val="false"/>
          <w:sz w:val="20"/>
          <w:u w:val="single"/>
        </w:rPr>
        <w:t>Integration Planning Activities</w:t>
      </w:r>
      <w:r>
        <w:rPr>
          <w:caps w:val="false"/>
          <w:smallCaps w:val="false"/>
        </w:rPr>
        <w:t>”</w:t>
      </w:r>
      <w:r>
        <w:rPr>
          <w:rFonts w:ascii="Times New Roman PS Std;serif" w:hAnsi="Times New Roman PS Std;serif"/>
          <w:b w:val="false"/>
          <w:i w:val="false"/>
          <w:caps w:val="false"/>
          <w:smallCaps w:val="false"/>
          <w:sz w:val="20"/>
        </w:rPr>
        <w:t xml:space="preserve">), in each case,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In furtherance of the Integration Planning Activities contemplated by </w:t>
      </w:r>
      <w:r>
        <w:rPr>
          <w:rFonts w:ascii="Times New Roman PS Std;serif" w:hAnsi="Times New Roman PS Std;serif"/>
          <w:b w:val="false"/>
          <w:i w:val="false"/>
          <w:caps w:val="false"/>
          <w:smallCaps w:val="false"/>
          <w:sz w:val="20"/>
          <w:u w:val="single"/>
        </w:rPr>
        <w:t>Section 6.14(a)</w:t>
      </w:r>
      <w:r>
        <w:rPr>
          <w:rFonts w:ascii="Times New Roman PS Std;serif" w:hAnsi="Times New Roman PS Std;serif"/>
          <w:b w:val="false"/>
          <w:i w:val="false"/>
          <w:caps w:val="false"/>
          <w:smallCaps w:val="false"/>
          <w:sz w:val="20"/>
        </w:rPr>
        <w:t xml:space="preserve">, and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PS Std;serif" w:hAnsi="Times New Roman PS Std;serif"/>
          <w:b w:val="false"/>
          <w:i w:val="false"/>
          <w:caps w:val="false"/>
          <w:smallCaps w:val="false"/>
          <w:sz w:val="20"/>
          <w:u w:val="single"/>
        </w:rPr>
        <w:t>Section 6.14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PS Std;serif" w:hAnsi="Times New Roman PS Std;serif"/>
          <w:b w:val="false"/>
          <w:i w:val="false"/>
          <w:caps w:val="false"/>
          <w:smallCaps w:val="false"/>
          <w:sz w:val="20"/>
          <w:u w:val="single"/>
        </w:rPr>
        <w:t>Section 6.14(c)</w:t>
      </w:r>
      <w:r>
        <w:rPr>
          <w:caps w:val="false"/>
          <w:smallCaps w:val="false"/>
        </w:rPr>
        <w:t xml:space="preserve"> </w:t>
      </w:r>
      <w:r>
        <w:rPr>
          <w:rFonts w:ascii="Times New Roman PS Std;serif" w:hAnsi="Times New Roman PS Std;serif"/>
          <w:b w:val="false"/>
          <w:i w:val="false"/>
          <w:caps w:val="false"/>
          <w:smallCaps w:val="false"/>
          <w:sz w:val="20"/>
        </w:rPr>
        <w:t>unless the Company or such Company Subsidiary shall have received Parent’s prior written consent to engage such third party service provider prior to the commencement of any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PS Std;serif" w:hAnsi="Times New Roman PS Std;serif"/>
          <w:b w:val="false"/>
          <w:i w:val="false"/>
          <w:caps w:val="false"/>
          <w:smallCaps w:val="false"/>
          <w:sz w:val="20"/>
          <w:u w:val="single"/>
        </w:rPr>
        <w:t>Section 6.14</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to, directly or indirectly, control or direct the operations of the Company or any Company Subsidiary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6.15       </w:t>
      </w:r>
      <w:r>
        <w:rPr>
          <w:rFonts w:ascii="Times New Roman PS Std;serif" w:hAnsi="Times New Roman PS Std;serif"/>
          <w:b w:val="false"/>
          <w:i w:val="false"/>
          <w:caps w:val="false"/>
          <w:smallCaps w:val="false"/>
          <w:sz w:val="20"/>
          <w:u w:val="single"/>
        </w:rPr>
        <w:t>Repayment of 2026 Notes; Note Restructuring Transactions</w:t>
      </w:r>
      <w:r>
        <w:rPr>
          <w:rFonts w:ascii="Times New Roman PS Std;serif" w:hAnsi="Times New Roman PS Std;serif"/>
          <w:b w:val="false"/>
          <w:i w:val="false"/>
          <w:caps w:val="false"/>
          <w:smallCaps w:val="false"/>
          <w:sz w:val="20"/>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6.16       </w:t>
      </w:r>
      <w:r>
        <w:rPr>
          <w:rFonts w:ascii="Times New Roman PS Std;serif" w:hAnsi="Times New Roman PS Std;serif"/>
          <w:b w:val="false"/>
          <w:i w:val="false"/>
          <w:caps w:val="false"/>
          <w:smallCaps w:val="false"/>
          <w:sz w:val="20"/>
          <w:u w:val="single"/>
        </w:rPr>
        <w:t>Director Resignations</w:t>
      </w:r>
      <w:r>
        <w:rPr>
          <w:rFonts w:ascii="Times New Roman PS Std;serif" w:hAnsi="Times New Roman PS Std;serif"/>
          <w:b w:val="false"/>
          <w:i w:val="false"/>
          <w:caps w:val="false"/>
          <w:smallCaps w:val="false"/>
          <w:sz w:val="20"/>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7</w:t>
      </w:r>
      <w:r>
        <w:rPr>
          <w:rFonts w:ascii="Times New Roman PS Std;serif" w:hAnsi="Times New Roman PS Std;serif"/>
          <w:b/>
          <w:i w:val="false"/>
          <w:caps/>
          <w:sz w:val="20"/>
        </w:rPr>
        <w:br/>
        <w:t>Conditions to Consummation of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Conditions to Obligations of Each Party Under This Agreement</w:t>
      </w:r>
      <w:r>
        <w:rPr>
          <w:rFonts w:ascii="Times New Roman PS Std;serif" w:hAnsi="Times New Roman PS Std;serif"/>
          <w:b w:val="false"/>
          <w:i w:val="false"/>
          <w:caps w:val="false"/>
          <w:smallCaps w:val="false"/>
          <w:sz w:val="20"/>
        </w:rPr>
        <w:t>. The respective obligations of each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Stockholder Approval</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The Company shall have obtained the Required Company Vote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No Injunctions or Restraints</w:t>
      </w:r>
      <w:r>
        <w:rPr>
          <w:rFonts w:ascii="Times New Roman PS Std;serif" w:hAnsi="Times New Roman PS Std;serif"/>
          <w:b w:val="false"/>
          <w:i w:val="false"/>
          <w:caps w:val="false"/>
          <w:smallCaps w:val="false"/>
          <w:sz w:val="20"/>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PS Std;serif" w:hAnsi="Times New Roman PS Std;serif"/>
          <w:b w:val="false"/>
          <w:i w:val="false"/>
          <w:caps w:val="false"/>
          <w:smallCaps w:val="false"/>
          <w:sz w:val="20"/>
          <w:u w:val="single"/>
        </w:rPr>
        <w:t>Legal Impediment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Regulatory Law</w:t>
      </w:r>
      <w:r>
        <w:rPr>
          <w:rFonts w:ascii="Times New Roman PS Std;serif" w:hAnsi="Times New Roman PS Std;serif"/>
          <w:b w:val="false"/>
          <w:i w:val="false"/>
          <w:caps w:val="false"/>
          <w:smallCaps w:val="false"/>
          <w:sz w:val="20"/>
        </w:rPr>
        <w:t xml:space="preserve">: Any required consents, authorizations, approvals, orders, filings and declarations required to be obtained prior to the consummation of the Mergers pursuant to a Regulatory Law in any jurisdiction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shall have been filed, occurred or been obtained (or any applicable waiting period thereunder shall have expired or been terminated), as applicable;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Exchange Listing</w:t>
      </w:r>
      <w:r>
        <w:rPr>
          <w:rFonts w:ascii="Times New Roman PS Std;serif" w:hAnsi="Times New Roman PS Std;serif"/>
          <w:b w:val="false"/>
          <w:i w:val="false"/>
          <w:caps w:val="false"/>
          <w:smallCaps w:val="false"/>
          <w:sz w:val="20"/>
        </w:rPr>
        <w:t>: The shares of Parent Common Stock to be issued in the Mergers shall have been authorized and approved for listing on the Nasdaq, subject to official notice of issuance;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Registration Statement shall have been declared effective by the SEC under the Securities Act and shall not be the subject of any stop order.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Additional Conditions to Obligations of Parent and the Merger Subs</w:t>
      </w:r>
      <w:r>
        <w:rPr>
          <w:rFonts w:ascii="Times New Roman PS Std;serif" w:hAnsi="Times New Roman PS Std;serif"/>
          <w:b w:val="false"/>
          <w:i w:val="false"/>
          <w:caps w:val="false"/>
          <w:smallCaps w:val="false"/>
          <w:sz w:val="20"/>
        </w:rPr>
        <w:t>. The respective obligations of each Parent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Company</w:t>
      </w:r>
      <w:r>
        <w:rPr>
          <w:rFonts w:ascii="Times New Roman PS Std;serif" w:hAnsi="Times New Roman PS Std;serif"/>
          <w:b w:val="false"/>
          <w:i w:val="false"/>
          <w:caps w:val="false"/>
          <w:smallCaps w:val="false"/>
          <w:sz w:val="20"/>
        </w:rPr>
        <w:t xml:space="preserve">: (i) The representations and warranties of the Company contained in </w:t>
      </w:r>
      <w:r>
        <w:rPr>
          <w:rFonts w:ascii="Times New Roman PS Std;serif" w:hAnsi="Times New Roman PS Std;serif"/>
          <w:b w:val="false"/>
          <w:i w:val="false"/>
          <w:caps w:val="false"/>
          <w:smallCaps w:val="false"/>
          <w:sz w:val="20"/>
          <w:u w:val="single"/>
        </w:rPr>
        <w:t>Section 3.2</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this Agreement and as of the Closing Date with the same force and effect as if made on and as of such date (or, in the case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of such representations and warranties that address matters only as of a particular date or time, as of such date or time), except for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 the representations and warranties of the Company contained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rFonts w:ascii="Times New Roman PS Std;serif" w:hAnsi="Times New Roman PS Std;serif"/>
          <w:b w:val="false"/>
          <w:i w:val="false"/>
          <w:caps w:val="false"/>
          <w:smallCaps w:val="false"/>
          <w:sz w:val="20"/>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PS Std;serif" w:hAnsi="Times New Roman PS Std;serif"/>
          <w:b w:val="false"/>
          <w:i w:val="false"/>
          <w:caps w:val="false"/>
          <w:smallCaps w:val="false"/>
          <w:sz w:val="20"/>
          <w:u w:val="single"/>
        </w:rPr>
        <w:t>Section 3.8(b)</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Company</w:t>
      </w:r>
      <w:r>
        <w:rPr>
          <w:rFonts w:ascii="Times New Roman PS Std;serif" w:hAnsi="Times New Roman PS Std;serif"/>
          <w:b w:val="false"/>
          <w:i w:val="false"/>
          <w:caps w:val="false"/>
          <w:smallCaps w:val="false"/>
          <w:sz w:val="20"/>
        </w:rPr>
        <w:t>: The Company shall have performed or complied in all material respects with all covenants and agreements to be performed or complied with by it under this Agreement at or prior to the Closing;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Material Adverse Effect</w:t>
      </w:r>
      <w:r>
        <w:rPr>
          <w:rFonts w:ascii="Times New Roman PS Std;serif" w:hAnsi="Times New Roman PS Std;serif"/>
          <w:b w:val="false"/>
          <w:i w:val="false"/>
          <w:caps w:val="false"/>
          <w:smallCaps w:val="false"/>
          <w:sz w:val="20"/>
        </w:rPr>
        <w:t>: Since the date of the Original Agreement, no Company Material Adverse Effect shall have occurred;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Company shall have delivered to Parent a certificate, dated as of the Closing Date and signed by an executive officer of the Company, certifying that the conditions provided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FIRPTA Certificate</w:t>
      </w:r>
      <w:r>
        <w:rPr>
          <w:rFonts w:ascii="Times New Roman PS Std;serif" w:hAnsi="Times New Roman PS Std;serif"/>
          <w:b w:val="false"/>
          <w:i w:val="false"/>
          <w:caps w:val="false"/>
          <w:smallCaps w:val="false"/>
          <w:sz w:val="20"/>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 The Notes Restructuring Transactions shall have been consummated in accordance with the Notes Restructuring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7.3         </w:t>
      </w:r>
      <w:r>
        <w:rPr>
          <w:rFonts w:ascii="Times New Roman PS Std;serif" w:hAnsi="Times New Roman PS Std;serif"/>
          <w:b w:val="false"/>
          <w:i w:val="false"/>
          <w:caps w:val="false"/>
          <w:smallCaps w:val="false"/>
          <w:sz w:val="20"/>
          <w:u w:val="single"/>
        </w:rPr>
        <w:t>Additional Conditions to Obligations of the Company</w:t>
      </w:r>
      <w:r>
        <w:rPr>
          <w:rFonts w:ascii="Times New Roman PS Std;serif" w:hAnsi="Times New Roman PS Std;serif"/>
          <w:b w:val="false"/>
          <w:i w:val="false"/>
          <w:caps w:val="false"/>
          <w:smallCaps w:val="false"/>
          <w:sz w:val="20"/>
        </w:rPr>
        <w:t>. The obligations of the Company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Parent Parties</w:t>
      </w:r>
      <w:r>
        <w:rPr>
          <w:rFonts w:ascii="Times New Roman PS Std;serif" w:hAnsi="Times New Roman PS Std;serif"/>
          <w:b w:val="false"/>
          <w:i w:val="false"/>
          <w:caps w:val="false"/>
          <w:smallCaps w:val="false"/>
          <w:sz w:val="20"/>
        </w:rPr>
        <w:t xml:space="preserve">: (i) Any representation or warranty of the Parent Parties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4.10</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PS Std;serif" w:hAnsi="Times New Roman PS Std;serif"/>
          <w:b w:val="false"/>
          <w:i w:val="false"/>
          <w:caps w:val="false"/>
          <w:smallCaps w:val="false"/>
          <w:sz w:val="20"/>
          <w:u w:val="single"/>
        </w:rPr>
        <w:t>Article 4</w:t>
      </w:r>
      <w:r>
        <w:rPr>
          <w:caps w:val="false"/>
          <w:smallCaps w:val="false"/>
        </w:rPr>
        <w:t xml:space="preserve"> </w:t>
      </w:r>
      <w:r>
        <w:rPr>
          <w:rFonts w:ascii="Times New Roman PS Std;serif" w:hAnsi="Times New Roman PS Std;serif"/>
          <w:b w:val="false"/>
          <w:i w:val="false"/>
          <w:caps w:val="false"/>
          <w:smallCaps w:val="false"/>
          <w:sz w:val="20"/>
        </w:rPr>
        <w:t xml:space="preserve">(except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Parent Parties</w:t>
      </w:r>
      <w:r>
        <w:rPr>
          <w:rFonts w:ascii="Times New Roman PS Std;serif" w:hAnsi="Times New Roman PS Std;serif"/>
          <w:b w:val="false"/>
          <w:i w:val="false"/>
          <w:caps w:val="false"/>
          <w:smallCaps w:val="false"/>
          <w:sz w:val="20"/>
        </w:rPr>
        <w:t>: The Parent Parties shall have performed or complied in all material respects with all covenants and agreements to be performed or complied with by them under this Agreement at or prior to the Closing;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Parent shall have delivered to the Company a certificate, dated as of the Closing Date and signed by an executive officer of Parent, certifying that the conditions provided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8</w:t>
      </w:r>
      <w:r>
        <w:rPr>
          <w:rFonts w:ascii="Times New Roman PS Std;serif" w:hAnsi="Times New Roman PS Std;serif"/>
          <w:b/>
          <w:i w:val="false"/>
          <w:caps/>
          <w:sz w:val="20"/>
        </w:rPr>
        <w:br/>
        <w:t>Termination, Amendment and Waiver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may be terminated prior to the First Effective Time, and the Mergers and the other transactions contemplated hereby may be abandoned: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Mutual Consent</w:t>
      </w:r>
      <w:r>
        <w:rPr>
          <w:rFonts w:ascii="Times New Roman PS Std;serif" w:hAnsi="Times New Roman PS Std;serif"/>
          <w:b w:val="false"/>
          <w:i w:val="false"/>
          <w:caps w:val="false"/>
          <w:smallCaps w:val="false"/>
          <w:sz w:val="20"/>
        </w:rPr>
        <w:t>: By mutual written consent of Parent and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 By either the Company or Parent if the First Effective Time shall not have occurred on or before October 21, 2026 (the “</w:t>
      </w:r>
      <w:r>
        <w:rPr>
          <w:rFonts w:ascii="Times New Roman PS Std;serif" w:hAnsi="Times New Roman PS Std;serif"/>
          <w:b w:val="false"/>
          <w:i w:val="false"/>
          <w:caps w:val="false"/>
          <w:smallCaps w:val="false"/>
          <w:sz w:val="20"/>
          <w:u w:val="single"/>
        </w:rPr>
        <w:t>Initial Outside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if on the Initial Outside Date the conditions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(to the extent related to the Regulatory Laws set forth in </w:t>
      </w:r>
      <w:r>
        <w:rPr>
          <w:rFonts w:ascii="Times New Roman PS Std;serif" w:hAnsi="Times New Roman PS Std;serif"/>
          <w:b w:val="false"/>
          <w:i w:val="false"/>
          <w:caps w:val="false"/>
          <w:smallCaps w:val="false"/>
          <w:sz w:val="20"/>
          <w:u w:val="single"/>
        </w:rPr>
        <w:t>Section 7.1(c)</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shall not be satisfied, but all other conditions to the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PS Std;serif" w:hAnsi="Times New Roman PS Std;serif"/>
          <w:b w:val="false"/>
          <w:i w:val="false"/>
          <w:caps w:val="false"/>
          <w:smallCaps w:val="false"/>
          <w:sz w:val="20"/>
          <w:u w:val="single"/>
        </w:rPr>
        <w:t>Extended Outside Date</w:t>
      </w:r>
      <w:r>
        <w:rPr>
          <w:caps w:val="false"/>
          <w:smallCaps w:val="false"/>
        </w:rPr>
        <w:t xml:space="preserve">” </w:t>
      </w:r>
      <w:r>
        <w:rPr>
          <w:rFonts w:ascii="Times New Roman PS Std;serif" w:hAnsi="Times New Roman PS Std;serif"/>
          <w:b w:val="false"/>
          <w:i w:val="false"/>
          <w:caps w:val="false"/>
          <w:smallCaps w:val="false"/>
          <w:sz w:val="20"/>
        </w:rPr>
        <w:t>and together with the Initial Outside Date, the “</w:t>
      </w:r>
      <w:r>
        <w:rPr>
          <w:rFonts w:ascii="Times New Roman PS Std;serif" w:hAnsi="Times New Roman PS Std;serif"/>
          <w:b w:val="false"/>
          <w:i w:val="false"/>
          <w:caps w:val="false"/>
          <w:smallCaps w:val="false"/>
          <w:sz w:val="20"/>
          <w:u w:val="single"/>
        </w:rPr>
        <w:t>Outside Date</w:t>
      </w:r>
      <w:r>
        <w:rPr>
          <w:caps w:val="false"/>
          <w:smallCaps w:val="false"/>
        </w:rPr>
        <w:t>”</w:t>
      </w:r>
      <w:r>
        <w:rPr>
          <w:rFonts w:ascii="Times New Roman PS Std;serif" w:hAnsi="Times New Roman PS Std;serif"/>
          <w:b w:val="false"/>
          <w:i w:val="false"/>
          <w:caps w:val="false"/>
          <w:smallCaps w:val="false"/>
          <w:sz w:val="20"/>
        </w:rPr>
        <w:t xml:space="preserve">) unless Parent and the Company mutually agree in writing to an earlier Extended Outside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right to terminate this Agreement under this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the failure of the First Effective Time to occur shall be deemed to include any failure of the Second Effective Time to occur within one (1) hour following the First Effective Time;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at the Outside Date;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right to terminate this Agreement pursuant to this </w:t>
      </w:r>
      <w:r>
        <w:rPr>
          <w:rFonts w:ascii="Times New Roman PS Std;serif" w:hAnsi="Times New Roman PS Std;serif"/>
          <w:b w:val="false"/>
          <w:i w:val="false"/>
          <w:caps w:val="false"/>
          <w:smallCaps w:val="false"/>
          <w:sz w:val="20"/>
          <w:u w:val="single"/>
        </w:rPr>
        <w:t>Section 8.1(c)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material breach of any of its obligations under this Agreement is the primary cause of, or resulted in, the issuance of such Legal Impediment;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 By either the Company or Parent, if the Required Company Vote shall not have been obtained upon a vote taken thereon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 xml:space="preserve">: By Parent, if (i) the Company Board shall have effected a Change of Company Board Recommendation or (ii) the Company shall have materially breached its obligations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Company Superior Proposal</w:t>
      </w:r>
      <w:r>
        <w:rPr>
          <w:rFonts w:ascii="Times New Roman PS Std;serif" w:hAnsi="Times New Roman PS Std;serif"/>
          <w:b w:val="false"/>
          <w:i w:val="false"/>
          <w:caps w:val="false"/>
          <w:smallCaps w:val="false"/>
          <w:sz w:val="20"/>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and (ii) substantially concurrently with or prior to (and as a condition to) the termination of this Agreement, the Company pays to Parent the Company Termination Fee;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Company Breach</w:t>
      </w:r>
      <w:r>
        <w:rPr>
          <w:rFonts w:ascii="Times New Roman PS Std;serif" w:hAnsi="Times New Roman PS Std;serif"/>
          <w:b w:val="false"/>
          <w:i w:val="false"/>
          <w:caps w:val="false"/>
          <w:smallCaps w:val="false"/>
          <w:sz w:val="20"/>
        </w:rPr>
        <w:t xml:space="preserve">: By Parent, if: (i) there has been a breach by the Company of its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thirty (30)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following the date of delivery of such written notice to the Company;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if Parent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Parent Breach</w:t>
      </w:r>
      <w:r>
        <w:rPr>
          <w:rFonts w:ascii="Times New Roman PS Std;serif" w:hAnsi="Times New Roman PS Std;serif"/>
          <w:b w:val="false"/>
          <w:i w:val="false"/>
          <w:caps w:val="false"/>
          <w:smallCaps w:val="false"/>
          <w:sz w:val="20"/>
        </w:rPr>
        <w:t xml:space="preserve">: By the Company, if: (i) there has been a breach by any Parent Party of any of their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at least thirty (30) days following the date of delivery of such written notice to Parent;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may not terminate this Agreement pursuant to this </w:t>
      </w:r>
      <w:r>
        <w:rPr>
          <w:rFonts w:ascii="Times New Roman PS Std;serif" w:hAnsi="Times New Roman PS Std;serif"/>
          <w:b w:val="false"/>
          <w:i w:val="false"/>
          <w:caps w:val="false"/>
          <w:smallCaps w:val="false"/>
          <w:sz w:val="20"/>
          <w:u w:val="single"/>
        </w:rPr>
        <w:t>Section 8.1(h)</w:t>
      </w:r>
      <w:r>
        <w:rPr>
          <w:caps w:val="false"/>
          <w:smallCaps w:val="false"/>
        </w:rPr>
        <w:t xml:space="preserve"> </w:t>
      </w:r>
      <w:r>
        <w:rPr>
          <w:rFonts w:ascii="Times New Roman PS Std;serif" w:hAnsi="Times New Roman PS Std;serif"/>
          <w:b w:val="false"/>
          <w:i w:val="false"/>
          <w:caps w:val="false"/>
          <w:smallCaps w:val="false"/>
          <w:sz w:val="20"/>
        </w:rPr>
        <w:t xml:space="preserve">if the Company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to be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 xml:space="preserve">: By Parent, if the Notes Restructuring Agreement is terminated for any reason;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8.1(i)</w:t>
      </w:r>
      <w:r>
        <w:rPr>
          <w:caps w:val="false"/>
          <w:smallCaps w:val="false"/>
        </w:rPr>
        <w:t xml:space="preserve"> </w:t>
      </w:r>
      <w:r>
        <w:rPr>
          <w:rFonts w:ascii="Times New Roman PS Std;serif" w:hAnsi="Times New Roman PS Std;serif"/>
          <w:b w:val="false"/>
          <w:i w:val="false"/>
          <w:caps w:val="false"/>
          <w:smallCaps w:val="false"/>
          <w:sz w:val="20"/>
        </w:rPr>
        <w:t>if such termination of the Notes Restructuring Agreement primarily results from Parent’s material breach of the provisions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the valid termination of this Agreement by either the Company or Parent as provided in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PS Std;serif" w:hAnsi="Times New Roman PS Std;serif"/>
          <w:b w:val="false"/>
          <w:i w:val="false"/>
          <w:caps w:val="false"/>
          <w:smallCaps w:val="false"/>
          <w:sz w:val="20"/>
          <w:u w:val="single"/>
        </w:rPr>
        <w:t>Section 6.2(a)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Section 8.2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w:t>
      </w:r>
      <w:r>
        <w:rPr>
          <w:caps w:val="false"/>
          <w:smallCaps w:val="false"/>
        </w:rPr>
        <w:t xml:space="preserve"> </w:t>
      </w:r>
      <w:r>
        <w:rPr>
          <w:rFonts w:ascii="Times New Roman PS Std;serif" w:hAnsi="Times New Roman PS Std;serif"/>
          <w:b w:val="false"/>
          <w:i w:val="false"/>
          <w:caps w:val="false"/>
          <w:smallCaps w:val="false"/>
          <w:sz w:val="20"/>
        </w:rPr>
        <w:t>No termination of this Agreement shall affect the obligations of the parties contained in the Confidentiality Agreement or the Clean Team Agreement, all of which obligations shall survive the termination of this Agreement in accordance with their terms.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If this Agreement is terminated by Parent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xml:space="preserve">, or by either the Company or Parent pursuant to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at a time when Parent would have been entitled to terminate this Agreement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then the Company shall pay, or cause to be paid, to Parent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a termination fee equal to (i) $5,000,000, </w:t>
      </w:r>
      <w:r>
        <w:rPr>
          <w:rFonts w:ascii="Times New Roman PS Std;serif" w:hAnsi="Times New Roman PS Std;serif"/>
          <w:b w:val="false"/>
          <w:i/>
          <w:sz w:val="20"/>
        </w:rPr>
        <w:t>plus</w:t>
      </w:r>
      <w:r>
        <w:rPr>
          <w:caps w:val="false"/>
          <w:smallCaps w:val="false"/>
        </w:rPr>
        <w:t xml:space="preserve"> </w:t>
      </w:r>
      <w:r>
        <w:rPr>
          <w:rFonts w:ascii="Times New Roman PS Std;serif" w:hAnsi="Times New Roman PS Std;serif"/>
          <w:b w:val="false"/>
          <w:i w:val="false"/>
          <w:caps w:val="false"/>
          <w:smallCaps w:val="false"/>
          <w:sz w:val="20"/>
        </w:rPr>
        <w:t>(ii) an amount equal to Parent’s documented Expenses incurred prior to (and including) the date of the termination of this Agreement (the “</w:t>
      </w:r>
      <w:r>
        <w:rPr>
          <w:rFonts w:ascii="Times New Roman PS Std;serif" w:hAnsi="Times New Roman PS Std;serif"/>
          <w:b w:val="false"/>
          <w:i w:val="false"/>
          <w:caps w:val="false"/>
          <w:smallCaps w:val="false"/>
          <w:sz w:val="20"/>
          <w:u w:val="single"/>
        </w:rPr>
        <w:t>Company Termination Fee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If this Agreement is terminated by the Company pursuant to </w:t>
      </w:r>
      <w:r>
        <w:rPr>
          <w:rFonts w:ascii="Times New Roman PS Std;serif" w:hAnsi="Times New Roman PS Std;serif"/>
          <w:b w:val="false"/>
          <w:i w:val="false"/>
          <w:caps w:val="false"/>
          <w:smallCaps w:val="false"/>
          <w:sz w:val="20"/>
          <w:u w:val="single"/>
        </w:rPr>
        <w:t>Section 8.1(f)</w:t>
      </w:r>
      <w:r>
        <w:rPr>
          <w:rFonts w:ascii="Times New Roman PS Std;serif" w:hAnsi="Times New Roman PS Std;serif"/>
          <w:b w:val="false"/>
          <w:i w:val="false"/>
          <w:caps w:val="false"/>
          <w:smallCaps w:val="false"/>
          <w:sz w:val="20"/>
        </w:rPr>
        <w:t>, then the Company shall pay, or cause to be paid, to Parent the Company Termination Fee substantially concurrently with or prior to (and as a condition to) such termination.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this Agreement is terminated (x) by the Company or Parent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and, at the time of such termination, all of the conditions to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(other than conditions that by their nature can only be satisfied on the Closing Date) or waived by Parent, Merger Sub I, Merger Sub II or the Company, as applicable, other than the condition set forth in </w:t>
      </w:r>
      <w:r>
        <w:rPr>
          <w:rFonts w:ascii="Times New Roman PS Std;serif" w:hAnsi="Times New Roman PS Std;serif"/>
          <w:b w:val="false"/>
          <w:i w:val="false"/>
          <w:caps w:val="false"/>
          <w:smallCaps w:val="false"/>
          <w:sz w:val="20"/>
          <w:u w:val="single"/>
        </w:rPr>
        <w:t>Section 7.2(f)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failure of such condition to be satisfied did not primarily result from Parent’s material breach of the provisions of the Notes Restructuring Agreement, or (y) by Parent pursuant to </w:t>
      </w:r>
      <w:r>
        <w:rPr>
          <w:rFonts w:ascii="Times New Roman PS Std;serif" w:hAnsi="Times New Roman PS Std;serif"/>
          <w:b w:val="false"/>
          <w:i w:val="false"/>
          <w:caps w:val="false"/>
          <w:smallCaps w:val="false"/>
          <w:sz w:val="20"/>
          <w:u w:val="single"/>
        </w:rPr>
        <w:t>Section 8.1(i)</w:t>
      </w:r>
      <w:r>
        <w:rPr>
          <w:rFonts w:ascii="Times New Roman PS Std;serif" w:hAnsi="Times New Roman PS Std;serif"/>
          <w:b w:val="false"/>
          <w:i w:val="false"/>
          <w:caps w:val="false"/>
          <w:smallCaps w:val="false"/>
          <w:sz w:val="20"/>
        </w:rPr>
        <w:t>, then the Company shall pay, or cause to be paid, to Parent the Company Termination Fee, no later than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anything in this Agreement to the contrary, solely for purposes of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obligation to pay or cause to be paid to Parent the Company Termination Fee pursuant to this </w:t>
      </w:r>
      <w:r>
        <w:rPr>
          <w:rFonts w:ascii="Times New Roman PS Std;serif" w:hAnsi="Times New Roman PS Std;serif"/>
          <w:b w:val="false"/>
          <w:i w:val="false"/>
          <w:caps w:val="false"/>
          <w:smallCaps w:val="false"/>
          <w:sz w:val="20"/>
          <w:u w:val="single"/>
        </w:rPr>
        <w:t>Section 8.3(c)</w:t>
      </w:r>
      <w:r>
        <w:rPr>
          <w:rFonts w:ascii="Times New Roman PS Std;serif" w:hAnsi="Times New Roman PS Std;serif"/>
          <w:b w:val="false"/>
          <w:i w:val="false"/>
          <w:caps w:val="false"/>
          <w:smallCaps w:val="false"/>
          <w:sz w:val="20"/>
        </w:rPr>
        <w:t>, Parent’s documented Expenses shall be deemed to equal the lesser of (A) Parent’s documented Expenses actually incurred and (B) the Parent Expense Cap.</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If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PS Std;serif" w:hAnsi="Times New Roman PS Std;serif"/>
          <w:b w:val="false"/>
          <w:i w:val="false"/>
          <w:caps w:val="false"/>
          <w:smallCaps w:val="false"/>
          <w:sz w:val="20"/>
          <w:u w:val="single"/>
        </w:rPr>
        <w:t>Section 8.1(d)</w:t>
      </w:r>
      <w:r>
        <w:rPr>
          <w:rFonts w:ascii="Times New Roman PS Std;serif" w:hAnsi="Times New Roman PS Std;serif"/>
          <w:b w:val="false"/>
          <w:i w:val="false"/>
          <w:caps w:val="false"/>
          <w:smallCaps w:val="false"/>
          <w:sz w:val="20"/>
        </w:rPr>
        <w:t xml:space="preserve">) or the date of such termination (in the case of a termination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PS Std;serif" w:hAnsi="Times New Roman PS Std;serif"/>
          <w:b w:val="false"/>
          <w:i w:val="false"/>
          <w:caps w:val="false"/>
          <w:smallCaps w:val="false"/>
          <w:sz w:val="20"/>
          <w:u w:val="single"/>
        </w:rPr>
        <w:t>Section 8.3(d)(i)</w:t>
      </w:r>
      <w:r>
        <w:rPr>
          <w:caps w:val="false"/>
          <w:smallCaps w:val="false"/>
        </w:rPr>
        <w:t xml:space="preserve"> </w:t>
      </w:r>
      <w:r>
        <w:rPr>
          <w:rFonts w:ascii="Times New Roman PS Std;serif" w:hAnsi="Times New Roman PS Std;serif"/>
          <w:b w:val="false"/>
          <w:i w:val="false"/>
          <w:caps w:val="false"/>
          <w:smallCaps w:val="false"/>
          <w:sz w:val="20"/>
        </w:rPr>
        <w:t xml:space="preserve">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the term “Company Acquisition Proposal” shall have the meaning assigned to such term in </w:t>
      </w:r>
      <w:r>
        <w:rPr>
          <w:rFonts w:ascii="Times New Roman PS Std;serif" w:hAnsi="Times New Roman PS Std;serif"/>
          <w:b w:val="false"/>
          <w:i w:val="false"/>
          <w:caps w:val="false"/>
          <w:smallCaps w:val="false"/>
          <w:sz w:val="20"/>
          <w:u w:val="single"/>
        </w:rPr>
        <w:t>Section 9.4</w:t>
      </w:r>
      <w:r>
        <w:rPr>
          <w:rFonts w:ascii="Times New Roman PS Std;serif" w:hAnsi="Times New Roman PS Std;serif"/>
          <w:b w:val="false"/>
          <w:i w:val="false"/>
          <w:caps w:val="false"/>
          <w:smallCaps w:val="false"/>
          <w:sz w:val="20"/>
        </w:rPr>
        <w:t>, except that the references to “15%” and “85%” therein shall be deemed to be references to “50%”.</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All payments under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made by wire transfer of immediately available funds to an account designated in writing by Parent, or in the absence of such designation, an account established for the sole benefit of Parent.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Each of the parties acknowledges and agrees (i) that the agreements contained in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If the Company fails to pay (or cause to be paid)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in each case when due, the Company shall pay to Parent, together with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(A) interest on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subject to the Company’s receipt of written notice from Parent setting forth, in reasonable detail, the amount of Parent’s Expenses to be so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9</w:t>
      </w:r>
      <w:r>
        <w:rPr>
          <w:rFonts w:ascii="Times New Roman PS Std;serif" w:hAnsi="Times New Roman PS Std;serif"/>
          <w:b/>
          <w:i w:val="false"/>
          <w:caps/>
          <w:sz w:val="20"/>
        </w:rPr>
        <w:br/>
        <w:t>General Provisions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Non-Survival of Representations and Warranties</w:t>
      </w:r>
      <w:r>
        <w:rPr>
          <w:rFonts w:ascii="Times New Roman PS Std;serif" w:hAnsi="Times New Roman PS Std;serif"/>
          <w:b w:val="false"/>
          <w:i w:val="false"/>
          <w:caps w:val="false"/>
          <w:smallCaps w:val="false"/>
          <w:sz w:val="20"/>
        </w:rPr>
        <w:t xml:space="preserve">. None of the representations, warranties or covenants in this Agreement or in any instrument delivered pursuant to this Agreement shall survive the Second Effective Time except that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shall not limit any covenant or agreement of the parties which by its terms contemplates performance after the Second Effective Time, which shall survive to the extent expressly provided for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9.2         </w:t>
      </w:r>
      <w:r>
        <w:rPr>
          <w:rFonts w:ascii="Times New Roman PS Std;serif" w:hAnsi="Times New Roman PS Std;serif"/>
          <w:b w:val="false"/>
          <w:i w:val="false"/>
          <w:caps w:val="false"/>
          <w:smallCaps w:val="false"/>
          <w:sz w:val="20"/>
          <w:u w:val="single"/>
        </w:rPr>
        <w:t>Fees and Expenses</w:t>
      </w:r>
      <w:r>
        <w:rPr>
          <w:rFonts w:ascii="Times New Roman PS Std;serif" w:hAnsi="Times New Roman PS Std;serif"/>
          <w:b w:val="false"/>
          <w:i w:val="false"/>
          <w:caps w:val="false"/>
          <w:smallCaps w:val="false"/>
          <w:sz w:val="20"/>
        </w:rPr>
        <w:t xml:space="preserve">. Except for (a) the expenses in connection with printing and mailing the Proxy Statement/Prospectus and Registration Statement and any Other Filings required in connection with the actions specified in </w:t>
      </w:r>
      <w:r>
        <w:rPr>
          <w:rFonts w:ascii="Times New Roman PS Std;serif" w:hAnsi="Times New Roman PS Std;serif"/>
          <w:b w:val="false"/>
          <w:i w:val="false"/>
          <w:caps w:val="false"/>
          <w:smallCaps w:val="false"/>
          <w:sz w:val="20"/>
          <w:u w:val="single"/>
        </w:rPr>
        <w:t>Section 6.1</w:t>
      </w:r>
      <w:r>
        <w:rPr>
          <w:rFonts w:ascii="Times New Roman PS Std;serif" w:hAnsi="Times New Roman PS Std;serif"/>
          <w:b w:val="false"/>
          <w:i w:val="false"/>
          <w:caps w:val="false"/>
          <w:smallCaps w:val="false"/>
          <w:sz w:val="20"/>
        </w:rPr>
        <w:t xml:space="preserve">, (b) all SEC filing fees relating to the Mergers and the transactions contemplated by this Agreement and (c) the fees in connection with the approvals required under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related to the Mergers and the transactions contemplated by this Agreement (of which fees and expenses (A) set forth in clauses (a) and (b) of this </w:t>
      </w:r>
      <w:r>
        <w:rPr>
          <w:rFonts w:ascii="Times New Roman PS Std;serif" w:hAnsi="Times New Roman PS Std;serif"/>
          <w:b w:val="false"/>
          <w:i w:val="false"/>
          <w:caps w:val="false"/>
          <w:smallCaps w:val="false"/>
          <w:sz w:val="20"/>
          <w:u w:val="single"/>
        </w:rPr>
        <w:t>Section 9.2</w:t>
      </w:r>
      <w:r>
        <w:rPr>
          <w:caps w:val="false"/>
          <w:smallCaps w:val="false"/>
        </w:rPr>
        <w:t xml:space="preserve"> </w:t>
      </w:r>
      <w:r>
        <w:rPr>
          <w:rFonts w:ascii="Times New Roman PS Std;serif" w:hAnsi="Times New Roman PS Std;serif"/>
          <w:b w:val="false"/>
          <w:i w:val="false"/>
          <w:caps w:val="false"/>
          <w:smallCaps w:val="false"/>
          <w:sz w:val="20"/>
        </w:rPr>
        <w:t>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9.3         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any Parent Party,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Keyvan Mohajer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Warren Heit</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Latham &amp; Watkins LLP</w:t>
        <w:br/>
        <w:t>505 Montgomery Street, Suite 2000</w:t>
        <w:br/>
        <w:t>San Francisco, CA 94111</w:t>
        <w:br/>
        <w:t>Attention: Luke Bergstrom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Schleusener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 Lefcoe</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luke.bergstrom@lw.com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max.schleusener@lw.com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lauren.lefcoe@lw.com</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530 7</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Avenue, Floor M1</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br/>
        <w:t>Attention: John Collins</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Greenberg</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Fried, Frank, Harris, Shriver &amp; Jacobson LLP</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New York Plaza</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10004</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Philip Richter</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Hayek</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Cohen</w:t>
      </w:r>
    </w:p>
    <w:p>
      <w:pPr>
        <w:pStyle w:val="TextBody"/>
        <w:widowControl/>
        <w:pBdr/>
        <w:bidi w:val="0"/>
        <w:spacing w:before="0" w:after="283"/>
        <w:ind w:left="2160" w:right="0" w:hanging="0"/>
        <w:jc w:val="both"/>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Philip.Richter@friedfrank.com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Mark.Hayek@friedfrank.com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Adam.Cohen@friedfrank.com</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9.4         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For purposes of this Agreement, the term:</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2026 Notes</w:t>
      </w:r>
      <w:r>
        <w:rPr>
          <w:caps w:val="false"/>
          <w:smallCaps w:val="false"/>
        </w:rPr>
        <w:t xml:space="preserve">” </w:t>
      </w:r>
      <w:r>
        <w:rPr>
          <w:rFonts w:ascii="Times New Roman PS Std;serif" w:hAnsi="Times New Roman PS Std;serif"/>
          <w:b w:val="false"/>
          <w:i w:val="false"/>
          <w:caps w:val="false"/>
          <w:smallCaps w:val="false"/>
          <w:sz w:val="20"/>
        </w:rPr>
        <w:t>means the Company’s 0% Convertible Senior Notes due 2026.</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as to any Person, a Person that directly or indirectly, through one or more intermediaries, controls, is controlled by, or is under common control with, the first-mentioned Person.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Consideration Amount</w:t>
      </w:r>
      <w:r>
        <w:rPr>
          <w:caps w:val="false"/>
          <w:smallCaps w:val="false"/>
        </w:rPr>
        <w:t xml:space="preserve">” </w:t>
      </w:r>
      <w:r>
        <w:rPr>
          <w:rFonts w:ascii="Times New Roman PS Std;serif" w:hAnsi="Times New Roman PS Std;serif"/>
          <w:b w:val="false"/>
          <w:i w:val="false"/>
          <w:caps w:val="false"/>
          <w:smallCaps w:val="false"/>
          <w:sz w:val="20"/>
        </w:rPr>
        <w:t xml:space="preserve">means the sum of (a) the difference of (i) $42,784,532.64, </w:t>
      </w:r>
      <w:r>
        <w:rPr>
          <w:rFonts w:ascii="Times New Roman PS Std;serif" w:hAnsi="Times New Roman PS Std;serif"/>
          <w:b w:val="false"/>
          <w:i/>
          <w:sz w:val="20"/>
        </w:rPr>
        <w:t xml:space="preserve">minus </w:t>
      </w:r>
      <w:r>
        <w:rPr>
          <w:rFonts w:ascii="Times New Roman PS Std;serif" w:hAnsi="Times New Roman PS Std;serif"/>
          <w:b w:val="false"/>
          <w:i w:val="false"/>
          <w:caps w:val="false"/>
          <w:smallCaps w:val="false"/>
          <w:sz w:val="20"/>
        </w:rPr>
        <w:t xml:space="preserve">(ii) the Company Shortfall Cash, </w:t>
      </w:r>
      <w:r>
        <w:rPr>
          <w:rFonts w:ascii="Times New Roman PS Std;serif" w:hAnsi="Times New Roman PS Std;serif"/>
          <w:b w:val="false"/>
          <w:i/>
          <w:sz w:val="20"/>
        </w:rPr>
        <w:t xml:space="preserve">plus </w:t>
      </w:r>
      <w:r>
        <w:rPr>
          <w:rFonts w:ascii="Times New Roman PS Std;serif" w:hAnsi="Times New Roman PS Std;serif"/>
          <w:b w:val="false"/>
          <w:i w:val="false"/>
          <w:caps w:val="false"/>
          <w:smallCaps w:val="false"/>
          <w:sz w:val="20"/>
        </w:rPr>
        <w:t>(b) the Aggregate Exercise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Exercise Price</w:t>
      </w:r>
      <w:r>
        <w:rPr>
          <w:caps w:val="false"/>
          <w:smallCaps w:val="false"/>
        </w:rPr>
        <w:t xml:space="preserve">” </w:t>
      </w:r>
      <w:r>
        <w:rPr>
          <w:rFonts w:ascii="Times New Roman PS Std;serif" w:hAnsi="Times New Roman PS Std;serif"/>
          <w:b w:val="false"/>
          <w:i w:val="false"/>
          <w:caps w:val="false"/>
          <w:smallCaps w:val="false"/>
          <w:sz w:val="20"/>
        </w:rPr>
        <w:t>means the aggregate dollar amount of the exercise prices of all In-the-Money Company Options (other than Assumed Options).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Inputs</w:t>
      </w:r>
      <w:r>
        <w:rPr>
          <w:caps w:val="false"/>
          <w:smallCaps w:val="false"/>
        </w:rPr>
        <w:t xml:space="preserve">” </w:t>
      </w:r>
      <w:r>
        <w:rPr>
          <w:rFonts w:ascii="Times New Roman PS Std;serif" w:hAnsi="Times New Roman PS Std;serif"/>
          <w:b w:val="false"/>
          <w:i w:val="false"/>
          <w:caps w:val="false"/>
          <w:smallCaps w:val="false"/>
          <w:sz w:val="20"/>
        </w:rPr>
        <w:t>shall mean data, work of authorship, text or other content used or relied upon by any aspect of AI Technologies to generate any AI Output.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Output</w:t>
      </w:r>
      <w:r>
        <w:rPr>
          <w:caps w:val="false"/>
          <w:smallCaps w:val="false"/>
        </w:rPr>
        <w:t xml:space="preserve">” </w:t>
      </w:r>
      <w:r>
        <w:rPr>
          <w:rFonts w:ascii="Times New Roman PS Std;serif" w:hAnsi="Times New Roman PS Std;serif"/>
          <w:b w:val="false"/>
          <w:i w:val="false"/>
          <w:caps w:val="false"/>
          <w:smallCaps w:val="false"/>
          <w:sz w:val="20"/>
        </w:rPr>
        <w:t>shall mean any data, work of authorship, text or other content that is generated by any AI Technologies.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Technologies</w:t>
      </w:r>
      <w:r>
        <w:rPr>
          <w:caps w:val="false"/>
          <w:smallCaps w:val="false"/>
        </w:rPr>
        <w:t xml:space="preserve">” </w:t>
      </w:r>
      <w:r>
        <w:rPr>
          <w:rFonts w:ascii="Times New Roman PS Std;serif" w:hAnsi="Times New Roman PS Std;serif"/>
          <w:b w:val="false"/>
          <w:i w:val="false"/>
          <w:caps w:val="false"/>
          <w:smallCaps w:val="false"/>
          <w:sz w:val="20"/>
        </w:rPr>
        <w:t>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the prevention of corruption and bribery, including, without limitation, the U.S. Foreign Corrupt Practices Act of 1977, as amended, and the UK Bribery Act 2010,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beneficial ownership</w:t>
      </w:r>
      <w:r>
        <w:rPr>
          <w:caps w:val="false"/>
          <w:smallCaps w:val="false"/>
        </w:rPr>
        <w:t xml:space="preserve">” </w:t>
      </w:r>
      <w:r>
        <w:rPr>
          <w:rFonts w:ascii="Times New Roman PS Std;serif" w:hAnsi="Times New Roman PS Std;serif"/>
          <w:b w:val="false"/>
          <w:i w:val="false"/>
          <w:caps w:val="false"/>
          <w:smallCaps w:val="false"/>
          <w:sz w:val="20"/>
        </w:rPr>
        <w:t>(and related terms such as “beneficially owned” or “beneficial owner”) has the meaning set forth in Rule 13d-3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has the meaning set forth in Rule 14d-1(g)(3)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the number of shares of Parent Common Stock derived from dividing (a) the Aggregate Consideration Amount, </w:t>
      </w:r>
      <w:r>
        <w:rPr>
          <w:rFonts w:ascii="Times New Roman PS Std;serif" w:hAnsi="Times New Roman PS Std;serif"/>
          <w:b w:val="false"/>
          <w:i/>
          <w:sz w:val="20"/>
          <w:u w:val="single"/>
        </w:rPr>
        <w:t>by</w:t>
      </w:r>
      <w:r>
        <w:rPr>
          <w:caps w:val="false"/>
          <w:smallCaps w:val="false"/>
        </w:rPr>
        <w:t xml:space="preserve"> </w:t>
      </w:r>
      <w:r>
        <w:rPr>
          <w:rFonts w:ascii="Times New Roman PS Std;serif" w:hAnsi="Times New Roman PS Std;serif"/>
          <w:b w:val="false"/>
          <w:i w:val="false"/>
          <w:caps w:val="false"/>
          <w:smallCaps w:val="false"/>
          <w:sz w:val="20"/>
        </w:rPr>
        <w:t>(b)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 Value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(a) the Closing Merger Consideration, </w:t>
      </w:r>
      <w:r>
        <w:rPr>
          <w:rFonts w:ascii="Times New Roman PS Std;serif" w:hAnsi="Times New Roman PS Std;serif"/>
          <w:b w:val="false"/>
          <w:i/>
          <w:sz w:val="20"/>
          <w:u w:val="single"/>
        </w:rPr>
        <w:t>multiplied by</w:t>
      </w:r>
      <w:r>
        <w:rPr/>
        <w:t xml:space="preserve"> </w:t>
      </w:r>
      <w:r>
        <w:rPr>
          <w:rFonts w:ascii="Times New Roman PS Std;serif" w:hAnsi="Times New Roman PS Std;serif"/>
          <w:b w:val="false"/>
          <w:i w:val="false"/>
          <w:caps w:val="false"/>
          <w:smallCaps w:val="false"/>
          <w:sz w:val="20"/>
        </w:rPr>
        <w:t>(b) the Parent Closing VWAP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(a) the Closing Merger Consideration Value, </w:t>
      </w:r>
      <w:r>
        <w:rPr>
          <w:rFonts w:ascii="Times New Roman PS Std;serif" w:hAnsi="Times New Roman PS Std;serif"/>
          <w:b w:val="false"/>
          <w:i/>
          <w:sz w:val="20"/>
          <w:u w:val="single"/>
        </w:rPr>
        <w:t>multiplied by</w:t>
      </w:r>
      <w:r>
        <w:rPr>
          <w:caps w:val="false"/>
          <w:smallCaps w:val="false"/>
        </w:rPr>
        <w:t xml:space="preserve"> </w:t>
      </w:r>
      <w:r>
        <w:rPr>
          <w:rFonts w:ascii="Times New Roman PS Std;serif" w:hAnsi="Times New Roman PS Std;serif"/>
          <w:b w:val="false"/>
          <w:i w:val="false"/>
          <w:caps w:val="false"/>
          <w:smallCaps w:val="false"/>
          <w:sz w:val="20"/>
        </w:rPr>
        <w:t xml:space="preserve">(b) the Closing TASE Merger Consideration Percentage;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the Closing TASE Cash Merger Consideration is greater than $7,500,000, then the Closing TASE Cash Merger Consideration will equal $7,500,000.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Merger Consideration Percentage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quotient of (a) the Fully Diluted TASE Common Number,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any collective bargaining agreement, works council agreement, or other agreement, understanding or Contract (including any addenda, side letter, memorandum of understanding, letter of assent, neutrality agreement or ancillary agreement thereto) with any Union.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such confidentiality agreement need not contain any standstill provision and shall not include any provision conflicting with or otherwise impairing the Company’s ability to comply with its obligations under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Acquisition Proposal</w:t>
      </w:r>
      <w:r>
        <w:rPr>
          <w:caps w:val="false"/>
          <w:smallCaps w:val="false"/>
        </w:rPr>
        <w:t xml:space="preserve">” </w:t>
      </w:r>
      <w:r>
        <w:rPr>
          <w:rFonts w:ascii="Times New Roman PS Std;serif" w:hAnsi="Times New Roman PS Std;serif"/>
          <w:b w:val="false"/>
          <w:i w:val="false"/>
          <w:caps w:val="false"/>
          <w:smallCaps w:val="false"/>
          <w:sz w:val="20"/>
        </w:rPr>
        <w:t>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the Company or any of the Company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Cash Balance</w:t>
      </w:r>
      <w:r>
        <w:rPr>
          <w:caps w:val="false"/>
          <w:smallCaps w:val="false"/>
        </w:rPr>
        <w:t xml:space="preserve">” </w:t>
      </w:r>
      <w:r>
        <w:rPr>
          <w:rFonts w:ascii="Times New Roman PS Std;serif" w:hAnsi="Times New Roman PS Std;serif"/>
          <w:b w:val="false"/>
          <w:i w:val="false"/>
          <w:caps w:val="false"/>
          <w:smallCaps w:val="false"/>
          <w:sz w:val="20"/>
        </w:rPr>
        <w:t xml:space="preserve">means the amount of cash and cash equivalents in the final Estimated Closing Statement;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the foregoing, the fees and expenses payable by the Company pursuant to </w:t>
      </w:r>
      <w:r>
        <w:rPr>
          <w:rFonts w:ascii="Times New Roman PS Std;serif" w:hAnsi="Times New Roman PS Std;serif"/>
          <w:b w:val="false"/>
          <w:i w:val="false"/>
          <w:caps w:val="false"/>
          <w:smallCaps w:val="false"/>
          <w:sz w:val="20"/>
          <w:u w:val="single"/>
        </w:rPr>
        <w:t>Section 9.2(a)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9.2(b)</w:t>
      </w:r>
      <w:r>
        <w:rPr>
          <w:caps w:val="false"/>
          <w:smallCaps w:val="false"/>
        </w:rPr>
        <w:t xml:space="preserve"> </w:t>
      </w:r>
      <w:r>
        <w:rPr>
          <w:rFonts w:ascii="Times New Roman PS Std;serif" w:hAnsi="Times New Roman PS Std;serif"/>
          <w:b w:val="false"/>
          <w:i w:val="false"/>
          <w:caps w:val="false"/>
          <w:smallCaps w:val="false"/>
          <w:sz w:val="20"/>
        </w:rPr>
        <w:t>shall be excluded from “Company Cash Balance” 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Award</w:t>
      </w:r>
      <w:r>
        <w:rPr>
          <w:caps w:val="false"/>
          <w:smallCaps w:val="false"/>
        </w:rPr>
        <w:t xml:space="preserve">” </w:t>
      </w:r>
      <w:r>
        <w:rPr>
          <w:rFonts w:ascii="Times New Roman PS Std;serif" w:hAnsi="Times New Roman PS Std;serif"/>
          <w:b w:val="false"/>
          <w:i w:val="false"/>
          <w:caps w:val="false"/>
          <w:smallCaps w:val="false"/>
          <w:sz w:val="20"/>
        </w:rPr>
        <w:t>means each Company Option and Company RSU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(a) the Company’s Amended and Restated 2019 Stock Incentive Plan and (b) the Company’s Amended and Restated 2018 Inducement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ESPP</w:t>
      </w:r>
      <w:r>
        <w:rPr>
          <w:caps w:val="false"/>
          <w:smallCaps w:val="false"/>
        </w:rPr>
        <w:t xml:space="preserve">” </w:t>
      </w:r>
      <w:r>
        <w:rPr>
          <w:rFonts w:ascii="Times New Roman PS Std;serif" w:hAnsi="Times New Roman PS Std;serif"/>
          <w:b w:val="false"/>
          <w:i w:val="false"/>
          <w:caps w:val="false"/>
          <w:smallCaps w:val="false"/>
          <w:sz w:val="20"/>
        </w:rPr>
        <w:t>means the Company’s 2019 Employee Stock Purchase Plan,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change, event, occurrence, condition or development (an “</w:t>
      </w:r>
      <w:r>
        <w:rPr>
          <w:rFonts w:ascii="Times New Roman PS Std;serif" w:hAnsi="Times New Roman PS Std;serif"/>
          <w:b w:val="false"/>
          <w:i w:val="false"/>
          <w:caps w:val="false"/>
          <w:smallCaps w:val="false"/>
          <w:sz w:val="20"/>
          <w:u w:val="single"/>
        </w:rPr>
        <w:t>Effect</w:t>
      </w:r>
      <w:r>
        <w:rPr>
          <w:caps w:val="false"/>
          <w:smallCaps w:val="false"/>
        </w:rPr>
        <w:t>”</w:t>
      </w:r>
      <w:r>
        <w:rPr>
          <w:rFonts w:ascii="Times New Roman PS Std;serif" w:hAnsi="Times New Roman PS Std;serif"/>
          <w:b w:val="false"/>
          <w:i w:val="false"/>
          <w:caps w:val="false"/>
          <w:smallCaps w:val="false"/>
          <w:sz w:val="20"/>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Company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Minimum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$74,000,000,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the event the Closing Date occurs in the calendar month of July, the amount for purposes of this clause (a) shall be $71,000,000,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(b) the amount of cash, if any, paid by the Company to repurchase and retire the 2026 Notes between April 1, 2026, and the Closing Date.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Option</w:t>
      </w:r>
      <w:r>
        <w:rPr>
          <w:caps w:val="false"/>
          <w:smallCaps w:val="false"/>
        </w:rPr>
        <w:t xml:space="preserve">” </w:t>
      </w:r>
      <w:r>
        <w:rPr>
          <w:rFonts w:ascii="Times New Roman PS Std;serif" w:hAnsi="Times New Roman PS Std;serif"/>
          <w:b w:val="false"/>
          <w:i w:val="false"/>
          <w:caps w:val="false"/>
          <w:smallCaps w:val="false"/>
          <w:sz w:val="20"/>
        </w:rPr>
        <w:t>means an option to acquire shares of Company Common Stock granted under a Company Equity Plan or granted to a Company employee or other service provider outside of the Company Equity Plans.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Owned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that is owned or purported to be owned by the Company or any of the Company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Products</w:t>
      </w:r>
      <w:r>
        <w:rPr>
          <w:caps w:val="false"/>
          <w:smallCaps w:val="false"/>
        </w:rPr>
        <w:t xml:space="preserve">” </w:t>
      </w:r>
      <w:r>
        <w:rPr>
          <w:rFonts w:ascii="Times New Roman PS Std;serif" w:hAnsi="Times New Roman PS Std;serif"/>
          <w:b w:val="false"/>
          <w:i w:val="false"/>
          <w:caps w:val="false"/>
          <w:smallCaps w:val="false"/>
          <w:sz w:val="20"/>
        </w:rPr>
        <w:t>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PS Std;serif" w:hAnsi="Times New Roman PS Std;serif"/>
          <w:b w:val="false"/>
          <w:i w:val="false"/>
          <w:caps w:val="false"/>
          <w:smallCaps w:val="false"/>
          <w:sz w:val="20"/>
          <w:u w:val="single"/>
        </w:rPr>
        <w:t>Company AI Products</w:t>
      </w:r>
      <w:r>
        <w:rPr>
          <w:caps w:val="false"/>
          <w:smallCaps w:val="false"/>
        </w:rPr>
        <w:t>”</w:t>
      </w:r>
      <w:r>
        <w:rPr>
          <w:rFonts w:ascii="Times New Roman PS Std;serif" w:hAnsi="Times New Roman PS Std;serif"/>
          <w:b w:val="false"/>
          <w:i w:val="false"/>
          <w:caps w:val="false"/>
          <w:smallCaps w:val="false"/>
          <w:sz w:val="20"/>
        </w:rPr>
        <w:t>), made commercially available, marketed, distributed, developed, supported, sold, imported for resale, licensed out, or otherwise provided by or on behalf of the Company or any Company Subsidiary, including products and services under development.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Representatives</w:t>
      </w:r>
      <w:r>
        <w:rPr>
          <w:caps w:val="false"/>
          <w:smallCaps w:val="false"/>
        </w:rPr>
        <w:t xml:space="preserve">” </w:t>
      </w:r>
      <w:r>
        <w:rPr>
          <w:rFonts w:ascii="Times New Roman PS Std;serif" w:hAnsi="Times New Roman PS Std;serif"/>
          <w:b w:val="false"/>
          <w:i w:val="false"/>
          <w:caps w:val="false"/>
          <w:smallCaps w:val="false"/>
          <w:sz w:val="20"/>
        </w:rPr>
        <w:t>means the Company’s and the Company Subsidiaries’ respective directors, officers, employees, accountants, consultants, legal counsel, investment bankers, advisors, agents, brokers and other representatives acting for or on behalf of the Company or any Company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RSU Award</w:t>
      </w:r>
      <w:r>
        <w:rPr>
          <w:caps w:val="false"/>
          <w:smallCaps w:val="false"/>
        </w:rPr>
        <w:t xml:space="preserve">” </w:t>
      </w:r>
      <w:r>
        <w:rPr>
          <w:rFonts w:ascii="Times New Roman PS Std;serif" w:hAnsi="Times New Roman PS Std;serif"/>
          <w:b w:val="false"/>
          <w:i w:val="false"/>
          <w:caps w:val="false"/>
          <w:smallCaps w:val="false"/>
          <w:sz w:val="20"/>
        </w:rPr>
        <w:t>means an award of restricted stock units with respect to shares of Company Common Stock granted under a Company Equity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Shortfall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Company Minimum Cash,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 xml:space="preserve">(b) the Company Cash Balance;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if a negative number results from such calculation, “Company Shortfall Cash” shall be zero (0).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Transaction Expenses</w:t>
      </w:r>
      <w:r>
        <w:rPr>
          <w:caps w:val="false"/>
          <w:smallCaps w:val="false"/>
        </w:rPr>
        <w:t xml:space="preserve">” </w:t>
      </w:r>
      <w:r>
        <w:rPr>
          <w:rFonts w:ascii="Times New Roman PS Std;serif" w:hAnsi="Times New Roman PS Std;serif"/>
          <w:b w:val="false"/>
          <w:i w:val="false"/>
          <w:caps w:val="false"/>
          <w:smallCaps w:val="false"/>
          <w:sz w:val="20"/>
        </w:rPr>
        <w:t>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Warrant</w:t>
      </w:r>
      <w:r>
        <w:rPr>
          <w:caps w:val="false"/>
          <w:smallCaps w:val="false"/>
        </w:rPr>
        <w:t xml:space="preserve">” </w:t>
      </w:r>
      <w:r>
        <w:rPr>
          <w:rFonts w:ascii="Times New Roman PS Std;serif" w:hAnsi="Times New Roman PS Std;serif"/>
          <w:b w:val="false"/>
          <w:i w:val="false"/>
          <w:caps w:val="false"/>
          <w:smallCaps w:val="false"/>
          <w:sz w:val="20"/>
        </w:rPr>
        <w:t>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Continuing Employee</w:t>
      </w:r>
      <w:r>
        <w:rPr>
          <w:caps w:val="false"/>
          <w:smallCaps w:val="false"/>
        </w:rPr>
        <w:t xml:space="preserve">” </w:t>
      </w:r>
      <w:r>
        <w:rPr>
          <w:rFonts w:ascii="Times New Roman PS Std;serif" w:hAnsi="Times New Roman PS Std;serif"/>
          <w:b w:val="false"/>
          <w:i w:val="false"/>
          <w:caps w:val="false"/>
          <w:smallCaps w:val="false"/>
          <w:sz w:val="20"/>
        </w:rPr>
        <w:t>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Contracts</w:t>
      </w:r>
      <w:r>
        <w:rPr>
          <w:caps w:val="false"/>
          <w:smallCaps w:val="false"/>
        </w:rPr>
        <w:t xml:space="preserve">” </w:t>
      </w:r>
      <w:r>
        <w:rPr>
          <w:rFonts w:ascii="Times New Roman PS Std;serif" w:hAnsi="Times New Roman PS Std;serif"/>
          <w:b w:val="false"/>
          <w:i w:val="false"/>
          <w:caps w:val="false"/>
          <w:smallCaps w:val="false"/>
          <w:sz w:val="20"/>
        </w:rPr>
        <w:t>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Data</w:t>
      </w:r>
      <w:r>
        <w:rPr>
          <w:caps w:val="false"/>
          <w:smallCaps w:val="false"/>
        </w:rPr>
        <w:t xml:space="preserve">” </w:t>
      </w:r>
      <w:r>
        <w:rPr>
          <w:rFonts w:ascii="Times New Roman PS Std;serif" w:hAnsi="Times New Roman PS Std;serif"/>
          <w:b w:val="false"/>
          <w:i w:val="false"/>
          <w:caps w:val="false"/>
          <w:smallCaps w:val="false"/>
          <w:sz w:val="20"/>
        </w:rPr>
        <w:t>shall mean any information, inputs, figures, facts, numbers, statistics, geographic and location information, AI Inputs, validation data, and test data, data collections, and databases, in any form, whether structured or unstructured.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Employee Benefit Plan</w:t>
      </w:r>
      <w:r>
        <w:rPr>
          <w:caps w:val="false"/>
          <w:smallCaps w:val="false"/>
        </w:rPr>
        <w:t xml:space="preserve">” </w:t>
      </w:r>
      <w:r>
        <w:rPr>
          <w:rFonts w:ascii="Times New Roman PS Std;serif" w:hAnsi="Times New Roman PS Std;serif"/>
          <w:b w:val="false"/>
          <w:i w:val="false"/>
          <w:caps w:val="false"/>
          <w:smallCaps w:val="false"/>
          <w:sz w:val="20"/>
        </w:rPr>
        <w:t>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any permit, certificate, registration, notice, approval, identification number, waiver, variance, exemption, license, clearance, or other authorization required under any applicable Environmental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Equity Interest</w:t>
      </w:r>
      <w:r>
        <w:rPr>
          <w:caps w:val="false"/>
          <w:smallCaps w:val="false"/>
        </w:rPr>
        <w:t xml:space="preserve">” </w:t>
      </w:r>
      <w:r>
        <w:rPr>
          <w:rFonts w:ascii="Times New Roman PS Std;serif" w:hAnsi="Times New Roman PS Std;serif"/>
          <w:b w:val="false"/>
          <w:i w:val="false"/>
          <w:caps w:val="false"/>
          <w:smallCaps w:val="false"/>
          <w:sz w:val="20"/>
        </w:rPr>
        <w:t>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Expenses</w:t>
      </w:r>
      <w:r>
        <w:rPr>
          <w:caps w:val="false"/>
          <w:smallCaps w:val="false"/>
        </w:rPr>
        <w:t xml:space="preserve">” </w:t>
      </w:r>
      <w:r>
        <w:rPr>
          <w:rFonts w:ascii="Times New Roman PS Std;serif" w:hAnsi="Times New Roman PS Std;serif"/>
          <w:b w:val="false"/>
          <w:i w:val="false"/>
          <w:caps w:val="false"/>
          <w:smallCaps w:val="false"/>
          <w:sz w:val="20"/>
        </w:rPr>
        <w:t>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First Lien Notes</w:t>
      </w:r>
      <w:r>
        <w:rPr>
          <w:caps w:val="false"/>
          <w:smallCaps w:val="false"/>
        </w:rPr>
        <w:t xml:space="preserve">” </w:t>
      </w:r>
      <w:r>
        <w:rPr>
          <w:rFonts w:ascii="Times New Roman PS Std;serif" w:hAnsi="Times New Roman PS Std;serif"/>
          <w:b w:val="false"/>
          <w:i w:val="false"/>
          <w:caps w:val="false"/>
          <w:smallCaps w:val="false"/>
          <w:sz w:val="20"/>
        </w:rPr>
        <w:t>means the Company’s First Lien Convertible Senior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Fraud</w:t>
      </w:r>
      <w:r>
        <w:rPr>
          <w:caps w:val="false"/>
          <w:smallCaps w:val="false"/>
        </w:rPr>
        <w:t xml:space="preserve">” </w:t>
      </w:r>
      <w:r>
        <w:rPr>
          <w:rFonts w:ascii="Times New Roman PS Std;serif" w:hAnsi="Times New Roman PS Std;serif"/>
          <w:b w:val="false"/>
          <w:i w:val="false"/>
          <w:caps w:val="false"/>
          <w:smallCaps w:val="false"/>
          <w:sz w:val="20"/>
        </w:rPr>
        <w:t>means actual fraud under Delaware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Common Number</w:t>
      </w:r>
      <w:r>
        <w:rPr>
          <w:caps w:val="false"/>
          <w:smallCaps w:val="false"/>
        </w:rPr>
        <w:t xml:space="preserve">” </w:t>
      </w:r>
      <w:r>
        <w:rPr>
          <w:rFonts w:ascii="Times New Roman PS Std;serif" w:hAnsi="Times New Roman PS Std;serif"/>
          <w:b w:val="false"/>
          <w:i w:val="false"/>
          <w:caps w:val="false"/>
          <w:smallCaps w:val="false"/>
          <w:sz w:val="20"/>
        </w:rPr>
        <w:t xml:space="preserve">means, without duplication, the sum of (a) the total number of shares of Company Common Stock that are issued and outstanding immediately prior to the First Effective Time (excluding Company Cancelled Shares), </w:t>
      </w:r>
      <w:r>
        <w:rPr>
          <w:rFonts w:ascii="Times New Roman PS Std;serif" w:hAnsi="Times New Roman PS Std;serif"/>
          <w:b w:val="false"/>
          <w:i/>
          <w:sz w:val="20"/>
          <w:u w:val="single"/>
        </w:rPr>
        <w:t>plus</w:t>
      </w:r>
      <w:r>
        <w:rPr>
          <w:caps w:val="false"/>
          <w:smallCaps w:val="false"/>
        </w:rPr>
        <w:t xml:space="preserve"> </w:t>
      </w:r>
      <w:r>
        <w:rPr>
          <w:rFonts w:ascii="Times New Roman PS Std;serif" w:hAnsi="Times New Roman PS Std;serif"/>
          <w:b w:val="false"/>
          <w:i w:val="false"/>
          <w:caps w:val="false"/>
          <w:smallCaps w:val="false"/>
          <w:sz w:val="20"/>
        </w:rPr>
        <w:t xml:space="preserve">(b)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TASE Common Number</w:t>
      </w:r>
      <w:r>
        <w:rPr>
          <w:caps w:val="false"/>
          <w:smallCaps w:val="false"/>
        </w:rPr>
        <w:t xml:space="preserve">” </w:t>
      </w:r>
      <w:r>
        <w:rPr>
          <w:rFonts w:ascii="Times New Roman PS Std;serif" w:hAnsi="Times New Roman PS Std;serif"/>
          <w:b w:val="false"/>
          <w:i w:val="false"/>
          <w:caps w:val="false"/>
          <w:smallCaps w:val="false"/>
          <w:sz w:val="20"/>
        </w:rPr>
        <w:t>means, without duplication, the total number of TASE Shares that are issued and outstanding immediately prior to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as applied in the United States.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In-the-Money Company Option</w:t>
      </w:r>
      <w:r>
        <w:rPr>
          <w:caps w:val="false"/>
          <w:smallCaps w:val="false"/>
        </w:rPr>
        <w:t xml:space="preserve">” </w:t>
      </w:r>
      <w:r>
        <w:rPr>
          <w:rFonts w:ascii="Times New Roman PS Std;serif" w:hAnsi="Times New Roman PS Std;serif"/>
          <w:b w:val="false"/>
          <w:i w:val="false"/>
          <w:caps w:val="false"/>
          <w:smallCaps w:val="false"/>
          <w:sz w:val="20"/>
        </w:rPr>
        <w:t>means each Company Option that is not an Out-of-the-Money Company Option.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(f) other proprietary rights arising from or related to AI Technologies, and (g) all applications and registrations for the foregoing.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ISA</w:t>
      </w:r>
      <w:r>
        <w:rPr>
          <w:caps w:val="false"/>
          <w:smallCaps w:val="false"/>
        </w:rPr>
        <w:t xml:space="preserve">” </w:t>
      </w:r>
      <w:r>
        <w:rPr>
          <w:rFonts w:ascii="Times New Roman PS Std;serif" w:hAnsi="Times New Roman PS Std;serif"/>
          <w:b w:val="false"/>
          <w:i w:val="false"/>
          <w:caps w:val="false"/>
          <w:smallCaps w:val="false"/>
          <w:sz w:val="20"/>
        </w:rPr>
        <w:t>means the Israel Securities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Israeli Securities Laws</w:t>
      </w:r>
      <w:r>
        <w:rPr>
          <w:caps w:val="false"/>
          <w:smallCaps w:val="false"/>
        </w:rPr>
        <w:t xml:space="preserve">” </w:t>
      </w:r>
      <w:r>
        <w:rPr>
          <w:rFonts w:ascii="Times New Roman PS Std;serif" w:hAnsi="Times New Roman PS Std;serif"/>
          <w:b w:val="false"/>
          <w:i w:val="false"/>
          <w:caps w:val="false"/>
          <w:smallCaps w:val="false"/>
          <w:sz w:val="20"/>
        </w:rPr>
        <w:t>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ITA</w:t>
      </w:r>
      <w:r>
        <w:rPr>
          <w:caps w:val="false"/>
          <w:smallCaps w:val="false"/>
        </w:rPr>
        <w:t xml:space="preserve">” </w:t>
      </w:r>
      <w:r>
        <w:rPr>
          <w:rFonts w:ascii="Times New Roman PS Std;serif" w:hAnsi="Times New Roman PS Std;serif"/>
          <w:b w:val="false"/>
          <w:i w:val="false"/>
          <w:caps w:val="false"/>
          <w:smallCaps w:val="false"/>
          <w:sz w:val="20"/>
        </w:rPr>
        <w:t>means the Israel Tax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 xml:space="preserve">means the actual knowledge (after inquiry of direct reports) of the individuals listed in </w:t>
      </w:r>
      <w:r>
        <w:rPr>
          <w:rFonts w:ascii="Times New Roman PS Std;serif" w:hAnsi="Times New Roman PS Std;serif"/>
          <w:b w:val="false"/>
          <w:i w:val="false"/>
          <w:caps w:val="false"/>
          <w:smallCaps w:val="false"/>
          <w:sz w:val="20"/>
          <w:u w:val="single"/>
        </w:rPr>
        <w:t>Section 9.4(a)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Multiemployer Plan</w:t>
      </w:r>
      <w:r>
        <w:rPr>
          <w:caps w:val="false"/>
          <w:smallCaps w:val="false"/>
        </w:rPr>
        <w:t xml:space="preserve">” </w:t>
      </w:r>
      <w:r>
        <w:rPr>
          <w:rFonts w:ascii="Times New Roman PS Std;serif" w:hAnsi="Times New Roman PS Std;serif"/>
          <w:b w:val="false"/>
          <w:i w:val="false"/>
          <w:caps w:val="false"/>
          <w:smallCaps w:val="false"/>
          <w:sz w:val="20"/>
        </w:rPr>
        <w:t>means a “multiemployer plan” (as defined in or within the meaning of Section 3(37) of ERISA) or any plan that has two or more contributing sponsors at least two of whom are not under common control within the meaning of Section 4063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Stock Market LLC.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Net Share</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 Company Option, the quotient obtained by dividing (a) the product of (i) the excess of the Per Share Cash Equivalent Consideration over the per share exercise price of such Company Option, </w:t>
      </w:r>
      <w:r>
        <w:rPr>
          <w:rFonts w:ascii="Times New Roman PS Std;serif" w:hAnsi="Times New Roman PS Std;serif"/>
          <w:b w:val="false"/>
          <w:i/>
          <w:sz w:val="20"/>
        </w:rPr>
        <w:t>multiplied</w:t>
      </w:r>
      <w:r>
        <w:rPr>
          <w:caps w:val="false"/>
          <w:smallCaps w:val="false"/>
        </w:rPr>
        <w:t xml:space="preserv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 xml:space="preserve">(ii) the number of shares of Company Common Stock subject to such Company Option immediately prior to the First Effective Time,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(b) the Per Share Cash Equivalent Consideration.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Open Source Material</w:t>
      </w:r>
      <w:r>
        <w:rPr>
          <w:caps w:val="false"/>
          <w:smallCaps w:val="false"/>
        </w:rPr>
        <w:t xml:space="preserve">” </w:t>
      </w:r>
      <w:r>
        <w:rPr>
          <w:rFonts w:ascii="Times New Roman PS Std;serif" w:hAnsi="Times New Roman PS Std;serif"/>
          <w:b w:val="false"/>
          <w:i w:val="false"/>
          <w:caps w:val="false"/>
          <w:smallCaps w:val="false"/>
          <w:sz w:val="20"/>
        </w:rPr>
        <w:t>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judgment, order, executive order, stay, consent decree, determination, ruling, assessment, stipulation, decision, writ, injunction, decree or arbitration award in each case, enacted, adopted, promulgated, imposed, applied, or entered by or with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Ordinance</w:t>
      </w:r>
      <w:r>
        <w:rPr>
          <w:caps w:val="false"/>
          <w:smallCaps w:val="false"/>
        </w:rPr>
        <w:t xml:space="preserve">” </w:t>
      </w:r>
      <w:r>
        <w:rPr>
          <w:rFonts w:ascii="Times New Roman PS Std;serif" w:hAnsi="Times New Roman PS Std;serif"/>
          <w:b w:val="false"/>
          <w:i w:val="false"/>
          <w:caps w:val="false"/>
          <w:smallCaps w:val="false"/>
          <w:sz w:val="20"/>
        </w:rPr>
        <w:t>means the Israeli Income Tax Ordinance (New Version), 1961, as amended, and all rules and regulations promulgated thereunder, as may be amended from time to time, including, any publications and clarifications issued by the ITA.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Other Filings</w:t>
      </w:r>
      <w:r>
        <w:rPr>
          <w:caps w:val="false"/>
          <w:smallCaps w:val="false"/>
        </w:rPr>
        <w:t xml:space="preserve">” </w:t>
      </w:r>
      <w:r>
        <w:rPr>
          <w:rFonts w:ascii="Times New Roman PS Std;serif" w:hAnsi="Times New Roman PS Std;serif"/>
          <w:b w:val="false"/>
          <w:i w:val="false"/>
          <w:caps w:val="false"/>
          <w:smallCaps w:val="false"/>
          <w:sz w:val="20"/>
        </w:rPr>
        <w:t>means all filings made by, or required to be made by, the Company or Parent with the SEC in connection with the transactions contemplated by this Agreement, other than the Proxy Statement/Prospectus and Registration Statement.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Out-of-the-Money Company Option</w:t>
      </w:r>
      <w:r>
        <w:rPr>
          <w:caps w:val="false"/>
          <w:smallCaps w:val="false"/>
        </w:rPr>
        <w:t xml:space="preserve">” </w:t>
      </w:r>
      <w:r>
        <w:rPr>
          <w:rFonts w:ascii="Times New Roman PS Std;serif" w:hAnsi="Times New Roman PS Std;serif"/>
          <w:b w:val="false"/>
          <w:i w:val="false"/>
          <w:caps w:val="false"/>
          <w:smallCaps w:val="false"/>
          <w:sz w:val="20"/>
        </w:rPr>
        <w:t>means any Company Option having a per-share exercise price equal to or in excess of the Per Share Cash Equivalent Consideration (calculated for this purpose as if all Company Options were included in the definition of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Parent or any of the Parent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Stock Price</w:t>
      </w:r>
      <w:r>
        <w:rPr>
          <w:caps w:val="false"/>
          <w:smallCaps w:val="false"/>
        </w:rPr>
        <w:t xml:space="preserve">” </w:t>
      </w:r>
      <w:r>
        <w:rPr>
          <w:rFonts w:ascii="Times New Roman PS Std;serif" w:hAnsi="Times New Roman PS Std;serif"/>
          <w:b w:val="false"/>
          <w:i w:val="false"/>
          <w:caps w:val="false"/>
          <w:smallCaps w:val="false"/>
          <w:sz w:val="20"/>
        </w:rPr>
        <w:t xml:space="preserve">means the Parent Closing VWAP Stock Price;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event such price per share (a) exceeds $12 per share, “Parent Closing Stock Price” means $12 per share or (b) falls below $7 per share, “Parent Closing Stock Price” means $7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VWAP Stock Price</w:t>
      </w:r>
      <w:r>
        <w:rPr>
          <w:caps w:val="false"/>
          <w:smallCaps w:val="false"/>
        </w:rPr>
        <w:t xml:space="preserve">” </w:t>
      </w:r>
      <w:r>
        <w:rPr>
          <w:rFonts w:ascii="Times New Roman PS Std;serif" w:hAnsi="Times New Roman PS Std;serif"/>
          <w:b w:val="false"/>
          <w:i w:val="false"/>
          <w:caps w:val="false"/>
          <w:smallCaps w:val="false"/>
          <w:sz w:val="20"/>
        </w:rPr>
        <w:t>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Class A Common Stock of Parent, par value $0.0001 per share.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Expense Cap</w:t>
      </w:r>
      <w:r>
        <w:rPr>
          <w:caps w:val="false"/>
          <w:smallCaps w:val="false"/>
        </w:rPr>
        <w:t xml:space="preserve">” </w:t>
      </w:r>
      <w:r>
        <w:rPr>
          <w:rFonts w:ascii="Times New Roman PS Std;serif" w:hAnsi="Times New Roman PS Std;serif"/>
          <w:b w:val="false"/>
          <w:i w:val="false"/>
          <w:caps w:val="false"/>
          <w:smallCaps w:val="false"/>
          <w:sz w:val="20"/>
        </w:rPr>
        <w:t>means an amount equal to $3,750,000.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Parent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Representatives</w:t>
      </w:r>
      <w:r>
        <w:rPr>
          <w:caps w:val="false"/>
          <w:smallCaps w:val="false"/>
        </w:rPr>
        <w:t xml:space="preserve">” </w:t>
      </w:r>
      <w:r>
        <w:rPr>
          <w:rFonts w:ascii="Times New Roman PS Std;serif" w:hAnsi="Times New Roman PS Std;serif"/>
          <w:b w:val="false"/>
          <w:i w:val="false"/>
          <w:caps w:val="false"/>
          <w:smallCaps w:val="false"/>
          <w:sz w:val="20"/>
        </w:rPr>
        <w:t>means Parent’s and the Parent Subsidiaries’ respective directors, officers, employees, accountants, consultants, legal counsel, investment bankers, advisors, agents and other representatives acting for or on behalf of Parent or any Parent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Share Issuance</w:t>
      </w:r>
      <w:r>
        <w:rPr>
          <w:caps w:val="false"/>
          <w:smallCaps w:val="false"/>
        </w:rPr>
        <w:t xml:space="preserve">” </w:t>
      </w:r>
      <w:r>
        <w:rPr>
          <w:rFonts w:ascii="Times New Roman PS Std;serif" w:hAnsi="Times New Roman PS Std;serif"/>
          <w:b w:val="false"/>
          <w:i w:val="false"/>
          <w:caps w:val="false"/>
          <w:smallCaps w:val="false"/>
          <w:sz w:val="20"/>
        </w:rPr>
        <w:t>means the issuance of shares of Parent Common Stock to the stockholders of the Company pursuant to and in accordance with the terms of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Equivalent Consideration</w:t>
      </w:r>
      <w:r>
        <w:rPr>
          <w:caps w:val="false"/>
          <w:smallCaps w:val="false"/>
        </w:rPr>
        <w:t xml:space="preserve">” </w:t>
      </w:r>
      <w:r>
        <w:rPr>
          <w:rFonts w:ascii="Times New Roman PS Std;serif" w:hAnsi="Times New Roman PS Std;serif"/>
          <w:b w:val="false"/>
          <w:i w:val="false"/>
          <w:caps w:val="false"/>
          <w:smallCaps w:val="false"/>
          <w:sz w:val="20"/>
        </w:rPr>
        <w:t>means the product (rounded to the nearest cent) obtained by multiplying (a) the Per Share Merger Consideration by (b)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Closing TASE Cash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TASE Common Number.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subject to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the number of fully paid and nonassessable shares of Parent Common Stock equal to (a) the Closing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Permitted Liens</w:t>
      </w:r>
      <w:r>
        <w:rPr>
          <w:caps w:val="false"/>
          <w:smallCaps w:val="false"/>
        </w:rPr>
        <w:t xml:space="preserve">” </w:t>
      </w:r>
      <w:r>
        <w:rPr>
          <w:rFonts w:ascii="Times New Roman PS Std;serif" w:hAnsi="Times New Roman PS Std;serif"/>
          <w:b w:val="false"/>
          <w:i w:val="false"/>
          <w:caps w:val="false"/>
          <w:smallCaps w:val="false"/>
          <w:sz w:val="20"/>
        </w:rPr>
        <w:t>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limited liability company, partnership, association, trust, unincorporated organization, other entity or group (as defined in Section 13(d) of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Prime Rate</w:t>
      </w:r>
      <w:r>
        <w:rPr>
          <w:caps w:val="false"/>
          <w:smallCaps w:val="false"/>
        </w:rPr>
        <w:t xml:space="preserve">” </w:t>
      </w:r>
      <w:r>
        <w:rPr>
          <w:rFonts w:ascii="Times New Roman PS Std;serif" w:hAnsi="Times New Roman PS Std;serif"/>
          <w:b w:val="false"/>
          <w:i w:val="false"/>
          <w:caps w:val="false"/>
          <w:smallCaps w:val="false"/>
          <w:sz w:val="20"/>
        </w:rPr>
        <w:t xml:space="preserve">means the rate per annum published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from time to time as the prime lending rate prevailing during any relevant period.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Privacy and Security Laws</w:t>
      </w:r>
      <w:r>
        <w:rPr>
          <w:caps w:val="false"/>
          <w:smallCaps w:val="false"/>
        </w:rPr>
        <w:t xml:space="preserve">” </w:t>
      </w:r>
      <w:r>
        <w:rPr>
          <w:rFonts w:ascii="Times New Roman PS Std;serif" w:hAnsi="Times New Roman PS Std;serif"/>
          <w:b w:val="false"/>
          <w:i w:val="false"/>
          <w:caps w:val="false"/>
          <w:smallCaps w:val="false"/>
          <w:sz w:val="20"/>
        </w:rPr>
        <w:t>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Processing</w:t>
      </w:r>
      <w:r>
        <w:rPr>
          <w:caps w:val="false"/>
          <w:smallCaps w:val="false"/>
        </w:rPr>
        <w:t xml:space="preserve">” </w:t>
      </w:r>
      <w:r>
        <w:rPr>
          <w:rFonts w:ascii="Times New Roman PS Std;serif" w:hAnsi="Times New Roman PS Std;serif"/>
          <w:b w:val="false"/>
          <w:i w:val="false"/>
          <w:caps w:val="false"/>
          <w:smallCaps w:val="false"/>
          <w:sz w:val="20"/>
        </w:rPr>
        <w:t>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Regulatory Laws</w:t>
      </w:r>
      <w:r>
        <w:rPr>
          <w:caps w:val="false"/>
          <w:smallCaps w:val="false"/>
        </w:rPr>
        <w:t xml:space="preserve">” </w:t>
      </w:r>
      <w:r>
        <w:rPr>
          <w:rFonts w:ascii="Times New Roman PS Std;serif" w:hAnsi="Times New Roman PS Std;serif"/>
          <w:b w:val="false"/>
          <w:i w:val="false"/>
          <w:caps w:val="false"/>
          <w:smallCaps w:val="false"/>
          <w:sz w:val="20"/>
        </w:rPr>
        <w:t>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any release, spill, emission, leaking, pumping, pouring, injection, escaping, deposit, disposal, discharge, dispersal, dumping, or leaching of any Hazardous Substance into the environment.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Person</w:t>
      </w:r>
      <w:r>
        <w:rPr>
          <w:caps w:val="false"/>
          <w:smallCaps w:val="false"/>
        </w:rPr>
        <w:t xml:space="preserve">” </w:t>
      </w:r>
      <w:r>
        <w:rPr>
          <w:rFonts w:ascii="Times New Roman PS Std;serif" w:hAnsi="Times New Roman PS Std;serif"/>
          <w:b w:val="false"/>
          <w:i w:val="false"/>
          <w:caps w:val="false"/>
          <w:smallCaps w:val="false"/>
          <w:sz w:val="20"/>
        </w:rPr>
        <w:t>means (a) any Person listed on any sanctions-related list of designated Persons, maintained by the Office of Foreign Assets Control of the U.S. Department of the Treasury’s (“</w:t>
      </w:r>
      <w:r>
        <w:rPr>
          <w:rFonts w:ascii="Times New Roman PS Std;serif" w:hAnsi="Times New Roman PS Std;serif"/>
          <w:b w:val="false"/>
          <w:i w:val="false"/>
          <w:caps w:val="false"/>
          <w:smallCaps w:val="false"/>
          <w:sz w:val="20"/>
          <w:u w:val="single"/>
        </w:rPr>
        <w:t>OFAC</w:t>
      </w:r>
      <w:r>
        <w:rPr>
          <w:caps w:val="false"/>
          <w:smallCaps w:val="false"/>
        </w:rPr>
        <w:t>”</w:t>
      </w:r>
      <w:r>
        <w:rPr>
          <w:rFonts w:ascii="Times New Roman PS Std;serif" w:hAnsi="Times New Roman PS Std;serif"/>
          <w:b w:val="false"/>
          <w:i w:val="false"/>
          <w:caps w:val="false"/>
          <w:smallCaps w:val="false"/>
          <w:sz w:val="20"/>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Sanctions</w:t>
      </w:r>
      <w:r>
        <w:rPr>
          <w:caps w:val="false"/>
          <w:smallCaps w:val="false"/>
        </w:rPr>
        <w:t xml:space="preserve">” </w:t>
      </w:r>
      <w:r>
        <w:rPr>
          <w:rFonts w:ascii="Times New Roman PS Std;serif" w:hAnsi="Times New Roman PS Std;serif"/>
          <w:b w:val="false"/>
          <w:i w:val="false"/>
          <w:caps w:val="false"/>
          <w:smallCaps w:val="false"/>
          <w:sz w:val="20"/>
        </w:rPr>
        <w:t>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Scraped Dataset</w:t>
      </w:r>
      <w:r>
        <w:rPr>
          <w:caps w:val="false"/>
          <w:smallCaps w:val="false"/>
        </w:rPr>
        <w:t xml:space="preserve">” </w:t>
      </w:r>
      <w:r>
        <w:rPr>
          <w:rFonts w:ascii="Times New Roman PS Std;serif" w:hAnsi="Times New Roman PS Std;serif"/>
          <w:b w:val="false"/>
          <w:i w:val="false"/>
          <w:caps w:val="false"/>
          <w:smallCaps w:val="false"/>
          <w:sz w:val="20"/>
        </w:rPr>
        <w:t>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United States Securities and Exchange Commission.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Second Lien Notes</w:t>
      </w:r>
      <w:r>
        <w:rPr>
          <w:caps w:val="false"/>
          <w:smallCaps w:val="false"/>
        </w:rPr>
        <w:t xml:space="preserve">” </w:t>
      </w:r>
      <w:r>
        <w:rPr>
          <w:rFonts w:ascii="Times New Roman PS Std;serif" w:hAnsi="Times New Roman PS Std;serif"/>
          <w:b w:val="false"/>
          <w:i w:val="false"/>
          <w:caps w:val="false"/>
          <w:smallCaps w:val="false"/>
          <w:sz w:val="20"/>
        </w:rPr>
        <w:t>means the Company’s Second Lien Senior Subordinated Secured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means Section 102 of the Ordinance and the regulations and rules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 Trustee</w:t>
      </w:r>
      <w:r>
        <w:rPr>
          <w:caps w:val="false"/>
          <w:smallCaps w:val="false"/>
        </w:rPr>
        <w:t xml:space="preserve">” </w:t>
      </w:r>
      <w:r>
        <w:rPr>
          <w:rFonts w:ascii="Times New Roman PS Std;serif" w:hAnsi="Times New Roman PS Std;serif"/>
          <w:b w:val="false"/>
          <w:i w:val="false"/>
          <w:caps w:val="false"/>
          <w:smallCaps w:val="false"/>
          <w:sz w:val="20"/>
        </w:rPr>
        <w:t>means, ESOP Management and Trust Services Ltd., the trustee appointed by the Company in accordance with the provisions of Section 102(b) of the Ordinance and the rules and regulations promulgated in connection therewith,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Secured Notes</w:t>
      </w:r>
      <w:r>
        <w:rPr>
          <w:caps w:val="false"/>
          <w:smallCaps w:val="false"/>
        </w:rPr>
        <w:t xml:space="preserve">” </w:t>
      </w:r>
      <w:r>
        <w:rPr>
          <w:rFonts w:ascii="Times New Roman PS Std;serif" w:hAnsi="Times New Roman PS Std;serif"/>
          <w:b w:val="false"/>
          <w:i w:val="false"/>
          <w:caps w:val="false"/>
          <w:smallCaps w:val="false"/>
          <w:sz w:val="20"/>
        </w:rPr>
        <w:t>means, collectively, the First Lien Notes and the Second Lien Notes.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 xml:space="preserve">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TASECH</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Clearing House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 Share</w:t>
      </w:r>
      <w:r>
        <w:rPr>
          <w:caps w:val="false"/>
          <w:smallCaps w:val="false"/>
        </w:rPr>
        <w:t xml:space="preserve">” </w:t>
      </w:r>
      <w:r>
        <w:rPr>
          <w:rFonts w:ascii="Times New Roman PS Std;serif" w:hAnsi="Times New Roman PS Std;serif"/>
          <w:b w:val="false"/>
          <w:i w:val="false"/>
          <w:caps w:val="false"/>
          <w:smallCaps w:val="false"/>
          <w:sz w:val="20"/>
        </w:rPr>
        <w:t>means, as of any time of determination, each share of Company Common Stock issued and outstanding that is held through the TASECH.</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Benefits Preservation Plan</w:t>
      </w:r>
      <w:r>
        <w:rPr>
          <w:caps w:val="false"/>
          <w:smallCaps w:val="false"/>
        </w:rPr>
        <w:t xml:space="preserve">” </w:t>
      </w:r>
      <w:r>
        <w:rPr>
          <w:rFonts w:ascii="Times New Roman PS Std;serif" w:hAnsi="Times New Roman PS Std;serif"/>
          <w:b w:val="false"/>
          <w:i w:val="false"/>
          <w:caps w:val="false"/>
          <w:smallCaps w:val="false"/>
          <w:sz w:val="20"/>
        </w:rPr>
        <w:t>means that certain Tax Benefits Preservation Plan, dated as of January 22, 2024, by and between the Company and Equiniti Trust Company, LLC, as Rights Agent, as amended by that certain Amendment No. 1 to the Tax Benefits Preservation Plan, dated as of February 16, 2024.</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Taxes</w:t>
      </w:r>
      <w:r>
        <w:rPr>
          <w:caps w:val="false"/>
          <w:smallCaps w:val="false"/>
        </w:rPr>
        <w:t xml:space="preserve">” </w:t>
      </w:r>
      <w:r>
        <w:rPr>
          <w:rFonts w:ascii="Times New Roman PS Std;serif" w:hAnsi="Times New Roman PS Std;serif"/>
          <w:b w:val="false"/>
          <w:i w:val="false"/>
          <w:caps w:val="false"/>
          <w:smallCaps w:val="false"/>
          <w:sz w:val="20"/>
        </w:rPr>
        <w:t>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Trade Compliance Laws</w:t>
      </w:r>
      <w:r>
        <w:rPr>
          <w:caps w:val="false"/>
          <w:smallCaps w:val="false"/>
        </w:rPr>
        <w:t xml:space="preserve">” </w:t>
      </w:r>
      <w:r>
        <w:rPr>
          <w:rFonts w:ascii="Times New Roman PS Std;serif" w:hAnsi="Times New Roman PS Std;serif"/>
          <w:b w:val="false"/>
          <w:i w:val="false"/>
          <w:caps w:val="false"/>
          <w:smallCaps w:val="false"/>
          <w:sz w:val="20"/>
        </w:rPr>
        <w:t>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shall mean a day on which shares of Parent Common Stock are traded on the Nasdaq.</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Training Data</w:t>
      </w:r>
      <w:r>
        <w:rPr>
          <w:caps w:val="false"/>
          <w:smallCaps w:val="false"/>
        </w:rPr>
        <w:t xml:space="preserve">” </w:t>
      </w:r>
      <w:r>
        <w:rPr>
          <w:rFonts w:ascii="Times New Roman PS Std;serif" w:hAnsi="Times New Roman PS Std;serif"/>
          <w:b w:val="false"/>
          <w:i w:val="false"/>
          <w:caps w:val="false"/>
          <w:smallCaps w:val="false"/>
          <w:sz w:val="20"/>
        </w:rPr>
        <w:t>shall mean any data used to develop, train, refine, fine tune, test or improve the Company’s AI Technologies, including Data contained in or obtained from Scraped Datasets.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the United States Treasury Regulations promulgated under the Code.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Union</w:t>
      </w:r>
      <w:r>
        <w:rPr>
          <w:caps w:val="false"/>
          <w:smallCaps w:val="false"/>
        </w:rPr>
        <w:t xml:space="preserve">” </w:t>
      </w:r>
      <w:r>
        <w:rPr>
          <w:rFonts w:ascii="Times New Roman PS Std;serif" w:hAnsi="Times New Roman PS Std;serif"/>
          <w:b w:val="false"/>
          <w:i w:val="false"/>
          <w:caps w:val="false"/>
          <w:smallCaps w:val="false"/>
          <w:sz w:val="20"/>
        </w:rPr>
        <w:t>means any union, labor organization, works council, employee association or other bargaining unit representative.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Willful and Material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a representation, warranty or covenant that is the consequence of a deliberate act or omission of the breaching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9.5         </w:t>
      </w:r>
      <w:r>
        <w:rPr>
          <w:rFonts w:ascii="Times New Roman PS Std;serif" w:hAnsi="Times New Roman PS Std;serif"/>
          <w:b w:val="false"/>
          <w:i w:val="false"/>
          <w:caps w:val="false"/>
          <w:smallCaps w:val="false"/>
          <w:sz w:val="20"/>
          <w:u w:val="single"/>
        </w:rPr>
        <w:t>Terms Defined Elsewhere</w:t>
      </w:r>
      <w:r>
        <w:rPr>
          <w:rFonts w:ascii="Times New Roman PS Std;serif" w:hAnsi="Times New Roman PS Std;serif"/>
          <w:b w:val="false"/>
          <w:i w:val="false"/>
          <w:caps w:val="false"/>
          <w:smallCaps w:val="false"/>
          <w:sz w:val="20"/>
        </w:rPr>
        <w:t>. The following terms are defined elsewhere in this Agreement, as indicated below:</w:t>
      </w:r>
    </w:p>
    <w:tbl>
      <w:tblPr>
        <w:tblW w:w="6557" w:type="dxa"/>
        <w:jc w:val="left"/>
        <w:tblInd w:w="0" w:type="dxa"/>
        <w:tblLayout w:type="fixed"/>
        <w:tblCellMar>
          <w:top w:w="0" w:type="dxa"/>
          <w:left w:w="0" w:type="dxa"/>
          <w:bottom w:w="0" w:type="dxa"/>
          <w:right w:w="0" w:type="dxa"/>
        </w:tblCellMar>
      </w:tblPr>
      <w:tblGrid>
        <w:gridCol w:w="4726"/>
        <w:gridCol w:w="1831"/>
      </w:tblGrid>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Agreemen</w:t>
            </w:r>
            <w:r>
              <w:rPr>
                <w:rFonts w:ascii="Times New Roman PS Std;serif" w:hAnsi="Times New Roman PS Std;serif"/>
                <w:b w:val="false"/>
                <w:i w:val="false"/>
                <w:caps w:val="false"/>
                <w:smallCaps w:val="false"/>
                <w:sz w:val="20"/>
              </w:rPr>
              <w:t>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Option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RSU Award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Clean Team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COBRA</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3.9(d)</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401(k)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AI Products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Book-Entry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Bylaws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Cancelled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Capitalization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Certificated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Charter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Common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Disclosure Schedule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Fairness Opinion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ISA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IT Assets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3.15(j)</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Leased Real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Notice Period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6.3(e)(i)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Permits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Preferred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Real Property Leases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Registered Intellectual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Related Party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Stockholders Meeting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Transaction Litigation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Continuing Service Provider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Covered Persons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6.9(a)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Current ESPP Offering Periods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3571"/>
        <w:gridCol w:w="1831"/>
      </w:tblGrid>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Data Partners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DGCL</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Dissenting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Enforceability Limitations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Extended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Surviving Corporation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Houlihan Lokey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Initial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Integration Planning Activities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6.14(a)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Intended Tax Treatment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2.10</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Intermediate Sub</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Israeli Employees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 Merger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2.1(a)(v)</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New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Non-U.S. Company Benefit Plan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OFAC</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Old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Original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4.5(c)</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Parties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Privacy Requirements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Proxy Statement/Prospectus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Section 14 Arrangement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42" w:type="dxa"/>
        <w:jc w:val="left"/>
        <w:tblInd w:w="0" w:type="dxa"/>
        <w:tblLayout w:type="fixed"/>
        <w:tblCellMar>
          <w:top w:w="0" w:type="dxa"/>
          <w:left w:w="0" w:type="dxa"/>
          <w:bottom w:w="0" w:type="dxa"/>
          <w:right w:w="0" w:type="dxa"/>
        </w:tblCellMar>
      </w:tblPr>
      <w:tblGrid>
        <w:gridCol w:w="4066"/>
        <w:gridCol w:w="1576"/>
      </w:tblGrid>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Surviving Corporation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3.23</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Tax Benefits Preservation Plan Waiver</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3.3(b)</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Terminated Company 401(k) Plan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Trade Secrets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WARN Act</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3.10(f)</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9.6         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headings contained in this Agreement are for reference purposes only and shall not affect in any way the meaning or interpretation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9.8         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9.9         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9.10       </w:t>
      </w:r>
      <w:r>
        <w:rPr>
          <w:rFonts w:ascii="Times New Roman PS Std;serif" w:hAnsi="Times New Roman PS Std;serif"/>
          <w:b w:val="false"/>
          <w:i w:val="false"/>
          <w:caps w:val="false"/>
          <w:smallCaps w:val="false"/>
          <w:sz w:val="20"/>
          <w:u w:val="single"/>
        </w:rPr>
        <w:t>No Third Party Beneficiaries</w:t>
      </w:r>
      <w:r>
        <w:rPr>
          <w:rFonts w:ascii="Times New Roman PS Std;serif" w:hAnsi="Times New Roman PS Std;serif"/>
          <w:b w:val="false"/>
          <w:i w:val="false"/>
          <w:caps w:val="false"/>
          <w:smallCaps w:val="false"/>
          <w:sz w:val="20"/>
        </w:rPr>
        <w:t xml:space="preserve">. This Agreement shall be binding upon and inure solely to the benefit of the parties and their respective successors and assigns, and, subject to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9.11       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xml:space="preserve">.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9.12       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Nothing in this Agreement shall affect the right of any party to this Agreement to serve process in any other manner permitted by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9.12(c)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9.13       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xml:space="preserve">.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9.14       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PS Std;serif" w:hAnsi="Times New Roman PS Std;serif"/>
          <w:b w:val="false"/>
          <w:i w:val="false"/>
          <w:caps w:val="false"/>
          <w:smallCaps w:val="false"/>
          <w:sz w:val="20"/>
          <w:u w:val="single"/>
        </w:rPr>
        <w:t>Section 9.14</w:t>
      </w:r>
      <w:r>
        <w:rPr>
          <w:rFonts w:ascii="Times New Roman PS Std;serif" w:hAnsi="Times New Roman PS Std;serif"/>
          <w:b w:val="false"/>
          <w:i w:val="false"/>
          <w:caps w:val="false"/>
          <w:smallCaps w:val="false"/>
          <w:sz w:val="20"/>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PS Std;serif" w:hAnsi="Times New Roman PS Std;serif"/>
          <w:b w:val="false"/>
          <w:i w:val="false"/>
          <w:caps w:val="false"/>
          <w:smallCaps w:val="false"/>
          <w:sz w:val="20"/>
          <w:u w:val="single"/>
        </w:rPr>
        <w:t>Section 9.12</w:t>
      </w:r>
      <w:r>
        <w:rPr>
          <w:rFonts w:ascii="Times New Roman PS Std;serif" w:hAnsi="Times New Roman PS Std;serif"/>
          <w:b w:val="false"/>
          <w:i w:val="false"/>
          <w:caps w:val="false"/>
          <w:smallCaps w:val="false"/>
          <w:sz w:val="20"/>
        </w:rPr>
        <w:t>, this being in addition to any other remedy to which they are entitled at Law or in equity.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9.15       </w:t>
      </w:r>
      <w:r>
        <w:rPr>
          <w:rFonts w:ascii="Times New Roman PS Std;serif" w:hAnsi="Times New Roman PS Std;serif"/>
          <w:b w:val="false"/>
          <w:i w:val="false"/>
          <w:caps w:val="false"/>
          <w:smallCaps w:val="false"/>
          <w:sz w:val="20"/>
          <w:u w:val="single"/>
        </w:rPr>
        <w:t>Modification or Amendment</w:t>
      </w:r>
      <w:r>
        <w:rPr>
          <w:rFonts w:ascii="Times New Roman PS Std;serif" w:hAnsi="Times New Roman PS Std;serif"/>
          <w:b w:val="false"/>
          <w:i w:val="false"/>
          <w:caps w:val="false"/>
          <w:smallCaps w:val="false"/>
          <w:sz w:val="20"/>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9.16       </w:t>
      </w:r>
      <w:r>
        <w:rPr>
          <w:rFonts w:ascii="Times New Roman PS Std;serif" w:hAnsi="Times New Roman PS Std;serif"/>
          <w:b w:val="false"/>
          <w:i w:val="false"/>
          <w:caps w:val="false"/>
          <w:smallCaps w:val="false"/>
          <w:sz w:val="20"/>
          <w:u w:val="single"/>
        </w:rPr>
        <w:t>Extension; Waiver</w:t>
      </w:r>
      <w:r>
        <w:rPr>
          <w:rFonts w:ascii="Times New Roman PS Std;serif" w:hAnsi="Times New Roman PS Std;serif"/>
          <w:b w:val="false"/>
          <w:i w:val="false"/>
          <w:caps w:val="false"/>
          <w:smallCaps w:val="false"/>
          <w:sz w:val="20"/>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IN WITNESS WHEREOF, the Parent Parties and the Company have caused this Agreement to be executed as of the date first written above by their respective officers</w:t>
      </w:r>
      <w:r>
        <w:rPr>
          <w:caps w:val="false"/>
          <w:smallCaps w:val="false"/>
        </w:rPr>
        <w:t xml:space="preserve"> </w:t>
      </w:r>
      <w:r>
        <w:rPr>
          <w:rFonts w:ascii="Times New Roman PS Std;serif" w:hAnsi="Times New Roman PS Std;serif"/>
          <w:b w:val="false"/>
          <w:i w:val="false"/>
          <w:caps w:val="false"/>
          <w:smallCaps w:val="false"/>
          <w:sz w:val="20"/>
        </w:rPr>
        <w:t>or managers</w:t>
      </w:r>
      <w:r>
        <w:rPr>
          <w:caps w:val="false"/>
          <w:smallCaps w:val="false"/>
        </w:rPr>
        <w:t xml:space="preserve"> </w:t>
      </w:r>
      <w:r>
        <w:rPr>
          <w:rFonts w:ascii="Times New Roman PS Std;serif" w:hAnsi="Times New Roman PS Std;serif"/>
          <w:b w:val="false"/>
          <w:i w:val="false"/>
          <w:caps w:val="false"/>
          <w:smallCaps w:val="false"/>
          <w:sz w:val="20"/>
        </w:rPr>
        <w:t>thereunto duly authorized.</w:t>
      </w:r>
    </w:p>
    <w:tbl>
      <w:tblPr>
        <w:tblW w:w="415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11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34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24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and Chief </w:t>
              <w:br/>
              <w:t>Operating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076450" cy="2990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2076450" cy="29908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21,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of LivePerson, Inc. </w:t>
        <w:br/>
        <w:t>530 7th Avenue</w:t>
        <w:br/>
        <w:t>Floor M1</w:t>
        <w:br/>
        <w:t>New York, NY 10018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Members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understand that LivePerson, Inc. (the “Company”) intends to enter into a Merger Agreement (the “Agreement”) by and among SoundHound AI, Inc. (“Parent”), Lightspeed Merger Sub Inc., a wholly owned subsidiary of the Parent (“Merger Sub”), and the Company, pursuant to which, among other things, (i) Merger Sub will merge with the Company (the “Merger”), (ii) each outstanding share of common stock, par value $0.001 per share (“Company Common Stock”), of the Company will be converted into the right to receive a number of shares of Class A common stock, par value $0.0001 per share (“Parent Class A Common Stock”), of Parent (the “Consideration”) obtained by dividing (a) the quotient of (1) the sum of (A) the difference of (x) $$42,784,532.64,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 xml:space="preserve">the Company Shortfall Cash, </w:t>
      </w:r>
      <w:r>
        <w:rPr>
          <w:rFonts w:ascii="Times New Roman PS Std;serif" w:hAnsi="Times New Roman PS Std;serif"/>
          <w:b w:val="false"/>
          <w:i/>
          <w:caps w:val="false"/>
          <w:smallCaps w:val="false"/>
          <w:sz w:val="20"/>
        </w:rPr>
        <w:t xml:space="preserve">plus </w:t>
      </w:r>
      <w:r>
        <w:rPr>
          <w:rFonts w:ascii="Times New Roman PS Std;serif" w:hAnsi="Times New Roman PS Std;serif"/>
          <w:b w:val="false"/>
          <w:i w:val="false"/>
          <w:caps w:val="false"/>
          <w:smallCaps w:val="false"/>
          <w:sz w:val="20"/>
        </w:rPr>
        <w:t xml:space="preserve">(B) the aggregate exercise price of all outstanding in-the-money options to purchase Company Common Stock, </w:t>
      </w:r>
      <w:r>
        <w:rPr>
          <w:rFonts w:ascii="Times New Roman PS Std;serif" w:hAnsi="Times New Roman PS Std;serif"/>
          <w:b w:val="false"/>
          <w:i/>
          <w:caps w:val="false"/>
          <w:smallCaps w:val="false"/>
          <w:sz w:val="20"/>
        </w:rPr>
        <w:t xml:space="preserve">divided by </w:t>
      </w:r>
      <w:r>
        <w:rPr>
          <w:rFonts w:ascii="Times New Roman PS Std;serif" w:hAnsi="Times New Roman PS Std;serif"/>
          <w:b w:val="false"/>
          <w:i w:val="false"/>
          <w:caps w:val="false"/>
          <w:smallCaps w:val="false"/>
          <w:sz w:val="20"/>
        </w:rPr>
        <w:t xml:space="preserve">(2) the Parent Closing Stock Price (as defined below), by (b) the number of shares of Company Common Stock outstanding immediately prior to the effective time of the Merger (on a fully diluted basis, calculated in accordance with the terms of the Agreement), and (iii) the Company will become a wholly owned subsidiary of Parent. For purposes of the foregoing, (i) the term “Parent Closing Stock Price” means the price per share of Parent Class A Common Stock derived from the average of the daily volume weighted average prices of a share of Parent Class A Common Stock on The Nasdaq Stock Market LLC (“Nasdaq”) on each of the ten consecutive trading days ending on (and including) the trading day that is three trading days prior to the closing date of the Merger, rounded down to the nearest penny; provided that, such price per share will be subject to a maximum of $12 and minimum of $7, and (ii) the term “Company Shortfall Cash” means an amount in cash (which shall be deemed equal to $0 if negative) equal to (a) $74,000,000 (subject to reduction as provided by the Agreement, including with respect to repurchases of the Company’s 0% Convertible Senior Notes due 2026 (the “2026 Notes”)),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(b) the Company’s estimated cash and cash equivalents as of the closing date of the Merger pro forma for amounts payable by the Company in connection with the Merger (including, without limitation, unpaid amounts to repurchase the 2026 Notes and unpaid transaction expenses) and the Notes Restructuring Transaction (as defined below), all as determined in accordance with the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further understand that in connection with the Merger, Parent and holders (the “Company Noteholders”) of the Company’s First Lien Convertible Senior Notes due 2029 and Second Lien Senior Subordinated Secured Notes due 2029 (together, the “Secured Notes”) will enter into a Notes Restructuring Agreement (the “Notes Restructuring Agreement”) pursuant to which the Company Noteholders will release and deem satisfied in full the Secured Notes for the consideration contemplated thereby (the “Notes Restructuring Consideration” and, such transaction, the “Notes Restructuring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“Board”) of the Company has requested that Houlihan Lokey Capital, Inc. (“Houlihan Lokey”) provide an opinion (the “Opinion”) to the Board as to whether,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made such reviews, analyses and inquiries as we have deemed necessary and appropriate under the circumstances. Among other things, we have: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reviewed a draft, dated April 21, 2026, of the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reviewed certain publicly available business and financial information relating to the Company and Parent that we deemed to be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spoken with certain members of the management of the Company and certain of its representatives and advisors regarding the respective businesses, operations, financial condition and prospects of the Company and Parent, the Merger and related matters;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compared the financial and operating performance of the Company with that of other companies with publicly traded equity securities that we deemed to be relevant;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reviewed the current and historical market prices and trading volume for certain of the Company’s and Parent’s publicly traded equity securities and the current and historical market prices of the publicly traded securities of certain other companies that we deemed to be relevant;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conducted such other financial studies, analyses and inquiries and considered such other information and factors as we deemed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As you are aware, we have not been provided with access to the management of Parent. We have at your direction assumed that, were we to have had access to such management, any information received from such management would not affect or change this Opinion. We also understand that financial projections relating to the future financial performance of Parent prepared by the management of Parent or the management of the Company are not available. We have not performed, relied upon or taken into account any valuation of Parent or any assets or securities thereof for purposes of evaluating the Consideration or otherwise. Accordingly, we have assumed, at your direction, that recent trading prices of Parent Class A Common Stock provide a reasonable basis on which to evaluate Parent and the Parent Class A Common Stock for purposes of this Opinion. In addition, we have assumed, at your direction, that the Parent Class A Common Stock and the Class B common stock, par value $0.0001 per share (“Parent Class B Common Stock” and, together with the Parent Class A Common Stock, the “Parent Common Stock”), of Parent have equivalent value per share, notwithstanding the different voting rights and other non-financial terms of such shares that could impact their value. Management of the Company has advised us, and we have at your direction assumed, that the Projections have been reasonably prepared in good faith on bases reflecting the best currently available estimates and judgments of such management as to the future financial results and condition of the Company and the other matters covered thereby. At your direction, we have assumed that the Projections provide a reasonable basis on which to evaluate the Company and the Merger and we have, at your direction, used and relied upon the Projections for purposes of our analyses and this Opinion. We express no view or opinion with respect to the Projections or the assumptions on which they are based. In addition, management of the Company has advised us that they expect the Company Shortfall Cash will be $0, and we have at your direction assumed the Company Shortfall Cash will be $0. We have relied upon and assumed, without independent verification, that there has been no change in the businesses, assets, liabilities, financial condition, results of operations, cash flows or prospects of the Company or Parent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also relied upon, without independent verification, the assessments of the management of the Company as to the existing and future relationships, agreements and arrangements with, and the Company’s and Parent’s ability to attract and retain, key customers, distributors, vendors and other commercial relationships, and employees of the Company and Parent. We have further relied upon, without independent verification, the assessments of the management of the Company as to the Company’s and Parent’s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in any respect would affect our analyses or this Opinion.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 we have relied upon, without independent verification, the assessment of the management of the Company as to the ability of the managements of the Company and Parent to integrate the businesses of the Company and Parent, and we have assumed, at your direction, that there will be no developments with respect to any such matters that would affect our analyses or this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and the Notes Restructuring Transaction will be satisfied without waiver thereof, and (d) the Merger and the Notes Restructuring Transaction will be consummated in a timely manner in accordance with the terms described in the Agreement and the Notes Restructuring Agreement and such other related documents and instruments, without any amendments or modifications thereto. We have relied upon and assumed, without independent verification, that (i) the Merger and the Notes Restructuring Transaction will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will be obtained and that no delay, limitations, restrictions or conditions will be imposed or amendments, modifications or waivers made that would result in the disposition of any assets of the Company or Parent, or otherwise have an effect on the Merger, the Notes Restructuring Transaction, the Company or Parent or any expected benefits of the Merger or the Notes Restructuring Transaction that would be material to our analyses or this Opinion. In addition, we have relied upon and assumed, without independent verification, that the final form of the Agreement will not differ in any respect from the draft of the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Parent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Parent is or may be a party or is or may be subject, or of any governmental investigation of any possible unasserted claims or other contingent liabilities to which the Company or Parent is or may be a party or is or may be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been requested to, and did not, (a) initiate or participate in any discussions or negotiations with, or solicit any indications of interest from, third parties with respect to the Merger, the Notes Restructuring Transaction, any related transaction, the securities, assets, businesses or operations of the Company, Parent or any other party, or any alternatives to the Merger, the Notes Restructuring Transaction or any related transaction, (b) negotiate the terms of the Merger, the Notes Restructuring Transaction or any related transaction, or (c) advise the Board, the Company or any other party with respect to alternatives to the Merger, the Notes Restructuring Transaction or any related transaction. This Opinion is necessarily based on financial, economic, market and other conditions as in effect on, and the information made available to us as of, the date hereof. As you are aware, the credit, financial and stock markets have been experiencing unusual volatility and we express no opinion or view as to any potential effects of such volatility on the Company, Parent, the Consideration, the Merger, the Notes Restructuring Transaction or any related transaction, and this Opinion does not purport to address potential developments in any such markets. We have not undertaken, and are under no obligation, to update, revise, reaffirm or withdraw this Opinion, or otherwise comment on or consider events occurring or coming to our attention after the date hereof. We are not expressing any view or opinion as to what the value of the Parent Class A Common Stock actually will be when issued pursuant to the Merger or the price or range of prices at which the Company Common Stock or Parent Common Stock may be purchased or sold, or otherwise be transferable, at any time. We have assumed that the Parent Class A Common Stock to be issued in the Merger to holders of Company Common Stock will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the Notes Restructuring Transaction or any related transaction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the Company’s deleveraging transaction, which closed in September 2025. Houlihan Lokey and certain of its affiliates may provide investment banking, financial advisory and/or other financial or consulting services to the Company, Parent other participants in the Merger, the Notes Restructuring Transaction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Parent, other participants in the Merger, the Notes Restructuring Transaction or any related transaction or certain of their respective affiliates or security holders, for which advice and services Houlihan Lokey and its affiliates have received and may receive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a fee for rendering this Opinion, which is not contingent upon the successful completion of the Merger. In addition, the Company has agreed to reimburse certain of our expenses and to indemnify us and certain related parties for certain potential liabilities arising out of our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requested to opine as to, and this Opinion does not express an opinion as to or otherwise address, among other things: (i) the underlying business decision of the Board, the Company, its security holders or any other party to proceed with or effect the Merger, the Notes Restructuring Transaction or any related transaction, (ii) the terms of any arrangements, understandings, agreements or documents related to, or the form, structure or any other portion or aspect of, the Merger or otherwise (other than the Consideration to the extent expressly specified herein), including, without limitation, the Notes Restructuring Transaction or any related transaction, (iii) the fairness of any portion or aspect of the Merger to the holders of any class of securities, creditors or other constituencies of the Company, or to any other party (except if and only to the extent expressly set forth in the last sentence of this Opinion), including, without limitation, the Company Noteholders, holders of the 2026 Notes and their respective affiliates, (iv) the relative merits of the Merger, the Notes Restructuring Transaction or any related transaction as compared to any alternative business strategies or transactions that might be available for the Company or any other party, (v) the fairness of any portion or aspect of the Merger, the Notes Restructuring Transaction or any related transaction to any one class or group of the Company’s or any other party’s security holders or other constituents vis-à-vis any other class or group of the Company’s or such other party’s security holders or other constituents, including, without limitation, (a) the fairness of the Consideration to be received by the holders of Company Common Stock relative to the Notes Restructuring Consideration to be received by the Company Noteholders or amounts received by holders of the 2026 Notes to repurchase such notes, or vice versa, (b) the allocation of the Consideration, the Notes Restructuring Consideration or any amounts paid to repurchase the 2026 Notes as among the holders of Company Common Stock, the Company Noteholders and holders of the 2026 Notes, and (c) the allocation of the Consideration among the holders of Company Common Stock, (vi) whether or not the Company, Parent, their respective security holders or any other party is receiving or paying reasonably equivalent value in the Merger, the Notes Restructuring Transaction or any related transaction, (vii) the solvency, creditworthiness or fair value of the Company, Parent or any other participant in the Merger, the Notes Restructuring Transaction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 or any related transaction, any class of such persons or any other party, relative to the Consideration or otherwise.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respective advisors, as to all legal, regulatory, environmental, accounting, insurance, tax and other similar matters with respect to the Company, Parent, the Merger, the Notes Restructuring Transaction or any related transaction or otherwise. The issuance of this Opinion was approved by a committee authorized to approve opinions of this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and in reliance thereon, it is our opinion that,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505075" cy="4876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3"/>
                    <a:stretch>
                      <a:fillRect/>
                    </a:stretch>
                  </pic:blipFill>
                  <pic:spPr bwMode="auto">
                    <a:xfrm>
                      <a:off x="0" y="0"/>
                      <a:ext cx="2505075" cy="48768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CAPITAL,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C</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262. Appraisal rights [For application of this section, see 81 Del. Laws, c. 354, § 17; 82 Del. Laws, c. 45, § 23; 82 Del. Laws, c. 256, § 24; 83 Del. Laws, c. 377, § 22; and 84 Del. Laws, c. 98, § 16].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Cash in lieu of fractional shares or fractional depository receipts described in the foregoing paragraphs (b)(2)a. and b. of this section;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[Repealed.]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Appraisal rights shall be perfected as follows:</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title, the aggregate number of shares (other than any excluded stock (as defined in § 251(h)(6)d. of this title)) that were the subject of, and were not tendered into, and accepted for purchase or exchange in, the offer referred to in § 251(h)(2)</w:t>
      </w:r>
      <w:r>
        <w:rPr>
          <w:caps w:val="false"/>
          <w:smallCaps w:val="false"/>
        </w:rPr>
        <w:t xml:space="preserve"> </w:t>
      </w:r>
      <w:r>
        <w:rPr>
          <w:rFonts w:ascii="Times New Roman PS Std;serif" w:hAnsi="Times New Roman PS Std;serif"/>
          <w:b w:val="false"/>
          <w:i w:val="false"/>
          <w:caps w:val="false"/>
          <w:smallCaps w:val="false"/>
          <w:sz w:val="20"/>
        </w:rPr>
        <w:t>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C-5</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hyperlink" Target="http://www.sec.gov/Archives/edgar/data/1840856/000184085626000006/soun-20251231.htm" TargetMode="External"/><Relationship Id="rId8" Type="http://schemas.openxmlformats.org/officeDocument/2006/relationships/hyperlink" Target="http://www.sec.gov/Archives/edgar/data/1840856/000121390026041978/ea0285618-01.htm" TargetMode="External"/><Relationship Id="rId9" Type="http://schemas.openxmlformats.org/officeDocument/2006/relationships/hyperlink" Target="http://www.sec.gov/Archives/edgar/data/1840856/000184085626000015/soun-20260331.htm" TargetMode="External"/><Relationship Id="rId10" Type="http://schemas.openxmlformats.org/officeDocument/2006/relationships/hyperlink" Target="http://www.sec.gov/Archives/edgar/data/1840856/000184085625000028/soun-20250903.htm" TargetMode="External"/><Relationship Id="rId11" Type="http://schemas.openxmlformats.org/officeDocument/2006/relationships/hyperlink" Target="http://www.sec.gov/Archives/edgar/data/1840856/000121390026030707/ea0282324-8k_sound.htm" TargetMode="External"/><Relationship Id="rId12" Type="http://schemas.openxmlformats.org/officeDocument/2006/relationships/hyperlink" Target="http://www.sec.gov/Archives/edgar/data/1840856/000121390026045987/ea0287117-8k425_sound.htm" TargetMode="External"/><Relationship Id="rId13" Type="http://schemas.openxmlformats.org/officeDocument/2006/relationships/hyperlink" Target="http://www.sec.gov/Archives/edgar/data/1840856/000121390026061610/ea0292095-8k_sound.htm" TargetMode="External"/><Relationship Id="rId14" Type="http://schemas.openxmlformats.org/officeDocument/2006/relationships/hyperlink" Target="http://www.sec.gov/Archives/edgar/data/1840856/000121390026075086/ea0296856-8k425_sound.htm" TargetMode="External"/><Relationship Id="rId15" Type="http://schemas.openxmlformats.org/officeDocument/2006/relationships/hyperlink" Target="http://www.sec.gov/Archives/edgar/data/1840856/000184085623000019/soun-20221231x10kxexx45.htm" TargetMode="External"/><Relationship Id="rId16" Type="http://schemas.openxmlformats.org/officeDocument/2006/relationships/hyperlink" Target="http://www.sec.gov/Archives/edgar/data/1102993/000110299326000020/lpsn-20251231.htm" TargetMode="External"/><Relationship Id="rId17" Type="http://schemas.openxmlformats.org/officeDocument/2006/relationships/hyperlink" Target="http://www.sec.gov/Archives/edgar/data/1102993/000110299326000025/lpsn-20260331.htm" TargetMode="External"/><Relationship Id="rId18" Type="http://schemas.openxmlformats.org/officeDocument/2006/relationships/hyperlink" Target="http://www.sec.gov/Archives/edgar/data/1102993/000110299326000003/lpsn-20251014.htm" TargetMode="External"/><Relationship Id="rId19" Type="http://schemas.openxmlformats.org/officeDocument/2006/relationships/hyperlink" Target="http://www.sec.gov/Archives/edgar/data/1102993/000119312526167270/d148603d8k.htm" TargetMode="External"/><Relationship Id="rId20" Type="http://schemas.openxmlformats.org/officeDocument/2006/relationships/hyperlink" Target="http://www.sec.gov/Archives/edgar/data/1102993/000119312526294943/d319553d8k.htm" TargetMode="External"/><Relationship Id="rId21" Type="http://schemas.openxmlformats.org/officeDocument/2006/relationships/hyperlink" Target="http://www.sec.gov/Archives/edgar/data/1102993/000110299326000014/exh43-descriptionofregiste.htm" TargetMode="External"/><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251</Pages>
  <Words>169132</Words>
  <Characters>927579</Characters>
  <CharactersWithSpaces>1101400</CharactersWithSpaces>
  <Paragraphs>9074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