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720" w:space="200"/>
            <w:col w:w="3095" w:space="720"/>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Preferred Stock</w:t>
            </w:r>
            <w:r>
              <w:rPr>
                <w:rFonts w:ascii="Times New Roman" w:cs="Times New Roman" w:eastAsia="Times New Roman" w:hAnsi="Times New Roman"/>
                <w:sz w:val="22"/>
                <w:szCs w:val="22"/>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3,334</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3,334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certain preferred stock purchase agreements (the "Purchase Agreements"), dated on or around January 20, 2023, the Issuer issued and sold an aggregate of 835,011 shares of its newly designated Series A Convertible Preferred Stock, par value $0.0001 per share (the "Series A Preferred Stock"), to certain investors (the "Transactions"). The Transactions were approved by the board of directors of the Issuer, including for Rule 16b-3 purposes.</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is entitled to dividends payable as an increase in the liquidation preference for such share at the rate of 14% per annum, accreting semi-annually to liquidation preference on January 1 and July 1 of each year. Each share of Series A Preferred Stock is convertible into shares of Class A common stock of the Issuer under certain circumstances.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01/24/2023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2023-01-24T17:08:31Z</dcterms:created>
  <dcterms:modified xsi:type="dcterms:W3CDTF">2023-01-24T17:08:31Z</dcterms:modified>
</cp:coreProperties>
</file>