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rPr>
              <w:t>FORM 8-K</w:t>
            </w:r>
          </w:p>
        </w:tc>
        <w:tc>
          <w:tcPr>
            <w:tcW w:w="28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w w:val="99"/>
              </w:rPr>
              <w:t>CURRENT REPORT</w:t>
            </w:r>
          </w:p>
        </w:tc>
        <w:tc>
          <w:tcPr>
            <w:tcW w:w="2820" w:type="dxa"/>
            <w:vAlign w:val="bottom"/>
          </w:tcPr>
          <w:p>
            <w:pPr>
              <w:spacing w:after="0"/>
              <w:rPr>
                <w:sz w:val="24"/>
                <w:szCs w:val="24"/>
                <w:color w:val="auto"/>
              </w:rPr>
            </w:pPr>
          </w:p>
        </w:tc>
      </w:tr>
      <w:tr>
        <w:trPr>
          <w:trHeight w:val="414"/>
        </w:trPr>
        <w:tc>
          <w:tcPr>
            <w:tcW w:w="3020" w:type="dxa"/>
            <w:vAlign w:val="bottom"/>
          </w:tcPr>
          <w:p>
            <w:pPr>
              <w:spacing w:after="0"/>
              <w:rPr>
                <w:sz w:val="24"/>
                <w:szCs w:val="24"/>
                <w:color w:val="auto"/>
              </w:rPr>
            </w:pPr>
          </w:p>
        </w:tc>
        <w:tc>
          <w:tcPr>
            <w:tcW w:w="54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8"/>
              </w:rPr>
              <w:t>PURSUANT TO SECTION 13 OR 15(d) OF THE</w:t>
            </w:r>
          </w:p>
        </w:tc>
        <w:tc>
          <w:tcPr>
            <w:tcW w:w="2820" w:type="dxa"/>
            <w:vAlign w:val="bottom"/>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99"/>
              </w:rPr>
              <w:t>SECURITIES EXCHANGE ACT OF 1934</w:t>
            </w:r>
          </w:p>
        </w:tc>
        <w:tc>
          <w:tcPr>
            <w:tcW w:w="28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400" w:type="dxa"/>
            <w:vAlign w:val="bottom"/>
            <w:gridSpan w:val="5"/>
          </w:tcPr>
          <w:p>
            <w:pPr>
              <w:jc w:val="center"/>
              <w:ind w:right="200"/>
              <w:spacing w:after="0"/>
              <w:rPr>
                <w:sz w:val="20"/>
                <w:szCs w:val="20"/>
                <w:color w:val="auto"/>
              </w:rPr>
            </w:pPr>
            <w:r>
              <w:rPr>
                <w:rFonts w:ascii="Arial" w:cs="Arial" w:eastAsia="Arial" w:hAnsi="Arial"/>
                <w:sz w:val="18"/>
                <w:szCs w:val="18"/>
                <w:color w:val="auto"/>
                <w:w w:val="91"/>
              </w:rPr>
              <w:t xml:space="preserve">Date of Report (Date of earliest event reported): </w:t>
            </w:r>
            <w:r>
              <w:rPr>
                <w:rFonts w:ascii="Arial" w:cs="Arial" w:eastAsia="Arial" w:hAnsi="Arial"/>
                <w:sz w:val="18"/>
                <w:szCs w:val="18"/>
                <w:b w:val="1"/>
                <w:bCs w:val="1"/>
                <w:color w:val="auto"/>
                <w:w w:val="91"/>
              </w:rPr>
              <w:t>April 21, 2022</w:t>
            </w:r>
          </w:p>
        </w:tc>
        <w:tc>
          <w:tcPr>
            <w:tcW w:w="2820" w:type="dxa"/>
            <w:vAlign w:val="bottom"/>
          </w:tcPr>
          <w:p>
            <w:pPr>
              <w:spacing w:after="0"/>
              <w:rPr>
                <w:sz w:val="24"/>
                <w:szCs w:val="24"/>
                <w:color w:val="auto"/>
              </w:rPr>
            </w:pPr>
          </w:p>
        </w:tc>
      </w:tr>
      <w:tr>
        <w:trPr>
          <w:trHeight w:val="418"/>
        </w:trPr>
        <w:tc>
          <w:tcPr>
            <w:tcW w:w="3020" w:type="dxa"/>
            <w:vAlign w:val="bottom"/>
          </w:tcPr>
          <w:p>
            <w:pPr>
              <w:spacing w:after="0"/>
              <w:rPr>
                <w:sz w:val="24"/>
                <w:szCs w:val="24"/>
                <w:color w:val="auto"/>
              </w:rPr>
            </w:pPr>
          </w:p>
        </w:tc>
        <w:tc>
          <w:tcPr>
            <w:tcW w:w="54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8"/>
              </w:rPr>
              <w:t>ARCHIMEDES TECH SPAC PARTNERS CO.</w:t>
            </w:r>
          </w:p>
        </w:tc>
        <w:tc>
          <w:tcPr>
            <w:tcW w:w="2820" w:type="dxa"/>
            <w:vAlign w:val="bottom"/>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540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(Exact name of registrant as specified in its charter)</w:t>
            </w:r>
          </w:p>
        </w:tc>
        <w:tc>
          <w:tcPr>
            <w:tcW w:w="2820" w:type="dxa"/>
            <w:vAlign w:val="bottom"/>
          </w:tcPr>
          <w:p>
            <w:pPr>
              <w:spacing w:after="0"/>
              <w:rPr>
                <w:sz w:val="20"/>
                <w:szCs w:val="20"/>
                <w:color w:val="auto"/>
              </w:rPr>
            </w:pPr>
          </w:p>
        </w:tc>
      </w:tr>
      <w:tr>
        <w:trPr>
          <w:trHeight w:val="439"/>
        </w:trPr>
        <w:tc>
          <w:tcPr>
            <w:tcW w:w="3020" w:type="dxa"/>
            <w:vAlign w:val="bottom"/>
          </w:tcPr>
          <w:p>
            <w:pPr>
              <w:jc w:val="center"/>
              <w:ind w:left="730"/>
              <w:spacing w:after="0"/>
              <w:rPr>
                <w:sz w:val="20"/>
                <w:szCs w:val="20"/>
                <w:color w:val="auto"/>
              </w:rPr>
            </w:pPr>
            <w:r>
              <w:rPr>
                <w:rFonts w:ascii="Arial" w:cs="Arial" w:eastAsia="Arial" w:hAnsi="Arial"/>
                <w:sz w:val="18"/>
                <w:szCs w:val="18"/>
                <w:b w:val="1"/>
                <w:bCs w:val="1"/>
                <w:color w:val="auto"/>
                <w:w w:val="91"/>
              </w:rPr>
              <w:t>Delaware</w:t>
            </w:r>
          </w:p>
        </w:tc>
        <w:tc>
          <w:tcPr>
            <w:tcW w:w="4520" w:type="dxa"/>
            <w:vAlign w:val="bottom"/>
            <w:gridSpan w:val="3"/>
          </w:tcPr>
          <w:p>
            <w:pPr>
              <w:jc w:val="right"/>
              <w:ind w:right="1310"/>
              <w:spacing w:after="0"/>
              <w:rPr>
                <w:sz w:val="20"/>
                <w:szCs w:val="20"/>
                <w:color w:val="auto"/>
              </w:rPr>
            </w:pPr>
            <w:r>
              <w:rPr>
                <w:rFonts w:ascii="Arial" w:cs="Arial" w:eastAsia="Arial" w:hAnsi="Arial"/>
                <w:sz w:val="18"/>
                <w:szCs w:val="18"/>
                <w:b w:val="1"/>
                <w:bCs w:val="1"/>
                <w:color w:val="auto"/>
              </w:rPr>
              <w:t>001-40193</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86-1286799</w:t>
            </w:r>
          </w:p>
        </w:tc>
      </w:tr>
      <w:tr>
        <w:trPr>
          <w:trHeight w:val="202"/>
        </w:trPr>
        <w:tc>
          <w:tcPr>
            <w:tcW w:w="3020" w:type="dxa"/>
            <w:vAlign w:val="bottom"/>
            <w:tcBorders>
              <w:top w:val="single" w:sz="8" w:color="auto"/>
            </w:tcBorders>
          </w:tcPr>
          <w:p>
            <w:pPr>
              <w:jc w:val="center"/>
              <w:ind w:left="730"/>
              <w:spacing w:after="0" w:line="201" w:lineRule="exact"/>
              <w:rPr>
                <w:sz w:val="20"/>
                <w:szCs w:val="20"/>
                <w:color w:val="auto"/>
              </w:rPr>
            </w:pPr>
            <w:r>
              <w:rPr>
                <w:rFonts w:ascii="Arial" w:cs="Arial" w:eastAsia="Arial" w:hAnsi="Arial"/>
                <w:sz w:val="18"/>
                <w:szCs w:val="18"/>
                <w:color w:val="auto"/>
                <w:w w:val="91"/>
              </w:rPr>
              <w:t>(State or other jurisdiction</w:t>
            </w: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tcPr>
          <w:p>
            <w:pPr>
              <w:jc w:val="center"/>
              <w:ind w:left="730"/>
              <w:spacing w:after="0"/>
              <w:rPr>
                <w:sz w:val="20"/>
                <w:szCs w:val="20"/>
                <w:color w:val="auto"/>
              </w:rPr>
            </w:pPr>
            <w:r>
              <w:rPr>
                <w:rFonts w:ascii="Arial" w:cs="Arial" w:eastAsia="Arial" w:hAnsi="Arial"/>
                <w:sz w:val="18"/>
                <w:szCs w:val="18"/>
                <w:color w:val="auto"/>
                <w:w w:val="95"/>
              </w:rPr>
              <w:t>of incorporation)</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91"/>
              </w:rPr>
              <w:t>2093 Philadelphia Pike #1968</w:t>
            </w:r>
          </w:p>
        </w:tc>
        <w:tc>
          <w:tcPr>
            <w:tcW w:w="2820" w:type="dxa"/>
            <w:vAlign w:val="bottom"/>
          </w:tcPr>
          <w:p>
            <w:pPr>
              <w:spacing w:after="0"/>
              <w:rPr>
                <w:sz w:val="24"/>
                <w:szCs w:val="24"/>
                <w:color w:val="auto"/>
              </w:rPr>
            </w:pPr>
          </w:p>
        </w:tc>
      </w:tr>
      <w:tr>
        <w:trPr>
          <w:trHeight w:val="220"/>
        </w:trPr>
        <w:tc>
          <w:tcPr>
            <w:tcW w:w="3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8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w w:val="92"/>
              </w:rPr>
              <w:t>Claymont, DE 19703</w:t>
            </w:r>
          </w:p>
        </w:tc>
        <w:tc>
          <w:tcPr>
            <w:tcW w:w="2820" w:type="dxa"/>
            <w:vAlign w:val="bottom"/>
          </w:tcPr>
          <w:p>
            <w:pPr>
              <w:spacing w:after="0"/>
              <w:rPr>
                <w:sz w:val="19"/>
                <w:szCs w:val="19"/>
                <w:color w:val="auto"/>
              </w:rPr>
            </w:pPr>
          </w:p>
        </w:tc>
      </w:tr>
      <w:tr>
        <w:trPr>
          <w:trHeight w:val="230"/>
        </w:trPr>
        <w:tc>
          <w:tcPr>
            <w:tcW w:w="3020" w:type="dxa"/>
            <w:vAlign w:val="bottom"/>
          </w:tcPr>
          <w:p>
            <w:pPr>
              <w:spacing w:after="0"/>
              <w:rPr>
                <w:sz w:val="20"/>
                <w:szCs w:val="20"/>
                <w:color w:val="auto"/>
              </w:rPr>
            </w:pPr>
          </w:p>
        </w:tc>
        <w:tc>
          <w:tcPr>
            <w:tcW w:w="540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8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400" w:type="dxa"/>
            <w:vAlign w:val="bottom"/>
            <w:gridSpan w:val="5"/>
          </w:tcPr>
          <w:p>
            <w:pPr>
              <w:jc w:val="center"/>
              <w:ind w:right="18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(650) 560 4753</w:t>
            </w:r>
          </w:p>
        </w:tc>
        <w:tc>
          <w:tcPr>
            <w:tcW w:w="2820" w:type="dxa"/>
            <w:vAlign w:val="bottom"/>
          </w:tcPr>
          <w:p>
            <w:pPr>
              <w:spacing w:after="0"/>
              <w:rPr>
                <w:sz w:val="24"/>
                <w:szCs w:val="24"/>
                <w:color w:val="auto"/>
              </w:rPr>
            </w:pPr>
          </w:p>
        </w:tc>
      </w:tr>
      <w:tr>
        <w:trPr>
          <w:trHeight w:val="418"/>
        </w:trPr>
        <w:tc>
          <w:tcPr>
            <w:tcW w:w="3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w w:val="92"/>
              </w:rPr>
              <w:t>Not Applicable</w:t>
            </w:r>
          </w:p>
        </w:tc>
        <w:tc>
          <w:tcPr>
            <w:tcW w:w="2820" w:type="dxa"/>
            <w:vAlign w:val="bottom"/>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5400" w:type="dxa"/>
            <w:vAlign w:val="bottom"/>
            <w:gridSpan w:val="5"/>
          </w:tcPr>
          <w:p>
            <w:pPr>
              <w:jc w:val="center"/>
              <w:ind w:right="18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820" w:type="dxa"/>
            <w:vAlign w:val="bottom"/>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r>
      <w:tr>
        <w:trPr>
          <w:trHeight w:val="202"/>
        </w:trPr>
        <w:tc>
          <w:tcPr>
            <w:tcW w:w="38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0"/>
              </w:rPr>
              <w:t>Units, each consisting of one subunit and one-</w:t>
            </w:r>
          </w:p>
        </w:tc>
        <w:tc>
          <w:tcPr>
            <w:tcW w:w="380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93"/>
              </w:rPr>
              <w:t>ATSPU</w:t>
            </w:r>
          </w:p>
        </w:tc>
        <w:tc>
          <w:tcPr>
            <w:tcW w:w="3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quarter of one 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02"/>
        </w:trPr>
        <w:tc>
          <w:tcPr>
            <w:tcW w:w="38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0"/>
              </w:rPr>
              <w:t>Subunits included as part of the units, each</w:t>
            </w:r>
          </w:p>
        </w:tc>
        <w:tc>
          <w:tcPr>
            <w:tcW w:w="380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89"/>
              </w:rPr>
              <w:t>ATSPT</w:t>
            </w:r>
          </w:p>
        </w:tc>
        <w:tc>
          <w:tcPr>
            <w:tcW w:w="3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consisting of one share of common stock, $.0001</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0"/>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par value, and one-quarter of one 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Redeemable warrants</w:t>
            </w:r>
          </w:p>
        </w:tc>
        <w:tc>
          <w:tcPr>
            <w:tcW w:w="3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ATSPW</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contained in Item 2.03 is incorporated by reference in this Item 1.01.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21, 2022, Archimedes Tech SPAC Partners Co. (the “Company”) issued an unsecured promissory note in the aggregate principal amount of $167,954.68 (the “Note”) to SPAC Partners LLC, an affiliate of Stephen N. Cannon, the Company’s Chief Executive Officer. The Note does not bear interest and matures upon closing of the Company’s initial business combination. In the event that the Company does not consummate a business combination, no payment shall be due and the principal balance of the Note will be forgiven. The proceeds of the Note will be used for working capital purposes, including payment of taxes.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Note is qualified in its entirety by reference to the full text of the Note, a copy of which is filed with this Current Report on Form 8-K as Exhibit 10.1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w:t>
      </w:r>
      <w:r>
        <w:rPr>
          <w:rFonts w:ascii="Arial" w:cs="Arial" w:eastAsia="Arial" w:hAnsi="Arial"/>
          <w:sz w:val="18"/>
          <w:szCs w:val="18"/>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6"/>
            <w:szCs w:val="16"/>
            <w:u w:val="single" w:color="auto"/>
            <w:color w:val="0000EE"/>
          </w:rPr>
          <w:t>Promissory Note, dated April 21, 2022.</w:t>
        </w:r>
      </w:hyperlink>
    </w:p>
    <w:p>
      <w:pPr>
        <w:spacing w:after="0" w:line="23" w:lineRule="exact"/>
        <w:rPr>
          <w:sz w:val="20"/>
          <w:szCs w:val="20"/>
          <w:color w:val="auto"/>
        </w:rPr>
      </w:pPr>
    </w:p>
    <w:p>
      <w:pPr>
        <w:ind w:left="5580" w:right="2200" w:hanging="5572"/>
        <w:spacing w:after="0" w:line="761" w:lineRule="auto"/>
        <w:tabs>
          <w:tab w:leader="none" w:pos="1021"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Long Long</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25,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MAKER THAT SUCH REGISTRATION IS NOT REQUIRED.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ind w:left="9320"/>
        <w:spacing w:after="0"/>
        <w:rPr>
          <w:sz w:val="20"/>
          <w:szCs w:val="20"/>
          <w:color w:val="auto"/>
        </w:rPr>
      </w:pPr>
      <w:r>
        <w:rPr>
          <w:rFonts w:ascii="Arial" w:cs="Arial" w:eastAsia="Arial" w:hAnsi="Arial"/>
          <w:sz w:val="16"/>
          <w:szCs w:val="16"/>
          <w:color w:val="auto"/>
        </w:rPr>
        <w:t>Dated as of April 21, 2022</w:t>
      </w:r>
    </w:p>
    <w:p>
      <w:pPr>
        <w:spacing w:after="0" w:line="248" w:lineRule="exact"/>
        <w:rPr>
          <w:sz w:val="20"/>
          <w:szCs w:val="20"/>
          <w:color w:val="auto"/>
        </w:rPr>
      </w:pPr>
    </w:p>
    <w:p>
      <w:pPr>
        <w:spacing w:after="0"/>
        <w:tabs>
          <w:tab w:leader="none" w:pos="9660" w:val="left"/>
        </w:tabs>
        <w:rPr>
          <w:sz w:val="20"/>
          <w:szCs w:val="20"/>
          <w:color w:val="auto"/>
        </w:rPr>
      </w:pPr>
      <w:r>
        <w:rPr>
          <w:rFonts w:ascii="Arial" w:cs="Arial" w:eastAsia="Arial" w:hAnsi="Arial"/>
          <w:sz w:val="18"/>
          <w:szCs w:val="18"/>
          <w:color w:val="auto"/>
        </w:rPr>
        <w:t>Principal Amount: $167,954.68</w:t>
      </w:r>
      <w:r>
        <w:rPr>
          <w:sz w:val="20"/>
          <w:szCs w:val="20"/>
          <w:color w:val="auto"/>
        </w:rPr>
        <w:tab/>
      </w:r>
      <w:r>
        <w:rPr>
          <w:rFonts w:ascii="Arial" w:cs="Arial" w:eastAsia="Arial" w:hAnsi="Arial"/>
          <w:sz w:val="16"/>
          <w:szCs w:val="16"/>
          <w:color w:val="auto"/>
        </w:rPr>
        <w:t>New York, New York</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Archimedes Tech SPAC Partners Co.</w:t>
      </w:r>
      <w:r>
        <w:rPr>
          <w:rFonts w:ascii="Arial" w:cs="Arial" w:eastAsia="Arial" w:hAnsi="Arial"/>
          <w:sz w:val="18"/>
          <w:szCs w:val="18"/>
          <w:color w:val="auto"/>
        </w:rPr>
        <w:t>, a Delaware corporation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w:t>
      </w:r>
      <w:r>
        <w:rPr>
          <w:rFonts w:ascii="Arial" w:cs="Arial" w:eastAsia="Arial" w:hAnsi="Arial"/>
          <w:sz w:val="18"/>
          <w:szCs w:val="18"/>
          <w:b w:val="1"/>
          <w:bCs w:val="1"/>
          <w:color w:val="auto"/>
        </w:rPr>
        <w:t xml:space="preserve"> SPAC Partners LLC </w:t>
      </w:r>
      <w:r>
        <w:rPr>
          <w:rFonts w:ascii="Arial" w:cs="Arial" w:eastAsia="Arial" w:hAnsi="Arial"/>
          <w:sz w:val="18"/>
          <w:szCs w:val="18"/>
          <w:color w:val="auto"/>
        </w:rPr>
        <w:t>or its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or successors in interest (“</w:t>
      </w:r>
      <w:r>
        <w:rPr>
          <w:rFonts w:ascii="Arial" w:cs="Arial" w:eastAsia="Arial" w:hAnsi="Arial"/>
          <w:sz w:val="18"/>
          <w:szCs w:val="18"/>
          <w:b w:val="1"/>
          <w:bCs w:val="1"/>
          <w:color w:val="auto"/>
        </w:rPr>
        <w:t>Payee</w:t>
      </w:r>
      <w:r>
        <w:rPr>
          <w:rFonts w:ascii="Arial" w:cs="Arial" w:eastAsia="Arial" w:hAnsi="Arial"/>
          <w:sz w:val="18"/>
          <w:szCs w:val="18"/>
          <w:color w:val="auto"/>
        </w:rPr>
        <w:t>”) the principal sum of One Hundred Sixty-Seven Nine Hundred Fifty-Four Dollars and Sixty-Eight Cents ($167,954.68) in lawful money of the United States of America, on the terms and conditions described below. All payments on this Note shall be made by check or wire transfer of immediately available funds, without setoff or counterclaim, to such account as Payee may from time to time designate by written notice in accordance with the provisions of this Note.</w:t>
      </w:r>
    </w:p>
    <w:p>
      <w:pPr>
        <w:spacing w:after="0" w:line="183" w:lineRule="exact"/>
        <w:rPr>
          <w:sz w:val="20"/>
          <w:szCs w:val="20"/>
          <w:color w:val="auto"/>
        </w:rPr>
      </w:pPr>
    </w:p>
    <w:p>
      <w:pPr>
        <w:jc w:val="both"/>
        <w:ind w:firstLine="8"/>
        <w:spacing w:after="0" w:line="26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Maturity. </w:t>
      </w:r>
      <w:r>
        <w:rPr>
          <w:rFonts w:ascii="Arial" w:cs="Arial" w:eastAsia="Arial" w:hAnsi="Arial"/>
          <w:sz w:val="18"/>
          <w:szCs w:val="18"/>
          <w:color w:val="auto"/>
        </w:rPr>
        <w:t>Subject to Section 1(b), the principal balance of this Note shall be due and payable by Maker upon the closing of a Repayment Trigger Event,</w:t>
      </w:r>
      <w:r>
        <w:rPr>
          <w:rFonts w:ascii="Arial" w:cs="Arial" w:eastAsia="Arial" w:hAnsi="Arial"/>
          <w:sz w:val="18"/>
          <w:szCs w:val="18"/>
          <w:b w:val="1"/>
          <w:bCs w:val="1"/>
          <w:color w:val="auto"/>
        </w:rPr>
        <w:t xml:space="preserve"> </w:t>
      </w:r>
      <w:r>
        <w:rPr>
          <w:rFonts w:ascii="Arial" w:cs="Arial" w:eastAsia="Arial" w:hAnsi="Arial"/>
          <w:sz w:val="18"/>
          <w:szCs w:val="18"/>
          <w:color w:val="auto"/>
        </w:rPr>
        <w:t>as such term is defined below (the “</w:t>
      </w:r>
      <w:r>
        <w:rPr>
          <w:rFonts w:ascii="Arial" w:cs="Arial" w:eastAsia="Arial" w:hAnsi="Arial"/>
          <w:sz w:val="18"/>
          <w:szCs w:val="18"/>
          <w:b w:val="1"/>
          <w:bCs w:val="1"/>
          <w:color w:val="auto"/>
        </w:rPr>
        <w:t>Maturity Date</w:t>
      </w:r>
      <w:r>
        <w:rPr>
          <w:rFonts w:ascii="Arial" w:cs="Arial" w:eastAsia="Arial" w:hAnsi="Arial"/>
          <w:sz w:val="18"/>
          <w:szCs w:val="18"/>
          <w:color w:val="auto"/>
        </w:rPr>
        <w:t>”). The principal balance may be prepaid in whole or in part at any time and from time to time prior to the Maturity Date without premium or penalty upon written notice by Maker to Payee.</w:t>
      </w:r>
    </w:p>
    <w:p>
      <w:pPr>
        <w:spacing w:after="0" w:line="175" w:lineRule="exact"/>
        <w:rPr>
          <w:rFonts w:ascii="Arial" w:cs="Arial" w:eastAsia="Arial" w:hAnsi="Arial"/>
          <w:sz w:val="18"/>
          <w:szCs w:val="18"/>
          <w:b w:val="1"/>
          <w:bCs w:val="1"/>
          <w:color w:val="auto"/>
        </w:rPr>
      </w:pPr>
    </w:p>
    <w:p>
      <w:pPr>
        <w:ind w:firstLine="656"/>
        <w:spacing w:after="0" w:line="282" w:lineRule="auto"/>
        <w:tabs>
          <w:tab w:leader="none" w:pos="883" w:val="left"/>
        </w:tabs>
        <w:numPr>
          <w:ilvl w:val="1"/>
          <w:numId w:val="3"/>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Repayment Trigger Event</w:t>
      </w:r>
      <w:r>
        <w:rPr>
          <w:rFonts w:ascii="Arial" w:cs="Arial" w:eastAsia="Arial" w:hAnsi="Arial"/>
          <w:sz w:val="18"/>
          <w:szCs w:val="18"/>
          <w:color w:val="auto"/>
        </w:rPr>
        <w:t>” means the consummation of the Business Combination as defined in the Certificate of Incorporation of Maker, as amended (the “</w:t>
      </w:r>
      <w:r>
        <w:rPr>
          <w:rFonts w:ascii="Arial" w:cs="Arial" w:eastAsia="Arial" w:hAnsi="Arial"/>
          <w:sz w:val="18"/>
          <w:szCs w:val="18"/>
          <w:b w:val="1"/>
          <w:bCs w:val="1"/>
          <w:color w:val="auto"/>
        </w:rPr>
        <w:t>COI</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Maker shall provide Payee at least 10 days’ prior notice of any Repayment Trigger Event and to the extent applicable a copy of the material terms of the Business Combination. Under no circumstances shall any individual, including but not limited to, any officer, director, employee or stockholder of Maker, be obligated personally for any obligations or liabilities of Maker hereunder.</w:t>
      </w:r>
    </w:p>
    <w:p>
      <w:pPr>
        <w:spacing w:after="0" w:line="180" w:lineRule="exact"/>
        <w:rPr>
          <w:sz w:val="20"/>
          <w:szCs w:val="20"/>
          <w:color w:val="auto"/>
        </w:rPr>
      </w:pPr>
    </w:p>
    <w:p>
      <w:pPr>
        <w:jc w:val="both"/>
        <w:ind w:firstLine="656"/>
        <w:spacing w:after="0" w:line="266" w:lineRule="auto"/>
        <w:tabs>
          <w:tab w:leader="none" w:pos="1046"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Form of Repayment. </w:t>
      </w:r>
      <w:r>
        <w:rPr>
          <w:rFonts w:ascii="Arial" w:cs="Arial" w:eastAsia="Arial" w:hAnsi="Arial"/>
          <w:sz w:val="18"/>
          <w:szCs w:val="18"/>
          <w:color w:val="auto"/>
        </w:rPr>
        <w:t>All amounts due under this Note shall be repaid in cash. In the event that a Business Combination has not been</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consummated prior to the Termination Date (as defined in the COI), no payment shall be due hereunder and the principal balance of this Note shall be forgiven.</w:t>
      </w:r>
    </w:p>
    <w:p>
      <w:pPr>
        <w:spacing w:after="0" w:line="175"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This Note will be non-interest bearing and unsecured.</w:t>
      </w:r>
    </w:p>
    <w:p>
      <w:pPr>
        <w:spacing w:after="0" w:line="225" w:lineRule="exact"/>
        <w:rPr>
          <w:rFonts w:ascii="Arial" w:cs="Arial" w:eastAsia="Arial" w:hAnsi="Arial"/>
          <w:sz w:val="18"/>
          <w:szCs w:val="18"/>
          <w:b w:val="1"/>
          <w:bCs w:val="1"/>
          <w:color w:val="auto"/>
        </w:rPr>
      </w:pPr>
    </w:p>
    <w:p>
      <w:pPr>
        <w:ind w:firstLine="8"/>
        <w:spacing w:after="0" w:line="312" w:lineRule="auto"/>
        <w:tabs>
          <w:tab w:leader="none" w:pos="1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Application of Payments. </w:t>
      </w:r>
      <w:r>
        <w:rPr>
          <w:rFonts w:ascii="Arial" w:cs="Arial" w:eastAsia="Arial" w:hAnsi="Arial"/>
          <w:sz w:val="17"/>
          <w:szCs w:val="17"/>
          <w:color w:val="auto"/>
        </w:rPr>
        <w:t>All payments shall be applied first to payment in full of any costs incurred in the collection of any sum due under this Note,</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(without limitation) reasonable attorneys’ fees, and then to the reduction of the unpaid principal balance of this Note.</w:t>
      </w:r>
    </w:p>
    <w:p>
      <w:pPr>
        <w:spacing w:after="0" w:line="139" w:lineRule="exact"/>
        <w:rPr>
          <w:rFonts w:ascii="Arial" w:cs="Arial" w:eastAsia="Arial" w:hAnsi="Arial"/>
          <w:sz w:val="17"/>
          <w:szCs w:val="17"/>
          <w:b w:val="1"/>
          <w:bCs w:val="1"/>
          <w:color w:val="auto"/>
        </w:rPr>
      </w:pPr>
    </w:p>
    <w:p>
      <w:pPr>
        <w:jc w:val="both"/>
        <w:ind w:firstLine="8"/>
        <w:spacing w:after="0" w:line="266" w:lineRule="auto"/>
        <w:tabs>
          <w:tab w:leader="none" w:pos="22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r>
        <w:rPr>
          <w:rFonts w:ascii="Arial" w:cs="Arial" w:eastAsia="Arial" w:hAnsi="Arial"/>
          <w:sz w:val="18"/>
          <w:szCs w:val="18"/>
          <w:color w:val="auto"/>
        </w:rPr>
        <w:t>. On the date of this Note, Payee shall remit the full principal amount to Maker in accordance with the wiring instructions attached here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as </w:t>
      </w:r>
      <w:r>
        <w:rPr>
          <w:rFonts w:ascii="Arial" w:cs="Arial" w:eastAsia="Arial" w:hAnsi="Arial"/>
          <w:sz w:val="18"/>
          <w:szCs w:val="18"/>
          <w:u w:val="single" w:color="auto"/>
          <w:color w:val="auto"/>
        </w:rPr>
        <w:t>Exhibit A</w:t>
      </w:r>
      <w:r>
        <w:rPr>
          <w:rFonts w:ascii="Arial" w:cs="Arial" w:eastAsia="Arial" w:hAnsi="Arial"/>
          <w:sz w:val="18"/>
          <w:szCs w:val="18"/>
          <w:color w:val="auto"/>
        </w:rPr>
        <w:t>. Maker hereby represents, warrants and covenants to Payee that the entire principal amount will be used by Maker solely for purposes of paying certain franchise taxes owed by the Maker to the State of Delaware.</w:t>
      </w:r>
    </w:p>
    <w:p>
      <w:pPr>
        <w:spacing w:after="0" w:line="175" w:lineRule="exact"/>
        <w:rPr>
          <w:rFonts w:ascii="Arial" w:cs="Arial" w:eastAsia="Arial" w:hAnsi="Arial"/>
          <w:sz w:val="18"/>
          <w:szCs w:val="18"/>
          <w:b w:val="1"/>
          <w:bCs w:val="1"/>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firstLine="656"/>
        <w:spacing w:after="0" w:line="277" w:lineRule="auto"/>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Failure to Make Required Payments</w:t>
      </w:r>
      <w:r>
        <w:rPr>
          <w:rFonts w:ascii="Arial" w:cs="Arial" w:eastAsia="Arial" w:hAnsi="Arial"/>
          <w:sz w:val="18"/>
          <w:szCs w:val="18"/>
          <w:color w:val="auto"/>
        </w:rPr>
        <w:t>. Failure by Maker to pay any principal amount due pursuant to this Note within five (5) business days of the Maturity Date.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Breach of Use of Proceeds</w:t>
      </w:r>
      <w:r>
        <w:rPr>
          <w:rFonts w:ascii="Arial" w:cs="Arial" w:eastAsia="Arial" w:hAnsi="Arial"/>
          <w:sz w:val="18"/>
          <w:szCs w:val="18"/>
          <w:color w:val="auto"/>
        </w:rPr>
        <w:t>. Failure by Maker to comply with the provisions of Section 4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firstLine="656"/>
        <w:spacing w:after="0" w:line="257" w:lineRule="auto"/>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Voluntary Bankruptcy, Etc</w:t>
      </w:r>
      <w:r>
        <w:rPr>
          <w:rFonts w:ascii="Arial" w:cs="Arial" w:eastAsia="Arial" w:hAnsi="Arial"/>
          <w:sz w:val="18"/>
          <w:szCs w:val="18"/>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87" w:lineRule="exact"/>
        <w:rPr>
          <w:rFonts w:ascii="Arial" w:cs="Arial" w:eastAsia="Arial" w:hAnsi="Arial"/>
          <w:sz w:val="18"/>
          <w:szCs w:val="18"/>
          <w:color w:val="auto"/>
        </w:rPr>
      </w:pPr>
    </w:p>
    <w:p>
      <w:pPr>
        <w:jc w:val="both"/>
        <w:ind w:firstLine="656"/>
        <w:spacing w:after="0" w:line="259" w:lineRule="auto"/>
        <w:tabs>
          <w:tab w:leader="none" w:pos="948"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Involuntary Bankruptcy, Etc</w:t>
      </w:r>
      <w:r>
        <w:rPr>
          <w:rFonts w:ascii="Arial" w:cs="Arial" w:eastAsia="Arial" w:hAnsi="Arial"/>
          <w:sz w:val="18"/>
          <w:szCs w:val="18"/>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82"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b w:val="1"/>
          <w:bCs w:val="1"/>
          <w:color w:val="auto"/>
        </w:rPr>
      </w:pPr>
    </w:p>
    <w:p>
      <w:pPr>
        <w:jc w:val="both"/>
        <w:ind w:firstLine="656"/>
        <w:spacing w:after="0" w:line="259" w:lineRule="auto"/>
        <w:tabs>
          <w:tab w:leader="none" w:pos="947" w:val="left"/>
        </w:tabs>
        <w:numPr>
          <w:ilvl w:val="1"/>
          <w:numId w:val="7"/>
        </w:numPr>
        <w:rPr>
          <w:rFonts w:ascii="Arial" w:cs="Arial" w:eastAsia="Arial" w:hAnsi="Arial"/>
          <w:sz w:val="18"/>
          <w:szCs w:val="18"/>
          <w:color w:val="auto"/>
        </w:rPr>
      </w:pPr>
      <w:r>
        <w:rPr>
          <w:rFonts w:ascii="Arial" w:cs="Arial" w:eastAsia="Arial" w:hAnsi="Arial"/>
          <w:sz w:val="18"/>
          <w:szCs w:val="18"/>
          <w:color w:val="auto"/>
        </w:rPr>
        <w:t>Upon the occurrence of an Event of Default specified in Section 5(a) or Section 5(b)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86" w:lineRule="exact"/>
        <w:rPr>
          <w:rFonts w:ascii="Arial" w:cs="Arial" w:eastAsia="Arial" w:hAnsi="Arial"/>
          <w:sz w:val="18"/>
          <w:szCs w:val="18"/>
          <w:color w:val="auto"/>
        </w:rPr>
      </w:pPr>
    </w:p>
    <w:p>
      <w:pPr>
        <w:ind w:firstLine="656"/>
        <w:spacing w:after="0" w:line="342" w:lineRule="auto"/>
        <w:tabs>
          <w:tab w:leader="none" w:pos="955" w:val="left"/>
        </w:tabs>
        <w:numPr>
          <w:ilvl w:val="1"/>
          <w:numId w:val="7"/>
        </w:numPr>
        <w:rPr>
          <w:rFonts w:ascii="Arial" w:cs="Arial" w:eastAsia="Arial" w:hAnsi="Arial"/>
          <w:sz w:val="16"/>
          <w:szCs w:val="16"/>
          <w:color w:val="auto"/>
        </w:rPr>
      </w:pPr>
      <w:r>
        <w:rPr>
          <w:rFonts w:ascii="Arial" w:cs="Arial" w:eastAsia="Arial" w:hAnsi="Arial"/>
          <w:sz w:val="16"/>
          <w:szCs w:val="16"/>
          <w:color w:val="auto"/>
        </w:rPr>
        <w:t>Upon the occurrence of an Event of Default specified in Sections 5(c) and 5(d), the unpaid principal balance of this Note, and all other sums payable with regard to this Note, shall automatically and immediately become due and payable, in all cases without any action on the part of Payee.</w:t>
      </w:r>
    </w:p>
    <w:p>
      <w:pPr>
        <w:spacing w:after="0" w:line="119" w:lineRule="exact"/>
        <w:rPr>
          <w:rFonts w:ascii="Arial" w:cs="Arial" w:eastAsia="Arial" w:hAnsi="Arial"/>
          <w:sz w:val="16"/>
          <w:szCs w:val="16"/>
          <w:color w:val="auto"/>
        </w:rPr>
      </w:pPr>
    </w:p>
    <w:p>
      <w:pPr>
        <w:ind w:firstLine="8"/>
        <w:spacing w:after="0" w:line="312" w:lineRule="auto"/>
        <w:tabs>
          <w:tab w:leader="none" w:pos="225"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Enforcement Costs</w:t>
      </w:r>
      <w:r>
        <w:rPr>
          <w:rFonts w:ascii="Arial" w:cs="Arial" w:eastAsia="Arial" w:hAnsi="Arial"/>
          <w:sz w:val="17"/>
          <w:szCs w:val="17"/>
          <w:color w:val="auto"/>
        </w:rPr>
        <w:t>. In case any principal of on this Note is not paid when due, Maker shall be liable for all costs of enforcement and collection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Note incurred by Payee and any other Holders (as defined below), including but not limited to, reasonable attorneys’ fees and expenses.</w:t>
      </w:r>
    </w:p>
    <w:p>
      <w:pPr>
        <w:spacing w:after="0" w:line="139" w:lineRule="exact"/>
        <w:rPr>
          <w:rFonts w:ascii="Arial" w:cs="Arial" w:eastAsia="Arial" w:hAnsi="Arial"/>
          <w:sz w:val="17"/>
          <w:szCs w:val="17"/>
          <w:b w:val="1"/>
          <w:bCs w:val="1"/>
          <w:color w:val="auto"/>
        </w:rPr>
      </w:pPr>
    </w:p>
    <w:p>
      <w:pPr>
        <w:jc w:val="both"/>
        <w:ind w:firstLine="8"/>
        <w:spacing w:after="0" w:line="294" w:lineRule="auto"/>
        <w:tabs>
          <w:tab w:leader="none" w:pos="1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Waivers. </w:t>
      </w:r>
      <w:r>
        <w:rPr>
          <w:rFonts w:ascii="Arial" w:cs="Arial" w:eastAsia="Arial" w:hAnsi="Arial"/>
          <w:sz w:val="16"/>
          <w:szCs w:val="16"/>
          <w:color w:val="auto"/>
        </w:rPr>
        <w:t>Maker and all endorsers and guarantors of, and sureties for, this Note waive presentment for payment, demand, notice of dishonor, protest, and</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or any writ of execution issued hereon, may be sold upon any such writ in whole or in part in any order desired by Payee.</w:t>
      </w:r>
    </w:p>
    <w:p>
      <w:pPr>
        <w:spacing w:after="0" w:line="159" w:lineRule="exact"/>
        <w:rPr>
          <w:rFonts w:ascii="Arial" w:cs="Arial" w:eastAsia="Arial" w:hAnsi="Arial"/>
          <w:sz w:val="16"/>
          <w:szCs w:val="16"/>
          <w:b w:val="1"/>
          <w:bCs w:val="1"/>
          <w:color w:val="auto"/>
        </w:rPr>
      </w:pPr>
    </w:p>
    <w:p>
      <w:pPr>
        <w:jc w:val="both"/>
        <w:ind w:firstLine="8"/>
        <w:spacing w:after="0" w:line="272" w:lineRule="auto"/>
        <w:tabs>
          <w:tab w:leader="none" w:pos="193"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Unconditional Liability. </w:t>
      </w:r>
      <w:r>
        <w:rPr>
          <w:rFonts w:ascii="Arial" w:cs="Arial" w:eastAsia="Arial" w:hAnsi="Arial"/>
          <w:sz w:val="17"/>
          <w:szCs w:val="17"/>
          <w:color w:val="auto"/>
        </w:rPr>
        <w:t>Maker hereby waives all notices in connection with the delivery, acceptance, performance, default, or enforcement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 Any failure of Payee to exercise any right hereunder shall not be construed as a waiver of the right to exercise the same or any other right at any time and from time to time thereafter. Payee may accept late payments, or partial payments, even though marked “payment in full” or containing words of similar import or other conditions, without waiving any of its rights.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ind w:firstLine="8"/>
        <w:spacing w:after="0" w:line="253" w:lineRule="auto"/>
        <w:tabs>
          <w:tab w:leader="none" w:pos="297"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statements or other documents which are required or contemplated by this Note shall be made in writing and delivered: (i)</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or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 As of the date of this Note, the following addresses are designated for notices: (a) if to Maker, Archimedes Tech SPAC Partners Co., 2093 Philadelphia Pike #1968, Claymont, DE 19703, Attn: Long Long, email: long@spacpartners.com; (b) if to Payee, SPAC Partners LLC, 2093 Philadelphia Pike #1968, Claymont, DE 19703, Attn: Stephen N. Cannon, email: steve@spacpartners.com.</w:t>
      </w:r>
    </w:p>
    <w:p>
      <w:pPr>
        <w:spacing w:after="0" w:line="194" w:lineRule="exact"/>
        <w:rPr>
          <w:rFonts w:ascii="Arial" w:cs="Arial" w:eastAsia="Arial" w:hAnsi="Arial"/>
          <w:sz w:val="18"/>
          <w:szCs w:val="18"/>
          <w:b w:val="1"/>
          <w:bCs w:val="1"/>
          <w:color w:val="auto"/>
        </w:rPr>
      </w:pPr>
    </w:p>
    <w:p>
      <w:pPr>
        <w:jc w:val="both"/>
        <w:ind w:firstLine="8"/>
        <w:spacing w:after="0" w:line="272" w:lineRule="auto"/>
        <w:tabs>
          <w:tab w:leader="none" w:pos="327"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Construction; Governing Law; Venue; Waiver of Jury Trial; Etc. </w:t>
      </w:r>
      <w:r>
        <w:rPr>
          <w:rFonts w:ascii="Arial" w:cs="Arial" w:eastAsia="Arial" w:hAnsi="Arial"/>
          <w:sz w:val="17"/>
          <w:szCs w:val="17"/>
          <w:color w:val="auto"/>
        </w:rPr>
        <w:t>THIS NOTE SHALL BE CONSTRUED AND ENFORCED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ACCORDANCE WITH THE LAWS OF THE STATE OF NEW YORK, WITHOUT REGARD TO CONFLICT OF LAW PROVISIONS THEREOF. MAKER </w:t>
      </w:r>
      <w:r>
        <w:rPr>
          <w:rFonts w:ascii="Arial" w:cs="Arial" w:eastAsia="Arial" w:hAnsi="Arial"/>
          <w:sz w:val="17"/>
          <w:szCs w:val="17"/>
          <w:b w:val="1"/>
          <w:bCs w:val="1"/>
          <w:color w:val="auto"/>
        </w:rPr>
        <w:t>HEREBY IRREVOCABLY AND UNCONDITIONALLY SUBMITS, FOR ITSELF AND ITS PROPERTY, TO THE NONEXCLUSIVE</w:t>
      </w:r>
    </w:p>
    <w:p>
      <w:pPr>
        <w:spacing w:after="0" w:line="1" w:lineRule="exact"/>
        <w:rPr>
          <w:rFonts w:ascii="Arial" w:cs="Arial" w:eastAsia="Arial" w:hAnsi="Arial"/>
          <w:sz w:val="17"/>
          <w:szCs w:val="17"/>
          <w:b w:val="1"/>
          <w:bCs w:val="1"/>
          <w:color w:val="auto"/>
        </w:rPr>
      </w:pPr>
    </w:p>
    <w:p>
      <w:pPr>
        <w:jc w:val="both"/>
        <w:spacing w:after="0" w:line="251" w:lineRule="auto"/>
        <w:rPr>
          <w:rFonts w:ascii="Arial" w:cs="Arial" w:eastAsia="Arial" w:hAnsi="Arial"/>
          <w:sz w:val="17"/>
          <w:szCs w:val="17"/>
          <w:b w:val="1"/>
          <w:bCs w:val="1"/>
          <w:color w:val="auto"/>
        </w:rPr>
      </w:pPr>
      <w:r>
        <w:rPr>
          <w:rFonts w:ascii="Arial" w:cs="Arial" w:eastAsia="Arial" w:hAnsi="Arial"/>
          <w:sz w:val="18"/>
          <w:szCs w:val="18"/>
          <w:b w:val="1"/>
          <w:bCs w:val="1"/>
          <w:color w:val="auto"/>
        </w:rPr>
        <w:t>JURISDICTION OF THE SUPREME COURT OF THE STATE OF NEW YORK SITTING IN NEW YORK COUNTY AND OF THE UNITED STATES DISTRICT COURT OF THE SOUTHERN DISTRICT OF NEW YORK, AND ANY APPELLATE COURT FROM ANY THEREOF, IN ANY ACTION OR PROCEEDING ARISING OUT OF OR RELATING TO THIS NOTE,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NOTE SHALL AFFECT ANY RIGHT THAT PAYEE OR ANY OTHER HOLDER MAY OTHERWISE HAVE TO BRING ANY ACTION OR PROCEEDING RELATING TO THIS NOTE AGAINST MAKER OR ITS PROPERTIES IN THE COURTS OF ANY OTHER JURISDICTION. MAKER WAIVES PERSONAL SERVICE OF ANY AND ALL PROCESS UPON IT AND CONSENTS THAT ALL SUCH SERVICE OF PROCESS BE MADE BY REGISTERED MAIL DIRECTED TO MAKER AT ITS ADDRESS SET FORTH IN SECTION 10 OR TO ANY OTHER ADDRESS AS MAY APPEAR IN PAYEE’S OR SUCH OTHER HOLDER’S RECORDS AS THE ADDRESS OF MAKER. IN ANY ACTION, SUIT OR PROCEEDING IN RESPECT OF OR ARISING OUT OF THIS NOTE, PAYEE AND MAKER WAIVE TRIAL BY JURY, AND EACH OF MAKER AND PAYEE WAIVES (I) THE RIGHT TO INTERPOSE ANY SET-OFF OR COUNTERCLAIM OF ANY NATURE OR DESCRIPTION, (II) ANY OBJECTION BASED ON FORUM NON CONVENIENS OR VENUE, AND (III) ANY CLAIM FOR CONSEQUENTIAL, PUNITIVE OR SPECIAL DAMAGES.</w:t>
      </w:r>
    </w:p>
    <w:p>
      <w:pPr>
        <w:spacing w:after="0" w:line="189" w:lineRule="exact"/>
        <w:rPr>
          <w:rFonts w:ascii="Arial" w:cs="Arial" w:eastAsia="Arial" w:hAnsi="Arial"/>
          <w:sz w:val="17"/>
          <w:szCs w:val="17"/>
          <w:b w:val="1"/>
          <w:bCs w:val="1"/>
          <w:color w:val="auto"/>
        </w:rPr>
      </w:pPr>
    </w:p>
    <w:p>
      <w:pPr>
        <w:jc w:val="both"/>
        <w:ind w:firstLine="8"/>
        <w:spacing w:after="0" w:line="266" w:lineRule="auto"/>
        <w:tabs>
          <w:tab w:leader="none" w:pos="27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Any provision contained in this Note which is prohibited or unenforceable in any jurisdiction shall, as to such jurisdiction, be ineffective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5" w:lineRule="exact"/>
        <w:rPr>
          <w:rFonts w:ascii="Arial" w:cs="Arial" w:eastAsia="Arial" w:hAnsi="Arial"/>
          <w:sz w:val="18"/>
          <w:szCs w:val="18"/>
          <w:b w:val="1"/>
          <w:bCs w:val="1"/>
          <w:color w:val="auto"/>
        </w:rPr>
      </w:pPr>
    </w:p>
    <w:p>
      <w:pPr>
        <w:jc w:val="both"/>
        <w:ind w:firstLine="8"/>
        <w:spacing w:after="0" w:line="271" w:lineRule="auto"/>
        <w:tabs>
          <w:tab w:leader="none" w:pos="27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Trust Waiver</w:t>
      </w:r>
      <w:r>
        <w:rPr>
          <w:rFonts w:ascii="Arial" w:cs="Arial" w:eastAsia="Arial" w:hAnsi="Arial"/>
          <w:sz w:val="17"/>
          <w:szCs w:val="17"/>
          <w:color w:val="auto"/>
        </w:rPr>
        <w:t>. Notwithstanding anything herein to the contrary, but subject to the following sentence of this Section 13, Payee hereby waives any and</w:t>
      </w:r>
      <w:r>
        <w:rPr>
          <w:rFonts w:ascii="Arial" w:cs="Arial" w:eastAsia="Arial" w:hAnsi="Arial"/>
          <w:sz w:val="17"/>
          <w:szCs w:val="17"/>
          <w:b w:val="1"/>
          <w:bCs w:val="1"/>
          <w:color w:val="auto"/>
        </w:rPr>
        <w:t xml:space="preserve"> </w:t>
      </w:r>
      <w:r>
        <w:rPr>
          <w:rFonts w:ascii="Arial" w:cs="Arial" w:eastAsia="Arial" w:hAnsi="Arial"/>
          <w:sz w:val="17"/>
          <w:szCs w:val="17"/>
          <w:color w:val="auto"/>
        </w:rPr>
        <w:t>all right, title, interest or claim of any kind (“</w:t>
      </w:r>
      <w:r>
        <w:rPr>
          <w:rFonts w:ascii="Arial" w:cs="Arial" w:eastAsia="Arial" w:hAnsi="Arial"/>
          <w:sz w:val="17"/>
          <w:szCs w:val="17"/>
          <w:b w:val="1"/>
          <w:bCs w:val="1"/>
          <w:color w:val="auto"/>
        </w:rPr>
        <w:t>Claim</w:t>
      </w:r>
      <w:r>
        <w:rPr>
          <w:rFonts w:ascii="Arial" w:cs="Arial" w:eastAsia="Arial" w:hAnsi="Arial"/>
          <w:sz w:val="17"/>
          <w:szCs w:val="17"/>
          <w:color w:val="auto"/>
        </w:rPr>
        <w:t>”) in or to any distribution of or from the trust account (the “</w:t>
      </w:r>
      <w:r>
        <w:rPr>
          <w:rFonts w:ascii="Arial" w:cs="Arial" w:eastAsia="Arial" w:hAnsi="Arial"/>
          <w:sz w:val="17"/>
          <w:szCs w:val="17"/>
          <w:b w:val="1"/>
          <w:bCs w:val="1"/>
          <w:color w:val="auto"/>
        </w:rPr>
        <w:t>Trust Account</w:t>
      </w:r>
      <w:r>
        <w:rPr>
          <w:rFonts w:ascii="Arial" w:cs="Arial" w:eastAsia="Arial" w:hAnsi="Arial"/>
          <w:sz w:val="17"/>
          <w:szCs w:val="17"/>
          <w:color w:val="auto"/>
        </w:rPr>
        <w:t>”) established in which the proceeds of the initial public offering (the “</w:t>
      </w:r>
      <w:r>
        <w:rPr>
          <w:rFonts w:ascii="Arial" w:cs="Arial" w:eastAsia="Arial" w:hAnsi="Arial"/>
          <w:sz w:val="17"/>
          <w:szCs w:val="17"/>
          <w:b w:val="1"/>
          <w:bCs w:val="1"/>
          <w:color w:val="auto"/>
        </w:rPr>
        <w:t>IPO</w:t>
      </w:r>
      <w:r>
        <w:rPr>
          <w:rFonts w:ascii="Arial" w:cs="Arial" w:eastAsia="Arial" w:hAnsi="Arial"/>
          <w:sz w:val="17"/>
          <w:szCs w:val="17"/>
          <w:color w:val="auto"/>
        </w:rPr>
        <w:t>”) conducted by Maker (including the deferred underwriters’ discounts and commissions) and the proceeds of the sale of the units issued in a private placement that occurred prior to the closing of the IPO were deposited, as described in greater detail in Maker’s Registration Statements on Form S-1 (File No. 333-254114 and 333-253108) filed with the Securities and Exchange Commission in connection with the IPO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hereby agrees not to seek recourse, reimbursement, payment or satisfaction for any Claim against the Trust Account for any reason whatsoever. Notwithstanding the foregoing, Payee does not waive any Claims and does not waive its rights to seek recourse, reimbursement, payment or satisfaction for any Claim against the Trust Account for distributions of remaining funds released to Maker from the Trust Account following redemptions or other distributions to Maker’s public stockholders.</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r>
        <w:rPr>
          <w:rFonts w:ascii="Arial" w:cs="Arial" w:eastAsia="Arial" w:hAnsi="Arial"/>
          <w:sz w:val="18"/>
          <w:szCs w:val="18"/>
          <w:b w:val="1"/>
          <w:bCs w:val="1"/>
          <w:color w:val="auto"/>
        </w:rPr>
        <w:t xml:space="preserve"> Amendment; Waiver</w:t>
      </w:r>
      <w:r>
        <w:rPr>
          <w:rFonts w:ascii="Arial" w:cs="Arial" w:eastAsia="Arial" w:hAnsi="Arial"/>
          <w:sz w:val="18"/>
          <w:szCs w:val="18"/>
          <w:color w:val="auto"/>
        </w:rPr>
        <w:t>. Any amendment hereto or waiver of any provision hereof may be made with, and only with, the written consent of Maker and</w:t>
      </w:r>
      <w:r>
        <w:rPr>
          <w:rFonts w:ascii="Arial" w:cs="Arial" w:eastAsia="Arial" w:hAnsi="Arial"/>
          <w:sz w:val="18"/>
          <w:szCs w:val="18"/>
          <w:b w:val="1"/>
          <w:bCs w:val="1"/>
          <w:color w:val="auto"/>
        </w:rPr>
        <w:t xml:space="preserve"> </w:t>
      </w:r>
      <w:r>
        <w:rPr>
          <w:rFonts w:ascii="Arial" w:cs="Arial" w:eastAsia="Arial" w:hAnsi="Arial"/>
          <w:sz w:val="18"/>
          <w:szCs w:val="18"/>
          <w:color w:val="auto"/>
        </w:rPr>
        <w:t>Payee.</w:t>
      </w:r>
    </w:p>
    <w:p>
      <w:pPr>
        <w:spacing w:after="0" w:line="16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15</w:t>
      </w:r>
      <w:r>
        <w:rPr>
          <w:rFonts w:ascii="Arial" w:cs="Arial" w:eastAsia="Arial" w:hAnsi="Arial"/>
          <w:sz w:val="16"/>
          <w:szCs w:val="16"/>
          <w:color w:val="auto"/>
        </w:rPr>
        <w:t>.</w:t>
      </w:r>
      <w:r>
        <w:rPr>
          <w:rFonts w:ascii="Arial" w:cs="Arial" w:eastAsia="Arial" w:hAnsi="Arial"/>
          <w:sz w:val="16"/>
          <w:szCs w:val="16"/>
          <w:b w:val="1"/>
          <w:bCs w:val="1"/>
          <w:color w:val="auto"/>
        </w:rPr>
        <w:t xml:space="preserve"> Assignment</w:t>
      </w:r>
      <w:r>
        <w:rPr>
          <w:rFonts w:ascii="Arial" w:cs="Arial" w:eastAsia="Arial" w:hAnsi="Arial"/>
          <w:sz w:val="16"/>
          <w:szCs w:val="16"/>
          <w:color w:val="auto"/>
        </w:rPr>
        <w:t>. This Note binds and is for the benefit of the successors and permitted assigns of Maker and Payee. No assignment or transfer of this Note</w:t>
      </w:r>
      <w:r>
        <w:rPr>
          <w:rFonts w:ascii="Arial" w:cs="Arial" w:eastAsia="Arial" w:hAnsi="Arial"/>
          <w:sz w:val="16"/>
          <w:szCs w:val="16"/>
          <w:b w:val="1"/>
          <w:bCs w:val="1"/>
          <w:color w:val="auto"/>
        </w:rPr>
        <w:t xml:space="preserve"> </w:t>
      </w:r>
      <w:r>
        <w:rPr>
          <w:rFonts w:ascii="Arial" w:cs="Arial" w:eastAsia="Arial" w:hAnsi="Arial"/>
          <w:sz w:val="16"/>
          <w:szCs w:val="16"/>
          <w:color w:val="auto"/>
        </w:rPr>
        <w:t>or any rights or obligations hereunder may be made by any party hereto (by operation of law or otherwise) without the prior written consent of the other party hereto and any attempted assignment without the required consent shall be void; provided, that (i) upon the announcement of a Business Combination or occurrence and during the continuation of an Event of Default, Payee shall have the right to assign this Note in its discretion without the consent of Maker and (ii) Payee shall be permitted to collaterally assign its respective rights under this Note to any lender or lenders providing financing to Payee.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Maker, intending to be legally bound hereby, has caused this Note to be duly executed by the undersigned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16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Long Long</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Payment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2498090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04"/>
    </w:lvl>
  </w:abstractNum>
  <w:abstractNum w:abstractNumId="2">
    <w:nsid w:val="3D1B58BA"/>
    <w:multiLevelType w:val="hybridMultilevel"/>
    <w:lvl w:ilvl="0">
      <w:lvlJc w:val="left"/>
      <w:lvlText w:val="%1."/>
      <w:numFmt w:val="decimal"/>
      <w:start w:val="1"/>
    </w:lvl>
    <w:lvl w:ilvl="1">
      <w:lvlJc w:val="left"/>
      <w:lvlText w:val="(%2)"/>
      <w:numFmt w:val="lowerLetter"/>
      <w:start w:val="1"/>
    </w:lvl>
  </w:abstractNum>
  <w:abstractNum w:abstractNumId="3">
    <w:nsid w:val="507ED7AB"/>
    <w:multiLevelType w:val="hybridMultilevel"/>
    <w:lvl w:ilvl="0">
      <w:lvlJc w:val="left"/>
      <w:lvlText w:val="%1"/>
      <w:numFmt w:val="decimal"/>
      <w:start w:val="1"/>
    </w:lvl>
    <w:lvl w:ilvl="1">
      <w:lvlJc w:val="left"/>
      <w:lvlText w:val="(%2)"/>
      <w:numFmt w:val="lowerLetter"/>
      <w:start w:val="2"/>
    </w:lvl>
  </w:abstractNum>
  <w:abstractNum w:abstractNumId="4">
    <w:nsid w:val="2EB141F2"/>
    <w:multiLevelType w:val="hybridMultilevel"/>
    <w:lvl w:ilvl="0">
      <w:lvlJc w:val="left"/>
      <w:lvlText w:val="%1."/>
      <w:numFmt w:val="decimal"/>
      <w:start w:val="2"/>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3"/>
    </w:lvl>
  </w:abstractNum>
  <w:abstractNum w:abstractNumId="6">
    <w:nsid w:val="79E2A9E3"/>
    <w:multiLevelType w:val="hybridMultilevel"/>
    <w:lvl w:ilvl="0">
      <w:lvlJc w:val="left"/>
      <w:lvlText w:val="%1."/>
      <w:numFmt w:val="decimal"/>
      <w:start w:val="6"/>
    </w:lvl>
    <w:lvl w:ilvl="1">
      <w:lvlJc w:val="left"/>
      <w:lvlText w:val="(%2)"/>
      <w:numFmt w:val="lowerLetter"/>
      <w:start w:val="1"/>
    </w:lvl>
  </w:abstractNum>
  <w:abstractNum w:abstractNumId="7">
    <w:nsid w:val="7545E146"/>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2022-04-25T18:33:55Z</dcterms:created>
  <dcterms:modified xsi:type="dcterms:W3CDTF">2022-04-25T18:33:55Z</dcterms:modified>
</cp:coreProperties>
</file>