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736-8k_sound.htm"/>
      <w:bookmarkStart w:id="1" w:name="ksea02977368k_sound"/>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0713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July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165"/>
        <w:gridCol w:w="60"/>
        <w:gridCol w:w="2615"/>
        <w:gridCol w:w="60"/>
        <w:gridCol w:w="1535"/>
      </w:tblGrid>
      <w:tr>
        <w:trPr/>
        <w:tc>
          <w:tcPr>
            <w:tcW w:w="2165" w:type="dxa"/>
            <w:tcBorders>
              <w:bottom w:val="single" w:sz="12" w:space="0" w:color="000000"/>
            </w:tcBorders>
            <w:vAlign w:val="center"/>
          </w:tcPr>
          <w:p>
            <w:pPr>
              <w:pStyle w:val="TableContents"/>
              <w:bidi w:val="0"/>
              <w:spacing w:before="0" w:after="283"/>
              <w:jc w:val="center"/>
              <w:rPr>
                <w:b/>
              </w:rPr>
            </w:pPr>
            <w:bookmarkStart w:id="5" w:name="xdx_904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D_edei--EntityFileNumber_c20260713"/>
            <w:bookmarkEnd w:id="6"/>
            <w:r>
              <w:rPr>
                <w:b/>
              </w:rPr>
              <w:t>001-40193</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rPr>
            </w:pPr>
            <w:bookmarkStart w:id="7" w:name="xdx_90C_edei--EntityTaxIdentificationNum"/>
            <w:bookmarkEnd w:id="7"/>
            <w:r>
              <w:rPr>
                <w:b/>
              </w:rPr>
              <w:t>85-1286799</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jc w:val="center"/>
              <w:rPr>
                <w:b/>
              </w:rPr>
            </w:pPr>
            <w:bookmarkStart w:id="8" w:name="xdx_902_edei--EntityAddressAddressLine1_"/>
            <w:bookmarkEnd w:id="8"/>
            <w:r>
              <w:rPr>
                <w:b/>
              </w:rPr>
              <w:t>5400 Betsy Ross Drive</w:t>
            </w:r>
          </w:p>
          <w:p>
            <w:pPr>
              <w:pStyle w:val="TableContents"/>
              <w:bidi w:val="0"/>
              <w:spacing w:before="0" w:after="283"/>
              <w:jc w:val="center"/>
              <w:rPr/>
            </w:pPr>
            <w:bookmarkStart w:id="9" w:name="xdx_908_edei--EntityAddressCityOrTown_c2"/>
            <w:bookmarkEnd w:id="9"/>
            <w:r>
              <w:rPr>
                <w:b/>
              </w:rPr>
              <w:t xml:space="preserve">Santa Clara, </w:t>
            </w:r>
            <w:bookmarkStart w:id="10" w:name="xdx_903_edei--EntityAddressStateOrProvin"/>
            <w:bookmarkEnd w:id="10"/>
            <w:r>
              <w:rPr>
                <w:b/>
              </w:rPr>
              <w:t>CA</w:t>
            </w:r>
          </w:p>
        </w:tc>
        <w:tc>
          <w:tcPr>
            <w:tcW w:w="60" w:type="dxa"/>
            <w:tcBorders/>
            <w:tcMar>
              <w:bottom w:w="0" w:type="dxa"/>
            </w:tcMar>
            <w:vAlign w:val="center"/>
          </w:tcPr>
          <w:p>
            <w:pPr>
              <w:pStyle w:val="TableContents"/>
              <w:bidi w:val="0"/>
              <w:spacing w:before="0" w:after="283"/>
              <w:jc w:val="left"/>
              <w:rPr/>
            </w:pPr>
            <w:r>
              <w:rPr/>
              <w:t> </w:t>
            </w:r>
          </w:p>
        </w:tc>
        <w:tc>
          <w:tcPr>
            <w:tcW w:w="1085" w:type="dxa"/>
            <w:tcBorders>
              <w:bottom w:val="single" w:sz="12" w:space="0" w:color="000000"/>
            </w:tcBorders>
            <w:vAlign w:val="center"/>
          </w:tcPr>
          <w:p>
            <w:pPr>
              <w:pStyle w:val="TableContents"/>
              <w:bidi w:val="0"/>
              <w:spacing w:before="0" w:after="283"/>
              <w:jc w:val="center"/>
              <w:rPr>
                <w:b/>
              </w:rPr>
            </w:pPr>
            <w:bookmarkStart w:id="11" w:name="xdx_903_edei--EntityAddressPostalZipCode"/>
            <w:bookmarkEnd w:id="11"/>
            <w:r>
              <w:rPr>
                <w:b/>
              </w:rPr>
              <w:t>95054</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2" w:name="xdx_903_edei--CityAreaCode_c20260713__20"/>
      <w:bookmarkEnd w:id="12"/>
      <w:r>
        <w:rPr>
          <w:rFonts w:ascii="Times New Roman;Times;Serif" w:hAnsi="Times New Roman;Times;Serif"/>
          <w:b w:val="false"/>
          <w:i w:val="false"/>
          <w:caps w:val="false"/>
          <w:smallCaps w:val="false"/>
          <w:sz w:val="20"/>
        </w:rPr>
        <w:t xml:space="preserve">408) </w:t>
      </w:r>
      <w:bookmarkStart w:id="13" w:name="xdx_903_edei--LocalPhoneNumber_c20260713"/>
      <w:bookmarkEnd w:id="13"/>
      <w:r>
        <w:rPr>
          <w:rFonts w:ascii="Times New Roman;Times;Serif" w:hAnsi="Times New Roman;Times;Serif"/>
          <w:b w:val="false"/>
          <w:i w:val="false"/>
          <w:caps w:val="false"/>
          <w:smallCaps w:val="false"/>
          <w:sz w:val="20"/>
        </w:rPr>
        <w:t>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4" w:name="xdx_907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302" w:right="0" w:hanging="302"/>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5" w:name="xdx_909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302" w:right="0" w:hanging="30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302" w:right="0" w:hanging="30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302" w:right="0" w:hanging="302"/>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28"/>
        <w:gridCol w:w="60"/>
        <w:gridCol w:w="1250"/>
        <w:gridCol w:w="60"/>
        <w:gridCol w:w="2907"/>
      </w:tblGrid>
      <w:tr>
        <w:trPr/>
        <w:tc>
          <w:tcPr>
            <w:tcW w:w="5928"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250"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center"/>
              <w:rPr/>
            </w:pPr>
            <w:r>
              <w:rPr/>
              <w:t> </w:t>
            </w:r>
          </w:p>
        </w:tc>
        <w:tc>
          <w:tcPr>
            <w:tcW w:w="2907"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5928" w:type="dxa"/>
            <w:tcBorders/>
            <w:shd w:fill="CCEEFF" w:val="clear"/>
            <w:tcMar>
              <w:bottom w:w="0" w:type="dxa"/>
            </w:tcMar>
            <w:vAlign w:val="center"/>
          </w:tcPr>
          <w:p>
            <w:pPr>
              <w:pStyle w:val="TableContents"/>
              <w:bidi w:val="0"/>
              <w:spacing w:before="0" w:after="283"/>
              <w:jc w:val="center"/>
              <w:rPr/>
            </w:pPr>
            <w:bookmarkStart w:id="18" w:name="xdx_90F_edei--Security12bTitle_c20260713"/>
            <w:bookmarkEnd w:id="18"/>
            <w:r>
              <w:rPr/>
              <w:t>Class A 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283"/>
              <w:jc w:val="center"/>
              <w:rPr/>
            </w:pPr>
            <w:bookmarkStart w:id="19" w:name="xdx_90C_edei--TradingSymbol_c20260713__2"/>
            <w:bookmarkEnd w:id="19"/>
            <w:r>
              <w:rPr/>
              <w:t>SOUN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07" w:type="dxa"/>
            <w:tcBorders/>
            <w:shd w:fill="CCEEFF" w:val="clear"/>
            <w:tcMar>
              <w:bottom w:w="0" w:type="dxa"/>
            </w:tcMar>
            <w:vAlign w:val="center"/>
          </w:tcPr>
          <w:p>
            <w:pPr>
              <w:pStyle w:val="TableContents"/>
              <w:bidi w:val="0"/>
              <w:spacing w:before="0" w:after="283"/>
              <w:jc w:val="center"/>
              <w:rPr/>
            </w:pPr>
            <w:r>
              <w:rPr/>
              <w:t xml:space="preserve">The </w:t>
            </w:r>
            <w:bookmarkStart w:id="20" w:name="xdx_90D_edei--SecurityExchangeName_c2026"/>
            <w:bookmarkEnd w:id="20"/>
            <w:r>
              <w:rPr/>
              <w:t>Nasdaq Stock Market LLC</w:t>
            </w:r>
          </w:p>
        </w:tc>
      </w:tr>
      <w:tr>
        <w:trPr/>
        <w:tc>
          <w:tcPr>
            <w:tcW w:w="5928" w:type="dxa"/>
            <w:tcBorders/>
            <w:shd w:fill="FFFFFF" w:val="clear"/>
            <w:tcMar>
              <w:bottom w:w="0" w:type="dxa"/>
            </w:tcMar>
            <w:vAlign w:val="center"/>
          </w:tcPr>
          <w:p>
            <w:pPr>
              <w:pStyle w:val="TableContents"/>
              <w:bidi w:val="0"/>
              <w:spacing w:before="0" w:after="283"/>
              <w:jc w:val="center"/>
              <w:rPr/>
            </w:pPr>
            <w:bookmarkStart w:id="21" w:name="xdx_90F_edei--Security12bTitle_c20260713"/>
            <w:bookmarkEnd w:id="21"/>
            <w:r>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283"/>
              <w:jc w:val="center"/>
              <w:rPr/>
            </w:pPr>
            <w:bookmarkStart w:id="22" w:name="xdx_90E_edei--TradingSymbol_c20260713__2"/>
            <w:bookmarkEnd w:id="22"/>
            <w:r>
              <w:rPr/>
              <w:t>SOUNW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07" w:type="dxa"/>
            <w:tcBorders/>
            <w:shd w:fill="FFFFFF" w:val="clear"/>
            <w:tcMar>
              <w:bottom w:w="0" w:type="dxa"/>
            </w:tcMar>
            <w:vAlign w:val="center"/>
          </w:tcPr>
          <w:p>
            <w:pPr>
              <w:pStyle w:val="TableContents"/>
              <w:bidi w:val="0"/>
              <w:spacing w:before="0" w:after="283"/>
              <w:jc w:val="center"/>
              <w:rPr/>
            </w:pPr>
            <w:r>
              <w:rPr/>
              <w:t xml:space="preserve">The </w:t>
            </w:r>
            <w:bookmarkStart w:id="23" w:name="xdx_90A_edei--SecurityExchangeName_c2026"/>
            <w:bookmarkEnd w:id="23"/>
            <w:r>
              <w:rPr/>
              <w:t>Nasdaq Stock Market LLC</w:t>
            </w:r>
          </w:p>
        </w:tc>
      </w:tr>
    </w:tbl>
    <w:p>
      <w:pPr>
        <w:pStyle w:val="TextBody"/>
        <w:bidi w:val="0"/>
        <w:spacing w:before="0" w:after="0"/>
        <w:ind w:left="302" w:right="0" w:hanging="30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1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Pro Forma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by SoundHound AI,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its Current Report on Form 8-K filed with the Securities and Exchange Commission on July 2, 2026, the Company entered into an Amended and Restated Merger Agreement (the “</w:t>
      </w:r>
      <w:r>
        <w:rPr>
          <w:rFonts w:ascii="Times New Roman;Times;Serif" w:hAnsi="Times New Roman;Times;Serif"/>
          <w:b w:val="false"/>
          <w:i w:val="false"/>
          <w:caps w:val="false"/>
          <w:smallCaps w:val="false"/>
          <w:sz w:val="20"/>
          <w:u w:val="single"/>
        </w:rPr>
        <w:t>Amended and Restated Merger Agreement</w:t>
      </w:r>
      <w:r>
        <w:rPr>
          <w:rFonts w:ascii="Times New Roman;Times;Serif" w:hAnsi="Times New Roman;Times;Serif"/>
          <w:b w:val="false"/>
          <w:i w:val="false"/>
          <w:caps w:val="false"/>
          <w:smallCaps w:val="false"/>
          <w:sz w:val="20"/>
        </w:rPr>
        <w:t>”) with LivePerson, Inc., Lightspeed Merger Sub Inc. and Lightspeed Merger Sub II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Amended and Restated Merger Agreement, the Company revised the unaudited pro forma condensed combined financial information of the Company and LivePerson as of and for the year ended December 31, 2025 and the three months ended March 31, 2026, which is attached hereto as Exhibit 99.1 and incorporated herein by reference.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9773601ex99-1.htm">
              <w:r>
                <w:rPr>
                  <w:rStyle w:val="InternetLink"/>
                </w:rPr>
                <w:t>Unaudited pro forma condensed combined financial information of SoundHound AI, Inc. and LivePerson, Inc. as of and for the year ended December 31, 2025 and the three months ended March 31, 2026.</w:t>
              </w:r>
            </w:hyperlink>
          </w:p>
        </w:tc>
      </w:tr>
      <w:tr>
        <w:trPr/>
        <w:tc>
          <w:tcPr>
            <w:tcW w:w="890"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13, 2026</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75"/>
        <w:gridCol w:w="770"/>
        <w:gridCol w:w="2300"/>
      </w:tblGrid>
      <w:tr>
        <w:trPr/>
        <w:tc>
          <w:tcPr>
            <w:tcW w:w="7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SoundHound AI, Inc.</w:t>
            </w:r>
          </w:p>
        </w:tc>
      </w:tr>
      <w:tr>
        <w:trPr/>
        <w:tc>
          <w:tcPr>
            <w:tcW w:w="75" w:type="dxa"/>
            <w:tcBorders/>
            <w:vAlign w:val="center"/>
          </w:tcPr>
          <w:p>
            <w:pPr>
              <w:pStyle w:val="TableContents"/>
              <w:bidi w:val="0"/>
              <w:spacing w:before="0" w:after="283"/>
              <w:jc w:val="left"/>
              <w:rPr/>
            </w:pPr>
            <w:r>
              <w:rPr/>
              <w:t> </w:t>
            </w:r>
          </w:p>
        </w:tc>
        <w:tc>
          <w:tcPr>
            <w:tcW w:w="307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70" w:type="dxa"/>
            <w:gridSpan w:val="2"/>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xml:space="preserve">Name:  </w:t>
            </w:r>
          </w:p>
        </w:tc>
        <w:tc>
          <w:tcPr>
            <w:tcW w:w="2300" w:type="dxa"/>
            <w:tcBorders/>
            <w:vAlign w:val="center"/>
          </w:tcPr>
          <w:p>
            <w:pPr>
              <w:pStyle w:val="TableContents"/>
              <w:bidi w:val="0"/>
              <w:spacing w:before="0" w:after="283"/>
              <w:jc w:val="left"/>
              <w:rPr/>
            </w:pPr>
            <w:r>
              <w:rPr/>
              <w:t>Keyvan Mohajer</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ea029773601ex99-1.htm"/>
      <w:bookmarkStart w:id="26" w:name="ksea029773601ex991"/>
      <w:bookmarkEnd w:id="25"/>
      <w:bookmarkEnd w:id="26"/>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 xml:space="preserve">Unaudited Pro Forma Condensed Combined Financial Information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of SoundHound AI, Inc. (“SoundHound” or the “Company”) has been prepared in accordance with Article 11 of Regulation S-X and presents the combination of the historical financial information of SoundHound and LivePerson, Inc. (“LivePerson” or the “Target”), adjusted to give effect to the LivePerson Merger (as defined below). The unaudited pro forma condensed combined financial information of SoundHound also gives effect to the acquisition of Interactions Corporation (“Interactions”) that occurred on September 3, 2025 but was not reflected in the historical financial information of SoundHound for a full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Acquisitions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21, 2026, SoundHound, LivePerson and Lightspeed Merger Sub, Inc., an indirect, wholly owned subsidiary of SoundHound (“Merger Sub I”) entered into a Merger Agreement (the “Original Merger Agreement”), which was subsequently amended and restated on July 2, 2026, among SoundHound, LivePerson, Merger Sub I and Lightspeed Merger Sub II, Inc., an indirectly, wholly owned subsidiary of SoundHound (“Merger Sub II”) (the Original Merger Agreement, as amended and restated, the “Merger Agreement”). Upon the terms and subject to the conditions set forth in the Merger Agreement, Merger Sub I will be merged with and into LivePerson (the “First Merger”), with LivePerson surviving the First Merger as an indirect, wholly owned subsidiary of SoundHound and, immediately following the First Merger, Merger Sub II will be merged with and into LivePerson (the “Second Merger,” and together with the First Merger, collectively the “LivePerson Merger”), with LivePerson surviving the Second Merger as an indirect, wholly owned subsidiary of SoundHound. Also on April 21, 2026, concurrently with the execution of the Original Merger Agreement, SoundHound entered into a Notes Restructuring Agreement (the “Notes Restructuring Agreement”, together with the Merger Agreement, collectively, the “Transaction Agreements”) with LivePerson and the Secured Holders (as defined below), pursuant to which, and on the terms and subject to the conditions thereof, among other things, the Secured Holders have agreed to release and deem satisfied the Secured Notes for the consideration contemplated thereby.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provides for a two-step transaction for holders of LivePerson common stock.</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First, all shares of LivePerson common stock other than shares listed on the Tel Aviv Stock Exchange Ltd. (the “non-TASE Shares”) will be cancelled and converted into the right to receive the consideration described below, while the shares listed on the Tel Aviv Stock Exchange Ltd., (the “TASE Shares”) will remain issued and outstanding.</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Second, the TASE Shares will automatically be converted into the right to receive cash consideration, except for TASE Shares held by holders or beneficial owners of TASE Shares who (i) do not vote in favor of the merger proposal, (ii) properly demand appraisal of their shares of LivePerson Common Stock, (iii) continuously hold or beneficially own such shares through TASECH from the date of making the demand through the effective time of the Second Merger, (iv) otherwise comply with Section 262 of the DGCL and (v) do not withdraw or otherwise lose their appraisal rights. The Company expects all TASE Shares to be converted into cash consideration, except to the extent any TASE Shares are paid through the appraisal process.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Transaction Agreements, total consideration consisted of the following:</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Shares of SoundHound Class A common stock issued to holders of LivePerson’s First Lien Convertible Senior Notes due 2029 and 10.0% Second Lien Senior Subordinated Secured Notes (collectively, the “Secured Notes,” and the holders of such Secured Notes, the “Secured Holders”) equal to approximately $178.0 million and $83.2 million (the “First and Second Lien Stock Consideration”), respectively, each divided by the SoundHound Closing Stock Price.</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Consideration issued to holders of LivePerson common stock with an aggregate value of $42.8 million (the “Shareholder Consideration Amount”), subject to adjustment for LivePerson’s closing cash balance relative to a $74.0 million minimum cash threshold, divided by the SoundHound Closing Stock Price (the “Closing Merger Consideration”), and settled as follows:</w:t>
            </w:r>
          </w:p>
        </w:tc>
      </w:tr>
    </w:tbl>
    <w:p>
      <w:pPr>
        <w:pStyle w:val="TextBody"/>
        <w:bidi w:val="0"/>
        <w:spacing w:before="0" w:after="0"/>
        <w:jc w:val="center"/>
        <w:rPr>
          <w:caps w:val="false"/>
          <w:smallCaps w:val="false"/>
        </w:rPr>
      </w:pPr>
      <w:r>
        <w:rPr>
          <w:caps w:val="false"/>
          <w:smallCaps w:val="false"/>
        </w:rPr>
        <w:t> </w:t>
      </w:r>
    </w:p>
    <w:tbl>
      <w:tblPr>
        <w:tblW w:w="8778" w:type="dxa"/>
        <w:jc w:val="left"/>
        <w:tblInd w:w="0" w:type="dxa"/>
        <w:tblLayout w:type="fixed"/>
        <w:tblCellMar>
          <w:top w:w="0" w:type="dxa"/>
          <w:left w:w="0" w:type="dxa"/>
          <w:bottom w:w="0" w:type="dxa"/>
          <w:right w:w="0" w:type="dxa"/>
        </w:tblCellMar>
      </w:tblPr>
      <w:tblGrid>
        <w:gridCol w:w="38"/>
        <w:gridCol w:w="185"/>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8555" w:type="dxa"/>
            <w:tcBorders/>
            <w:vAlign w:val="center"/>
          </w:tcPr>
          <w:p>
            <w:pPr>
              <w:pStyle w:val="TableContents"/>
              <w:bidi w:val="0"/>
              <w:spacing w:before="0" w:after="283"/>
              <w:jc w:val="both"/>
              <w:rPr/>
            </w:pPr>
            <w:r>
              <w:rPr/>
              <w:t>shares of SoundHound Class A common stock issued to holders of the non-TASE Shares,</w:t>
            </w:r>
          </w:p>
        </w:tc>
      </w:tr>
    </w:tbl>
    <w:p>
      <w:pPr>
        <w:pStyle w:val="TextBody"/>
        <w:bidi w:val="0"/>
        <w:spacing w:before="0" w:after="0"/>
        <w:ind w:left="1440" w:right="0" w:hanging="36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38"/>
        <w:gridCol w:w="20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7820" w:type="dxa"/>
            <w:tcBorders/>
            <w:vAlign w:val="center"/>
          </w:tcPr>
          <w:p>
            <w:pPr>
              <w:pStyle w:val="TableContents"/>
              <w:bidi w:val="0"/>
              <w:spacing w:before="0" w:after="283"/>
              <w:jc w:val="both"/>
              <w:rPr/>
            </w:pPr>
            <w:r>
              <w:rPr/>
              <w:t>cash consideration to holders of the TASE Shares, subject to a cap of $7.5 million.</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Replacement restricted stock units (RSUs) and cash-settled awards issued to continuing LivePerson employees in exchange for outstanding unvested equity awards. All out-of-the-money stock options and warrants were cancelled at closing for no consideration.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SoundHound Closing Stock Price is determined based on the average of the daily volume-weighted average prices of a share of SoundHound Common Stock on each of the ten consecutive trading days ending on and including the trading day that is three trading days prior to the closing date, subject to a collar of $7.00 (floor) and $12.00 (cap) per share. SoundHound retains the right to substitute cash in lieu of all or a portion of the stock consideration payable to Secured Note 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LivePerson had approximately $20.1 million in aggregate principal amount of 0% Convertible Notes due 2026 outstanding. Pursuant to the Merger Agreement, LivePerson is required to use commercially reasonable best efforts to retire these notes at or prior to closing.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determination of estimated preliminary consideration under GAAP and the preliminary purchase price allocation, including the fair value of assets acquired and liabilities assumed, are accounted for as a business combination under </w:t>
      </w:r>
      <w:r>
        <w:rPr>
          <w:rFonts w:ascii="Times New Roman;Times;Serif" w:hAnsi="Times New Roman;Times;Serif"/>
          <w:b w:val="false"/>
          <w:i/>
          <w:caps w:val="false"/>
          <w:smallCaps w:val="false"/>
          <w:sz w:val="20"/>
        </w:rPr>
        <w:t>ASC 805, Business Combinations</w:t>
      </w:r>
      <w:r>
        <w:rPr>
          <w:rFonts w:ascii="Times New Roman;Times;Serif" w:hAnsi="Times New Roman;Times;Serif"/>
          <w:b w:val="false"/>
          <w:i w:val="false"/>
          <w:caps w:val="false"/>
          <w:smallCaps w:val="false"/>
          <w:sz w:val="20"/>
        </w:rPr>
        <w:t>, and are discussed in Note 4 to the Unaudited Pro Forma Condensed Combined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Interactions Acquisition during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SoundHound completed its acquisition of Interactions (the “Interactions Acquisition”, “Acquisition”), pursuant to the terms of the Agreement and Plan of Merger entered into by and among SoundHound, Iris Merger Sub, Inc., Interactions Corporation and Shareholder Representative Services LLC. The transaction included cash paid to selling shareholders, repayment of Interactions’ outstanding debt at closing, payment of seller transaction expenses, customary cash holdbacks, and contingent earnout consideration tied to specified future milestones. On the acquisition date, each outstanding share of Interactions’ capital stock, stock options, warrants to purchase Interactions’ capital stock, and treasury stock were cancelled and extinguished without any present or future right to receive any consideration with the exception of certain shares of Interactions’ preferred stock that were converted into the right to receive the consideration defined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combines the historical consolidated balance sheets of SoundHound and LivePerson, giving effect to the acquisition as if it had occurred on March 31, 2026. The unaudited pro forma condensed combined statement of operations for the three months ended March 31, 2026, and the year ended December 31, 2025, assumes that the LivePerson Merger and the Interactions Acquisition (the “Transactions”) occurred as of January 1, 2025, and combines the historical results of SoundHound, Interactions, and LivePerson giving pro forma effect for the periods then ended.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is derived from the historical financial information of SoundHound, Interactions, and LivePerson, and should be read in conjunction with the following information:</w:t>
      </w:r>
    </w:p>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audited consolidated financial statements of SoundHound for the year ended December 31, 2025, included in its Annual Report on Form 10-K filed with the Securities and Exchange Commission (“SEC”) on March 2, 2026,</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unaudited condensed consolidated financial statements of SoundHound for the three months ended March 31, 2026, included in its Quarterly Report on Form 10-Q filed with the SEC on May 11, 2026,</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audited consolidated financial statements of LivePerson for the year ended December 31, 2025, included in its Annual Report on Form 10-K filed with the SEC on March 16, 2026,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unaudited condensed consolidated financial statements of LivePerson, Inc. for the three months ended March 31, 2026, included in its Quarterly Report on Form 10-Q filed with the SEC on May 8, 2026,</w:t>
            </w:r>
          </w:p>
        </w:tc>
      </w:tr>
    </w:tbl>
    <w:p>
      <w:pPr>
        <w:pStyle w:val="TextBody"/>
        <w:bidi w:val="0"/>
        <w:spacing w:before="0" w:after="0"/>
        <w:ind w:left="9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historical unaudited financial information of Interactions for the period from January 1, 2025 to September 2, 2025, which is derived from the historical unaudited pro forma condensed combined statement of operations of SoundHound for the nine months ended September 30, 2025, that are included as Exhibit 99.3 in the Company’s Report on Form 8-K/A filed with the SEC on November 17, 2025.</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underlying the pro forma adjustments are described in the accompanying notes, which should be read in conjunction with the unaudited pro forma condensed combined financial information. The transaction accounting adjustments are based on available information and assumptions that the Company’s management believes are reasonable. Actual results and valuations may differ materially from the assumptions within the accompanying unaudited pro forma condensed combined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Merger is subject to closing adjustments that have not yet been finalized. Accordingly, the pro forma adjustments are preliminary and have been made solely for the purpose of providing unaudited pro forma condensed combined financial information as required by SEC rules. Differences between these preliminary estimates and the final acquisition accounting may be material.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648"/>
        <w:gridCol w:w="60"/>
        <w:gridCol w:w="174"/>
        <w:gridCol w:w="1225"/>
        <w:gridCol w:w="95"/>
        <w:gridCol w:w="60"/>
        <w:gridCol w:w="150"/>
        <w:gridCol w:w="1144"/>
        <w:gridCol w:w="95"/>
        <w:gridCol w:w="60"/>
        <w:gridCol w:w="164"/>
        <w:gridCol w:w="1160"/>
        <w:gridCol w:w="95"/>
        <w:gridCol w:w="60"/>
        <w:gridCol w:w="726"/>
        <w:gridCol w:w="60"/>
        <w:gridCol w:w="142"/>
        <w:gridCol w:w="998"/>
        <w:gridCol w:w="89"/>
      </w:tblGrid>
      <w:tr>
        <w:trPr/>
        <w:tc>
          <w:tcPr>
            <w:tcW w:w="3648" w:type="dxa"/>
            <w:tcBorders>
              <w:bottom w:val="single" w:sz="12" w:space="0" w:color="000000"/>
            </w:tcBorders>
            <w:vAlign w:val="center"/>
          </w:tcPr>
          <w:p>
            <w:pPr>
              <w:pStyle w:val="TableContents"/>
              <w:bidi w:val="0"/>
              <w:spacing w:before="0" w:after="283"/>
              <w:ind w:left="0" w:right="0" w:hanging="180"/>
              <w:jc w:val="left"/>
              <w:rPr>
                <w:b/>
              </w:rPr>
            </w:pPr>
            <w:r>
              <w:rPr>
                <w:b/>
              </w:rPr>
              <w:t>SoundHound Consolidated </w:t>
              <w:br/>
              <w:t>Balance Sheet Line Items</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bottom w:val="single" w:sz="12" w:space="0" w:color="000000"/>
            </w:tcBorders>
            <w:vAlign w:val="center"/>
          </w:tcPr>
          <w:p>
            <w:pPr>
              <w:pStyle w:val="TableContents"/>
              <w:bidi w:val="0"/>
              <w:spacing w:before="0" w:after="283"/>
              <w:jc w:val="center"/>
              <w:rPr>
                <w:b/>
              </w:rPr>
            </w:pPr>
            <w:r>
              <w:rPr>
                <w:b/>
              </w:rPr>
              <w:t xml:space="preserve">SoundHound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 xml:space="preserve">Historical </w:t>
              <w:br/>
              <w:t xml:space="preserve">As Adjusted </w:t>
              <w:br/>
              <w:t>(Note 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bottom w:val="single" w:sz="12" w:space="0" w:color="000000"/>
            </w:tcBorders>
            <w:vAlign w:val="center"/>
          </w:tcPr>
          <w:p>
            <w:pPr>
              <w:pStyle w:val="TableContents"/>
              <w:bidi w:val="0"/>
              <w:spacing w:before="0" w:after="283"/>
              <w:jc w:val="center"/>
              <w:rPr>
                <w:b/>
              </w:rPr>
            </w:pPr>
            <w:r>
              <w:rPr>
                <w:b/>
              </w:rPr>
              <w:t xml:space="preserve">Transaction </w:t>
              <w:br/>
              <w:t xml:space="preserve">Accounting </w:t>
              <w:br/>
              <w:t xml:space="preserve">Adjustments </w:t>
              <w:br/>
              <w:t>(Note 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6"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140" w:type="dxa"/>
            <w:gridSpan w:val="2"/>
            <w:tcBorders>
              <w:bottom w:val="single" w:sz="12" w:space="0" w:color="000000"/>
            </w:tcBorders>
            <w:vAlign w:val="center"/>
          </w:tcPr>
          <w:p>
            <w:pPr>
              <w:pStyle w:val="TableContents"/>
              <w:bidi w:val="0"/>
              <w:spacing w:before="0" w:after="283"/>
              <w:jc w:val="center"/>
              <w:rPr>
                <w:b/>
              </w:rPr>
            </w:pPr>
            <w:r>
              <w:rPr>
                <w:b/>
              </w:rPr>
              <w:t xml:space="preserve">Pro Forma </w:t>
              <w:br/>
              <w:t>Combined</w:t>
            </w:r>
          </w:p>
        </w:tc>
        <w:tc>
          <w:tcPr>
            <w:tcW w:w="89" w:type="dxa"/>
            <w:tcBorders/>
            <w:tcMar>
              <w:bottom w:w="0" w:type="dxa"/>
            </w:tcMar>
            <w:vAlign w:val="center"/>
          </w:tcPr>
          <w:p>
            <w:pPr>
              <w:pStyle w:val="TableContents"/>
              <w:bidi w:val="0"/>
              <w:spacing w:before="0" w:after="283"/>
              <w:jc w:val="left"/>
              <w:rPr/>
            </w:pPr>
            <w:r>
              <w:rPr/>
              <w:t> </w:t>
            </w:r>
          </w:p>
        </w:tc>
      </w:tr>
      <w:tr>
        <w:trPr/>
        <w:tc>
          <w:tcPr>
            <w:tcW w:w="3648" w:type="dxa"/>
            <w:tcBorders/>
            <w:tcMar>
              <w:bottom w:w="0" w:type="dxa"/>
            </w:tcMar>
            <w:vAlign w:val="center"/>
          </w:tcPr>
          <w:p>
            <w:pPr>
              <w:pStyle w:val="TableContents"/>
              <w:bidi w:val="0"/>
              <w:spacing w:before="0" w:after="283"/>
              <w:jc w:val="left"/>
              <w:rPr>
                <w:b/>
              </w:rPr>
            </w:pPr>
            <w:r>
              <w:rPr>
                <w:b/>
              </w:rPr>
              <w:t>ASSETS</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0" w:type="dxa"/>
            <w:gridSpan w:val="2"/>
            <w:tcBorders/>
            <w:tcMar>
              <w:bottom w:w="0" w:type="dxa"/>
            </w:tcMar>
            <w:vAlign w:val="center"/>
          </w:tcPr>
          <w:p>
            <w:pPr>
              <w:pStyle w:val="TableContents"/>
              <w:bidi w:val="0"/>
              <w:spacing w:before="0" w:after="283"/>
              <w:jc w:val="right"/>
              <w:rPr/>
            </w:pPr>
            <w:r>
              <w:rPr/>
              <w:t> </w:t>
            </w:r>
          </w:p>
        </w:tc>
        <w:tc>
          <w:tcPr>
            <w:tcW w:w="89" w:type="dxa"/>
            <w:tcBorders/>
            <w:tcMar>
              <w:bottom w:w="0" w:type="dxa"/>
            </w:tcMar>
            <w:vAlign w:val="center"/>
          </w:tcPr>
          <w:p>
            <w:pPr>
              <w:pStyle w:val="TableContents"/>
              <w:bidi w:val="0"/>
              <w:spacing w:before="0" w:after="283"/>
              <w:jc w:val="left"/>
              <w:rPr/>
            </w:pPr>
            <w:r>
              <w:rPr/>
              <w:t> </w:t>
            </w:r>
          </w:p>
        </w:tc>
      </w:tr>
      <w:tr>
        <w:trPr/>
        <w:tc>
          <w:tcPr>
            <w:tcW w:w="3648" w:type="dxa"/>
            <w:tcBorders/>
            <w:tcMar>
              <w:bottom w:w="0" w:type="dxa"/>
            </w:tcMar>
            <w:vAlign w:val="center"/>
          </w:tcPr>
          <w:p>
            <w:pPr>
              <w:pStyle w:val="TableContents"/>
              <w:bidi w:val="0"/>
              <w:spacing w:before="0" w:after="283"/>
              <w:jc w:val="left"/>
              <w:rPr>
                <w:b/>
              </w:rPr>
            </w:pPr>
            <w:r>
              <w:rPr>
                <w:b/>
              </w:rPr>
              <w:t>Current assets:</w:t>
            </w:r>
          </w:p>
        </w:tc>
        <w:tc>
          <w:tcPr>
            <w:tcW w:w="60" w:type="dxa"/>
            <w:tcBorders/>
            <w:tcMar>
              <w:bottom w:w="0" w:type="dxa"/>
            </w:tcMar>
            <w:vAlign w:val="center"/>
          </w:tcPr>
          <w:p>
            <w:pPr>
              <w:pStyle w:val="TableContents"/>
              <w:bidi w:val="0"/>
              <w:spacing w:before="0" w:after="283"/>
              <w:jc w:val="left"/>
              <w:rPr/>
            </w:pPr>
            <w:r>
              <w:rPr/>
              <w:t> </w:t>
            </w:r>
          </w:p>
        </w:tc>
        <w:tc>
          <w:tcPr>
            <w:tcW w:w="1399"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2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26"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40" w:type="dxa"/>
            <w:gridSpan w:val="2"/>
            <w:tcBorders/>
            <w:tcMar>
              <w:bottom w:w="0" w:type="dxa"/>
            </w:tcMar>
            <w:vAlign w:val="center"/>
          </w:tcPr>
          <w:p>
            <w:pPr>
              <w:pStyle w:val="TableContents"/>
              <w:bidi w:val="0"/>
              <w:spacing w:before="0" w:after="283"/>
              <w:jc w:val="right"/>
              <w:rPr/>
            </w:pPr>
            <w:r>
              <w:rPr/>
              <w:t> </w:t>
            </w:r>
          </w:p>
        </w:tc>
        <w:tc>
          <w:tcPr>
            <w:tcW w:w="89" w:type="dxa"/>
            <w:tcBorders/>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215,642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w:t>
            </w:r>
          </w:p>
        </w:tc>
        <w:tc>
          <w:tcPr>
            <w:tcW w:w="1144" w:type="dxa"/>
            <w:tcBorders/>
            <w:shd w:fill="CCEEFF" w:val="clear"/>
            <w:tcMar>
              <w:bottom w:w="0" w:type="dxa"/>
            </w:tcMar>
            <w:vAlign w:val="center"/>
          </w:tcPr>
          <w:p>
            <w:pPr>
              <w:pStyle w:val="TableContents"/>
              <w:bidi w:val="0"/>
              <w:spacing w:before="0" w:after="283"/>
              <w:jc w:val="right"/>
              <w:rPr/>
            </w:pPr>
            <w:r>
              <w:rPr/>
              <w:t>101,499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w:t>
            </w:r>
          </w:p>
        </w:tc>
        <w:tc>
          <w:tcPr>
            <w:tcW w:w="1160" w:type="dxa"/>
            <w:tcBorders/>
            <w:shd w:fill="CCEEFF" w:val="clear"/>
            <w:tcMar>
              <w:bottom w:w="0" w:type="dxa"/>
            </w:tcMar>
            <w:vAlign w:val="center"/>
          </w:tcPr>
          <w:p>
            <w:pPr>
              <w:pStyle w:val="TableContents"/>
              <w:bidi w:val="0"/>
              <w:spacing w:before="0" w:after="283"/>
              <w:jc w:val="right"/>
              <w:rPr/>
            </w:pPr>
            <w:r>
              <w:rPr/>
              <w:t>(54,751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4(a), 4(b), 4(c)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998" w:type="dxa"/>
            <w:tcBorders/>
            <w:shd w:fill="CCEEFF" w:val="clear"/>
            <w:tcMar>
              <w:bottom w:w="0" w:type="dxa"/>
            </w:tcMar>
            <w:vAlign w:val="center"/>
          </w:tcPr>
          <w:p>
            <w:pPr>
              <w:pStyle w:val="TableContents"/>
              <w:bidi w:val="0"/>
              <w:spacing w:before="0" w:after="283"/>
              <w:jc w:val="right"/>
              <w:rPr/>
            </w:pPr>
            <w:r>
              <w:rPr/>
              <w:t>262,390</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Accounts receivable, net of allowances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30,068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25,664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55,732</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Contract assets and unbilled receivable,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32,752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3,365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36,117</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Other 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FFFFFF" w:val="clear"/>
            <w:vAlign w:val="center"/>
          </w:tcPr>
          <w:p>
            <w:pPr>
              <w:pStyle w:val="TableContents"/>
              <w:bidi w:val="0"/>
              <w:spacing w:before="0" w:after="283"/>
              <w:jc w:val="left"/>
              <w:rPr/>
            </w:pPr>
            <w:r>
              <w:rPr/>
              <w:t> </w:t>
            </w:r>
          </w:p>
        </w:tc>
        <w:tc>
          <w:tcPr>
            <w:tcW w:w="1225" w:type="dxa"/>
            <w:tcBorders>
              <w:bottom w:val="single" w:sz="12" w:space="0" w:color="000000"/>
            </w:tcBorders>
            <w:shd w:fill="FFFFFF" w:val="clear"/>
            <w:vAlign w:val="center"/>
          </w:tcPr>
          <w:p>
            <w:pPr>
              <w:pStyle w:val="TableContents"/>
              <w:bidi w:val="0"/>
              <w:spacing w:before="0" w:after="283"/>
              <w:jc w:val="right"/>
              <w:rPr/>
            </w:pPr>
            <w:r>
              <w:rPr/>
              <w:t>10,343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15,417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160"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25,760</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288,805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145,945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(54,751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379,999</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Restricted cash equivalents, 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676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676</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Right-of-use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5,920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5,992</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Property and equipment,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2,863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4,616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7,479</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122,277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184,540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(32,538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274,279</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Intangible assets,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172,036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13,502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104,498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290,036</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Deferred tax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28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4,533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4,561</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Contract assets and unbilled receivable, non-current,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34,067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34,067</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vAlign w:val="center"/>
          </w:tcPr>
          <w:p>
            <w:pPr>
              <w:pStyle w:val="TableContents"/>
              <w:bidi w:val="0"/>
              <w:spacing w:before="0" w:after="283"/>
              <w:jc w:val="left"/>
              <w:rPr/>
            </w:pPr>
            <w:r>
              <w:rPr/>
              <w:t> </w:t>
            </w:r>
          </w:p>
        </w:tc>
        <w:tc>
          <w:tcPr>
            <w:tcW w:w="1225" w:type="dxa"/>
            <w:tcBorders>
              <w:bottom w:val="single" w:sz="12" w:space="0" w:color="000000"/>
            </w:tcBorders>
            <w:shd w:fill="CCEEFF" w:val="clear"/>
            <w:vAlign w:val="center"/>
          </w:tcPr>
          <w:p>
            <w:pPr>
              <w:pStyle w:val="TableContents"/>
              <w:bidi w:val="0"/>
              <w:spacing w:before="0" w:after="283"/>
              <w:jc w:val="right"/>
              <w:rPr/>
            </w:pPr>
            <w:r>
              <w:rPr/>
              <w:t>18,279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104,374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(104,098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4(f), 4(g)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998" w:type="dxa"/>
            <w:tcBorders>
              <w:bottom w:val="single" w:sz="12" w:space="0" w:color="000000"/>
            </w:tcBorders>
            <w:shd w:fill="CCEEFF" w:val="clear"/>
            <w:vAlign w:val="center"/>
          </w:tcPr>
          <w:p>
            <w:pPr>
              <w:pStyle w:val="TableContents"/>
              <w:bidi w:val="0"/>
              <w:spacing w:before="0" w:after="283"/>
              <w:jc w:val="right"/>
              <w:rPr/>
            </w:pPr>
            <w:r>
              <w:rPr/>
              <w:t>18,555</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b/>
              </w:rPr>
            </w:pPr>
            <w:r>
              <w:rPr>
                <w:b/>
              </w:rPr>
              <w:t>Total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double" w:sz="10" w:space="0" w:color="000000"/>
            </w:tcBorders>
            <w:shd w:fill="FFFFFF" w:val="clear"/>
            <w:vAlign w:val="center"/>
          </w:tcPr>
          <w:p>
            <w:pPr>
              <w:pStyle w:val="TableContents"/>
              <w:bidi w:val="0"/>
              <w:spacing w:before="0" w:after="283"/>
              <w:jc w:val="left"/>
              <w:rPr/>
            </w:pPr>
            <w:r>
              <w:rPr/>
              <w:t>$</w:t>
            </w:r>
          </w:p>
        </w:tc>
        <w:tc>
          <w:tcPr>
            <w:tcW w:w="1225" w:type="dxa"/>
            <w:tcBorders>
              <w:bottom w:val="double" w:sz="10" w:space="0" w:color="000000"/>
            </w:tcBorders>
            <w:shd w:fill="FFFFFF" w:val="clear"/>
            <w:vAlign w:val="center"/>
          </w:tcPr>
          <w:p>
            <w:pPr>
              <w:pStyle w:val="TableContents"/>
              <w:bidi w:val="0"/>
              <w:spacing w:before="0" w:after="283"/>
              <w:jc w:val="right"/>
              <w:rPr/>
            </w:pPr>
            <w:r>
              <w:rPr/>
              <w:t>644,951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double" w:sz="10" w:space="0" w:color="000000"/>
            </w:tcBorders>
            <w:shd w:fill="FFFFFF" w:val="clear"/>
            <w:vAlign w:val="center"/>
          </w:tcPr>
          <w:p>
            <w:pPr>
              <w:pStyle w:val="TableContents"/>
              <w:bidi w:val="0"/>
              <w:spacing w:before="0" w:after="283"/>
              <w:jc w:val="left"/>
              <w:rPr/>
            </w:pPr>
            <w:r>
              <w:rPr/>
              <w:t>$</w:t>
            </w:r>
          </w:p>
        </w:tc>
        <w:tc>
          <w:tcPr>
            <w:tcW w:w="1144" w:type="dxa"/>
            <w:tcBorders>
              <w:bottom w:val="double" w:sz="10" w:space="0" w:color="000000"/>
            </w:tcBorders>
            <w:shd w:fill="FFFFFF" w:val="clear"/>
            <w:vAlign w:val="center"/>
          </w:tcPr>
          <w:p>
            <w:pPr>
              <w:pStyle w:val="TableContents"/>
              <w:bidi w:val="0"/>
              <w:spacing w:before="0" w:after="283"/>
              <w:jc w:val="right"/>
              <w:rPr/>
            </w:pPr>
            <w:r>
              <w:rPr/>
              <w:t>457,582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double" w:sz="10" w:space="0" w:color="000000"/>
            </w:tcBorders>
            <w:shd w:fill="FFFFFF" w:val="clear"/>
            <w:vAlign w:val="center"/>
          </w:tcPr>
          <w:p>
            <w:pPr>
              <w:pStyle w:val="TableContents"/>
              <w:bidi w:val="0"/>
              <w:spacing w:before="0" w:after="283"/>
              <w:jc w:val="left"/>
              <w:rPr/>
            </w:pPr>
            <w:r>
              <w:rPr/>
              <w:t>$</w:t>
            </w:r>
          </w:p>
        </w:tc>
        <w:tc>
          <w:tcPr>
            <w:tcW w:w="1160" w:type="dxa"/>
            <w:tcBorders>
              <w:bottom w:val="double" w:sz="10" w:space="0" w:color="000000"/>
            </w:tcBorders>
            <w:shd w:fill="FFFFFF" w:val="clear"/>
            <w:vAlign w:val="center"/>
          </w:tcPr>
          <w:p>
            <w:pPr>
              <w:pStyle w:val="TableContents"/>
              <w:bidi w:val="0"/>
              <w:spacing w:before="0" w:after="283"/>
              <w:jc w:val="right"/>
              <w:rPr/>
            </w:pPr>
            <w:r>
              <w:rPr/>
              <w:t>(86,889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w:t>
            </w:r>
          </w:p>
        </w:tc>
        <w:tc>
          <w:tcPr>
            <w:tcW w:w="998" w:type="dxa"/>
            <w:tcBorders>
              <w:bottom w:val="double" w:sz="10" w:space="0" w:color="000000"/>
            </w:tcBorders>
            <w:shd w:fill="FFFFFF" w:val="clear"/>
            <w:vAlign w:val="center"/>
          </w:tcPr>
          <w:p>
            <w:pPr>
              <w:pStyle w:val="TableContents"/>
              <w:bidi w:val="0"/>
              <w:spacing w:before="0" w:after="283"/>
              <w:jc w:val="right"/>
              <w:rPr/>
            </w:pPr>
            <w:r>
              <w:rPr/>
              <w:t>1,015,644</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b/>
              </w:rPr>
            </w:pPr>
            <w:r>
              <w:rPr>
                <w:b/>
              </w:rPr>
              <w:t>LIABILITIES AND STOCKHOLDERS’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b/>
              </w:rPr>
            </w:pPr>
            <w:r>
              <w:rPr>
                <w:b/>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w:t>
            </w:r>
          </w:p>
        </w:tc>
        <w:tc>
          <w:tcPr>
            <w:tcW w:w="1225" w:type="dxa"/>
            <w:tcBorders/>
            <w:shd w:fill="FFFFFF" w:val="clear"/>
            <w:tcMar>
              <w:bottom w:w="0" w:type="dxa"/>
            </w:tcMar>
            <w:vAlign w:val="center"/>
          </w:tcPr>
          <w:p>
            <w:pPr>
              <w:pStyle w:val="TableContents"/>
              <w:bidi w:val="0"/>
              <w:spacing w:before="0" w:after="283"/>
              <w:jc w:val="right"/>
              <w:rPr/>
            </w:pPr>
            <w:r>
              <w:rPr/>
              <w:t>8,048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w:t>
            </w:r>
          </w:p>
        </w:tc>
        <w:tc>
          <w:tcPr>
            <w:tcW w:w="1144" w:type="dxa"/>
            <w:tcBorders/>
            <w:shd w:fill="FFFFFF" w:val="clear"/>
            <w:tcMar>
              <w:bottom w:w="0" w:type="dxa"/>
            </w:tcMar>
            <w:vAlign w:val="center"/>
          </w:tcPr>
          <w:p>
            <w:pPr>
              <w:pStyle w:val="TableContents"/>
              <w:bidi w:val="0"/>
              <w:spacing w:before="0" w:after="283"/>
              <w:jc w:val="right"/>
              <w:rPr/>
            </w:pPr>
            <w:r>
              <w:rPr/>
              <w:t>4,357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998" w:type="dxa"/>
            <w:tcBorders/>
            <w:shd w:fill="FFFFFF" w:val="clear"/>
            <w:tcMar>
              <w:bottom w:w="0" w:type="dxa"/>
            </w:tcMar>
            <w:vAlign w:val="center"/>
          </w:tcPr>
          <w:p>
            <w:pPr>
              <w:pStyle w:val="TableContents"/>
              <w:bidi w:val="0"/>
              <w:spacing w:before="0" w:after="283"/>
              <w:jc w:val="right"/>
              <w:rPr/>
            </w:pPr>
            <w:r>
              <w:rPr/>
              <w:t>12,405</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29,321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47,661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(2,138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4(c), 4(h), 4(i)</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74,844</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2,751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2,838</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Finance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289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289</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Income tax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2,812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2,812</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28,509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57,987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86,496</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FFFFFF" w:val="clear"/>
            <w:vAlign w:val="center"/>
          </w:tcPr>
          <w:p>
            <w:pPr>
              <w:pStyle w:val="TableContents"/>
              <w:bidi w:val="0"/>
              <w:spacing w:before="0" w:after="283"/>
              <w:jc w:val="left"/>
              <w:rPr/>
            </w:pPr>
            <w:r>
              <w:rPr/>
              <w:t> </w:t>
            </w:r>
          </w:p>
        </w:tc>
        <w:tc>
          <w:tcPr>
            <w:tcW w:w="1225" w:type="dxa"/>
            <w:tcBorders>
              <w:bottom w:val="single" w:sz="12" w:space="0" w:color="000000"/>
            </w:tcBorders>
            <w:shd w:fill="FFFFFF" w:val="clear"/>
            <w:vAlign w:val="center"/>
          </w:tcPr>
          <w:p>
            <w:pPr>
              <w:pStyle w:val="TableContents"/>
              <w:bidi w:val="0"/>
              <w:spacing w:before="0" w:after="283"/>
              <w:jc w:val="right"/>
              <w:rPr/>
            </w:pPr>
            <w:r>
              <w:rPr/>
              <w:t>1,557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 </w:t>
            </w:r>
          </w:p>
        </w:tc>
        <w:tc>
          <w:tcPr>
            <w:tcW w:w="1144" w:type="dxa"/>
            <w:tcBorders>
              <w:bottom w:val="single" w:sz="12" w:space="0" w:color="000000"/>
            </w:tcBorders>
            <w:shd w:fill="FFFFFF" w:val="clear"/>
            <w:vAlign w:val="center"/>
          </w:tcPr>
          <w:p>
            <w:pPr>
              <w:pStyle w:val="TableContents"/>
              <w:bidi w:val="0"/>
              <w:spacing w:before="0" w:after="283"/>
              <w:jc w:val="right"/>
              <w:rPr/>
            </w:pPr>
            <w:r>
              <w:rPr/>
              <w:t>20,428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 </w:t>
            </w:r>
          </w:p>
        </w:tc>
        <w:tc>
          <w:tcPr>
            <w:tcW w:w="1160" w:type="dxa"/>
            <w:tcBorders>
              <w:bottom w:val="single" w:sz="12" w:space="0" w:color="000000"/>
            </w:tcBorders>
            <w:shd w:fill="FFFFFF" w:val="clear"/>
            <w:vAlign w:val="center"/>
          </w:tcPr>
          <w:p>
            <w:pPr>
              <w:pStyle w:val="TableContents"/>
              <w:bidi w:val="0"/>
              <w:spacing w:before="0" w:after="283"/>
              <w:jc w:val="right"/>
              <w:rPr/>
            </w:pPr>
            <w:r>
              <w:rPr/>
              <w:t>(20,071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998" w:type="dxa"/>
            <w:tcBorders>
              <w:bottom w:val="single" w:sz="12" w:space="0" w:color="000000"/>
            </w:tcBorders>
            <w:shd w:fill="FFFFFF" w:val="clear"/>
            <w:vAlign w:val="center"/>
          </w:tcPr>
          <w:p>
            <w:pPr>
              <w:pStyle w:val="TableContents"/>
              <w:bidi w:val="0"/>
              <w:spacing w:before="0" w:after="283"/>
              <w:jc w:val="right"/>
              <w:rPr/>
            </w:pPr>
            <w:r>
              <w:rPr/>
              <w:t>1,914</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73,287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130,520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(22,209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181,598</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Operating lease liabilities,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3,186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3,186</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Deferred revenue, net of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6,756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6,756</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373,723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(373,723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Contingent acquisition liabilities, net of current portion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87,334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87,334</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Income tax liability, net of current portion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1,379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1,379</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Deferred tax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2,209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4,199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6,408</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Other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vAlign w:val="center"/>
          </w:tcPr>
          <w:p>
            <w:pPr>
              <w:pStyle w:val="TableContents"/>
              <w:bidi w:val="0"/>
              <w:spacing w:before="0" w:after="283"/>
              <w:jc w:val="left"/>
              <w:rPr/>
            </w:pPr>
            <w:r>
              <w:rPr/>
              <w:t> </w:t>
            </w:r>
          </w:p>
        </w:tc>
        <w:tc>
          <w:tcPr>
            <w:tcW w:w="1225" w:type="dxa"/>
            <w:tcBorders>
              <w:bottom w:val="single" w:sz="12" w:space="0" w:color="000000"/>
            </w:tcBorders>
            <w:shd w:fill="CCEEFF" w:val="clear"/>
            <w:vAlign w:val="center"/>
          </w:tcPr>
          <w:p>
            <w:pPr>
              <w:pStyle w:val="TableContents"/>
              <w:bidi w:val="0"/>
              <w:spacing w:before="0" w:after="283"/>
              <w:jc w:val="right"/>
              <w:rPr/>
            </w:pPr>
            <w:r>
              <w:rPr/>
              <w:t>10,134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636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998" w:type="dxa"/>
            <w:tcBorders>
              <w:bottom w:val="single" w:sz="12" w:space="0" w:color="000000"/>
            </w:tcBorders>
            <w:shd w:fill="CCEEFF" w:val="clear"/>
            <w:vAlign w:val="center"/>
          </w:tcPr>
          <w:p>
            <w:pPr>
              <w:pStyle w:val="TableContents"/>
              <w:bidi w:val="0"/>
              <w:spacing w:before="0" w:after="283"/>
              <w:jc w:val="right"/>
              <w:rPr/>
            </w:pPr>
            <w:r>
              <w:rPr/>
              <w:t>10,770</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b/>
              </w:rPr>
            </w:pPr>
            <w:r>
              <w:rPr>
                <w:b/>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FFFFFF" w:val="clear"/>
            <w:vAlign w:val="center"/>
          </w:tcPr>
          <w:p>
            <w:pPr>
              <w:pStyle w:val="TableContents"/>
              <w:bidi w:val="0"/>
              <w:spacing w:before="0" w:after="283"/>
              <w:jc w:val="left"/>
              <w:rPr/>
            </w:pPr>
            <w:r>
              <w:rPr/>
              <w:t>$</w:t>
            </w:r>
          </w:p>
        </w:tc>
        <w:tc>
          <w:tcPr>
            <w:tcW w:w="1225" w:type="dxa"/>
            <w:tcBorders>
              <w:bottom w:val="single" w:sz="12" w:space="0" w:color="000000"/>
            </w:tcBorders>
            <w:shd w:fill="FFFFFF" w:val="clear"/>
            <w:vAlign w:val="center"/>
          </w:tcPr>
          <w:p>
            <w:pPr>
              <w:pStyle w:val="TableContents"/>
              <w:bidi w:val="0"/>
              <w:spacing w:before="0" w:after="283"/>
              <w:jc w:val="right"/>
              <w:rPr/>
            </w:pPr>
            <w:r>
              <w:rPr/>
              <w:t>184,285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w:t>
            </w:r>
          </w:p>
        </w:tc>
        <w:tc>
          <w:tcPr>
            <w:tcW w:w="1144" w:type="dxa"/>
            <w:tcBorders>
              <w:bottom w:val="single" w:sz="12" w:space="0" w:color="000000"/>
            </w:tcBorders>
            <w:shd w:fill="FFFFFF" w:val="clear"/>
            <w:vAlign w:val="center"/>
          </w:tcPr>
          <w:p>
            <w:pPr>
              <w:pStyle w:val="TableContents"/>
              <w:bidi w:val="0"/>
              <w:spacing w:before="0" w:after="283"/>
              <w:jc w:val="right"/>
              <w:rPr/>
            </w:pPr>
            <w:r>
              <w:rPr/>
              <w:t>509,078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w:t>
            </w:r>
          </w:p>
        </w:tc>
        <w:tc>
          <w:tcPr>
            <w:tcW w:w="1160" w:type="dxa"/>
            <w:tcBorders>
              <w:bottom w:val="single" w:sz="12" w:space="0" w:color="000000"/>
            </w:tcBorders>
            <w:shd w:fill="FFFFFF" w:val="clear"/>
            <w:vAlign w:val="center"/>
          </w:tcPr>
          <w:p>
            <w:pPr>
              <w:pStyle w:val="TableContents"/>
              <w:bidi w:val="0"/>
              <w:spacing w:before="0" w:after="283"/>
              <w:jc w:val="right"/>
              <w:rPr/>
            </w:pPr>
            <w:r>
              <w:rPr/>
              <w:t>(395,932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w:t>
            </w:r>
          </w:p>
        </w:tc>
        <w:tc>
          <w:tcPr>
            <w:tcW w:w="998" w:type="dxa"/>
            <w:tcBorders>
              <w:bottom w:val="single" w:sz="12" w:space="0" w:color="000000"/>
            </w:tcBorders>
            <w:shd w:fill="FFFFFF" w:val="clear"/>
            <w:vAlign w:val="center"/>
          </w:tcPr>
          <w:p>
            <w:pPr>
              <w:pStyle w:val="TableContents"/>
              <w:bidi w:val="0"/>
              <w:spacing w:before="0" w:after="283"/>
              <w:jc w:val="right"/>
              <w:rPr/>
            </w:pPr>
            <w:r>
              <w:rPr/>
              <w:t>297,431</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 </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Stockholders’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 </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Series A Preferred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Class A Common Stock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37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173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(169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4(j)</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41</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Class B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3</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Treasury stock, at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4(j)</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1,442,560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jc w:val="left"/>
              <w:rPr/>
            </w:pPr>
            <w:r>
              <w:rPr/>
              <w:t> </w:t>
            </w:r>
          </w:p>
        </w:tc>
        <w:tc>
          <w:tcPr>
            <w:tcW w:w="1144" w:type="dxa"/>
            <w:tcBorders/>
            <w:shd w:fill="CCEEFF" w:val="clear"/>
            <w:tcMar>
              <w:bottom w:w="0" w:type="dxa"/>
            </w:tcMar>
            <w:vAlign w:val="center"/>
          </w:tcPr>
          <w:p>
            <w:pPr>
              <w:pStyle w:val="TableContents"/>
              <w:bidi w:val="0"/>
              <w:spacing w:before="0" w:after="283"/>
              <w:jc w:val="right"/>
              <w:rPr/>
            </w:pPr>
            <w:r>
              <w:rPr/>
              <w:t>1,023,338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1160" w:type="dxa"/>
            <w:tcBorders/>
            <w:shd w:fill="CCEEFF" w:val="clear"/>
            <w:tcMar>
              <w:bottom w:w="0" w:type="dxa"/>
            </w:tcMar>
            <w:vAlign w:val="center"/>
          </w:tcPr>
          <w:p>
            <w:pPr>
              <w:pStyle w:val="TableContents"/>
              <w:bidi w:val="0"/>
              <w:spacing w:before="0" w:after="283"/>
              <w:jc w:val="right"/>
              <w:rPr/>
            </w:pPr>
            <w:r>
              <w:rPr/>
              <w:t>(758,688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998" w:type="dxa"/>
            <w:tcBorders/>
            <w:shd w:fill="CCEEFF" w:val="clear"/>
            <w:tcMar>
              <w:bottom w:w="0" w:type="dxa"/>
            </w:tcMar>
            <w:vAlign w:val="center"/>
          </w:tcPr>
          <w:p>
            <w:pPr>
              <w:pStyle w:val="TableContents"/>
              <w:bidi w:val="0"/>
              <w:spacing w:before="0" w:after="283"/>
              <w:jc w:val="right"/>
              <w:rPr/>
            </w:pPr>
            <w:r>
              <w:rPr/>
              <w:t>1,707,210</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(982,094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jc w:val="left"/>
              <w:rPr/>
            </w:pPr>
            <w:r>
              <w:rPr/>
              <w:t> </w:t>
            </w:r>
          </w:p>
        </w:tc>
        <w:tc>
          <w:tcPr>
            <w:tcW w:w="1144" w:type="dxa"/>
            <w:tcBorders/>
            <w:shd w:fill="FFFFFF" w:val="clear"/>
            <w:tcMar>
              <w:bottom w:w="0" w:type="dxa"/>
            </w:tcMar>
            <w:vAlign w:val="center"/>
          </w:tcPr>
          <w:p>
            <w:pPr>
              <w:pStyle w:val="TableContents"/>
              <w:bidi w:val="0"/>
              <w:spacing w:before="0" w:after="283"/>
              <w:jc w:val="right"/>
              <w:rPr/>
            </w:pPr>
            <w:r>
              <w:rPr/>
              <w:t>(1,067,321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1160" w:type="dxa"/>
            <w:tcBorders/>
            <w:shd w:fill="FFFFFF" w:val="clear"/>
            <w:tcMar>
              <w:bottom w:w="0" w:type="dxa"/>
            </w:tcMar>
            <w:vAlign w:val="center"/>
          </w:tcPr>
          <w:p>
            <w:pPr>
              <w:pStyle w:val="TableContents"/>
              <w:bidi w:val="0"/>
              <w:spacing w:before="0" w:after="283"/>
              <w:jc w:val="right"/>
              <w:rPr/>
            </w:pPr>
            <w:r>
              <w:rPr/>
              <w:t>1,060,214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4(j)</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998" w:type="dxa"/>
            <w:tcBorders/>
            <w:shd w:fill="FFFFFF" w:val="clear"/>
            <w:tcMar>
              <w:bottom w:w="0" w:type="dxa"/>
            </w:tcMar>
            <w:vAlign w:val="center"/>
          </w:tcPr>
          <w:p>
            <w:pPr>
              <w:pStyle w:val="TableContents"/>
              <w:bidi w:val="0"/>
              <w:spacing w:before="0" w:after="283"/>
              <w:jc w:val="right"/>
              <w:rPr/>
            </w:pPr>
            <w:r>
              <w:rPr/>
              <w:t>(989,201</w:t>
            </w:r>
          </w:p>
        </w:tc>
        <w:tc>
          <w:tcPr>
            <w:tcW w:w="89"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648" w:type="dxa"/>
            <w:tcBorders/>
            <w:shd w:fill="CCEEFF" w:val="clear"/>
            <w:tcMar>
              <w:bottom w:w="0" w:type="dxa"/>
            </w:tcMar>
            <w:vAlign w:val="center"/>
          </w:tcPr>
          <w:p>
            <w:pPr>
              <w:pStyle w:val="TableContents"/>
              <w:bidi w:val="0"/>
              <w:spacing w:before="0" w:after="283"/>
              <w:jc w:val="left"/>
              <w:rPr/>
            </w:pPr>
            <w:r>
              <w:rPr/>
              <w:t>Accumulated other comprehensive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CCEEFF" w:val="clear"/>
            <w:vAlign w:val="center"/>
          </w:tcPr>
          <w:p>
            <w:pPr>
              <w:pStyle w:val="TableContents"/>
              <w:bidi w:val="0"/>
              <w:spacing w:before="0" w:after="283"/>
              <w:jc w:val="left"/>
              <w:rPr/>
            </w:pPr>
            <w:r>
              <w:rPr/>
              <w:t> </w:t>
            </w:r>
          </w:p>
        </w:tc>
        <w:tc>
          <w:tcPr>
            <w:tcW w:w="1225" w:type="dxa"/>
            <w:tcBorders>
              <w:bottom w:val="single" w:sz="12" w:space="0" w:color="000000"/>
            </w:tcBorders>
            <w:shd w:fill="CCEEFF" w:val="clear"/>
            <w:vAlign w:val="center"/>
          </w:tcPr>
          <w:p>
            <w:pPr>
              <w:pStyle w:val="TableContents"/>
              <w:bidi w:val="0"/>
              <w:spacing w:before="0" w:after="283"/>
              <w:jc w:val="right"/>
              <w:rPr/>
            </w:pPr>
            <w:r>
              <w:rPr/>
              <w:t>160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CCEEFF" w:val="clear"/>
            <w:vAlign w:val="center"/>
          </w:tcPr>
          <w:p>
            <w:pPr>
              <w:pStyle w:val="TableContents"/>
              <w:bidi w:val="0"/>
              <w:spacing w:before="0" w:after="283"/>
              <w:jc w:val="left"/>
              <w:rPr/>
            </w:pPr>
            <w:r>
              <w:rPr/>
              <w:t> </w:t>
            </w:r>
          </w:p>
        </w:tc>
        <w:tc>
          <w:tcPr>
            <w:tcW w:w="1144" w:type="dxa"/>
            <w:tcBorders>
              <w:bottom w:val="single" w:sz="12" w:space="0" w:color="000000"/>
            </w:tcBorders>
            <w:shd w:fill="CCEEFF" w:val="clear"/>
            <w:vAlign w:val="center"/>
          </w:tcPr>
          <w:p>
            <w:pPr>
              <w:pStyle w:val="TableContents"/>
              <w:bidi w:val="0"/>
              <w:spacing w:before="0" w:after="283"/>
              <w:jc w:val="right"/>
              <w:rPr/>
            </w:pPr>
            <w:r>
              <w:rPr/>
              <w:t>(7,683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CCEEFF" w:val="clear"/>
            <w:vAlign w:val="center"/>
          </w:tcPr>
          <w:p>
            <w:pPr>
              <w:pStyle w:val="TableContents"/>
              <w:bidi w:val="0"/>
              <w:spacing w:before="0" w:after="283"/>
              <w:jc w:val="left"/>
              <w:rPr/>
            </w:pPr>
            <w:r>
              <w:rPr/>
              <w:t> </w:t>
            </w:r>
          </w:p>
        </w:tc>
        <w:tc>
          <w:tcPr>
            <w:tcW w:w="1160" w:type="dxa"/>
            <w:tcBorders>
              <w:bottom w:val="single" w:sz="12" w:space="0" w:color="000000"/>
            </w:tcBorders>
            <w:shd w:fill="CCEEFF" w:val="clear"/>
            <w:vAlign w:val="center"/>
          </w:tcPr>
          <w:p>
            <w:pPr>
              <w:pStyle w:val="TableContents"/>
              <w:bidi w:val="0"/>
              <w:spacing w:before="0" w:after="283"/>
              <w:jc w:val="right"/>
              <w:rPr/>
            </w:pPr>
            <w:r>
              <w:rPr/>
              <w:t>7,683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4(j)</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998" w:type="dxa"/>
            <w:tcBorders>
              <w:bottom w:val="single" w:sz="12" w:space="0" w:color="000000"/>
            </w:tcBorders>
            <w:shd w:fill="CCEEFF" w:val="clear"/>
            <w:vAlign w:val="center"/>
          </w:tcPr>
          <w:p>
            <w:pPr>
              <w:pStyle w:val="TableContents"/>
              <w:bidi w:val="0"/>
              <w:spacing w:before="0" w:after="283"/>
              <w:jc w:val="right"/>
              <w:rPr/>
            </w:pPr>
            <w:r>
              <w:rPr/>
              <w:t>160</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FFFFFF" w:val="clear"/>
            <w:tcMar>
              <w:bottom w:w="0" w:type="dxa"/>
            </w:tcMar>
            <w:vAlign w:val="center"/>
          </w:tcPr>
          <w:p>
            <w:pPr>
              <w:pStyle w:val="TableContents"/>
              <w:bidi w:val="0"/>
              <w:spacing w:before="0" w:after="283"/>
              <w:jc w:val="left"/>
              <w:rPr>
                <w:b/>
              </w:rPr>
            </w:pPr>
            <w:r>
              <w:rPr>
                <w:b/>
              </w:rPr>
              <w:t>Total stockholders’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4" w:type="dxa"/>
            <w:tcBorders>
              <w:bottom w:val="single" w:sz="12" w:space="0" w:color="000000"/>
            </w:tcBorders>
            <w:shd w:fill="FFFFFF" w:val="clear"/>
            <w:vAlign w:val="center"/>
          </w:tcPr>
          <w:p>
            <w:pPr>
              <w:pStyle w:val="TableContents"/>
              <w:bidi w:val="0"/>
              <w:spacing w:before="0" w:after="283"/>
              <w:jc w:val="left"/>
              <w:rPr/>
            </w:pPr>
            <w:r>
              <w:rPr/>
              <w:t>$</w:t>
            </w:r>
          </w:p>
        </w:tc>
        <w:tc>
          <w:tcPr>
            <w:tcW w:w="1225" w:type="dxa"/>
            <w:tcBorders>
              <w:bottom w:val="single" w:sz="12" w:space="0" w:color="000000"/>
            </w:tcBorders>
            <w:shd w:fill="FFFFFF" w:val="clear"/>
            <w:vAlign w:val="center"/>
          </w:tcPr>
          <w:p>
            <w:pPr>
              <w:pStyle w:val="TableContents"/>
              <w:bidi w:val="0"/>
              <w:spacing w:before="0" w:after="283"/>
              <w:jc w:val="right"/>
              <w:rPr/>
            </w:pPr>
            <w:r>
              <w:rPr/>
              <w:t>460,666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bottom w:val="single" w:sz="12" w:space="0" w:color="000000"/>
            </w:tcBorders>
            <w:shd w:fill="FFFFFF" w:val="clear"/>
            <w:vAlign w:val="center"/>
          </w:tcPr>
          <w:p>
            <w:pPr>
              <w:pStyle w:val="TableContents"/>
              <w:bidi w:val="0"/>
              <w:spacing w:before="0" w:after="283"/>
              <w:jc w:val="left"/>
              <w:rPr/>
            </w:pPr>
            <w:r>
              <w:rPr/>
              <w:t>$</w:t>
            </w:r>
          </w:p>
        </w:tc>
        <w:tc>
          <w:tcPr>
            <w:tcW w:w="1144" w:type="dxa"/>
            <w:tcBorders>
              <w:bottom w:val="single" w:sz="12" w:space="0" w:color="000000"/>
            </w:tcBorders>
            <w:shd w:fill="FFFFFF" w:val="clear"/>
            <w:vAlign w:val="center"/>
          </w:tcPr>
          <w:p>
            <w:pPr>
              <w:pStyle w:val="TableContents"/>
              <w:bidi w:val="0"/>
              <w:spacing w:before="0" w:after="283"/>
              <w:jc w:val="right"/>
              <w:rPr/>
            </w:pPr>
            <w:r>
              <w:rPr/>
              <w:t>(51,496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single" w:sz="12" w:space="0" w:color="000000"/>
            </w:tcBorders>
            <w:shd w:fill="FFFFFF" w:val="clear"/>
            <w:vAlign w:val="center"/>
          </w:tcPr>
          <w:p>
            <w:pPr>
              <w:pStyle w:val="TableContents"/>
              <w:bidi w:val="0"/>
              <w:spacing w:before="0" w:after="283"/>
              <w:jc w:val="left"/>
              <w:rPr/>
            </w:pPr>
            <w:r>
              <w:rPr/>
              <w:t>$</w:t>
            </w:r>
          </w:p>
        </w:tc>
        <w:tc>
          <w:tcPr>
            <w:tcW w:w="1160" w:type="dxa"/>
            <w:tcBorders>
              <w:bottom w:val="single" w:sz="12" w:space="0" w:color="000000"/>
            </w:tcBorders>
            <w:shd w:fill="FFFFFF" w:val="clear"/>
            <w:vAlign w:val="center"/>
          </w:tcPr>
          <w:p>
            <w:pPr>
              <w:pStyle w:val="TableContents"/>
              <w:bidi w:val="0"/>
              <w:spacing w:before="0" w:after="283"/>
              <w:jc w:val="right"/>
              <w:rPr/>
            </w:pPr>
            <w:r>
              <w:rPr/>
              <w:t>309,043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w:t>
            </w:r>
          </w:p>
        </w:tc>
        <w:tc>
          <w:tcPr>
            <w:tcW w:w="998" w:type="dxa"/>
            <w:tcBorders>
              <w:bottom w:val="single" w:sz="12" w:space="0" w:color="000000"/>
            </w:tcBorders>
            <w:shd w:fill="FFFFFF" w:val="clear"/>
            <w:vAlign w:val="center"/>
          </w:tcPr>
          <w:p>
            <w:pPr>
              <w:pStyle w:val="TableContents"/>
              <w:bidi w:val="0"/>
              <w:spacing w:before="0" w:after="283"/>
              <w:jc w:val="right"/>
              <w:rPr/>
            </w:pPr>
            <w:r>
              <w:rPr/>
              <w:t>718,213</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648" w:type="dxa"/>
            <w:tcBorders/>
            <w:shd w:fill="CCEEFF" w:val="clear"/>
            <w:tcMar>
              <w:bottom w:w="0" w:type="dxa"/>
            </w:tcMar>
            <w:vAlign w:val="center"/>
          </w:tcPr>
          <w:p>
            <w:pPr>
              <w:pStyle w:val="TableContents"/>
              <w:bidi w:val="0"/>
              <w:spacing w:before="0" w:after="283"/>
              <w:jc w:val="left"/>
              <w:rPr>
                <w:b/>
              </w:rPr>
            </w:pPr>
            <w:r>
              <w:rPr>
                <w:b/>
              </w:rPr>
              <w:t>Total liabilities and stockholders’ equity (deficit)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4" w:type="dxa"/>
            <w:tcBorders>
              <w:bottom w:val="double" w:sz="10" w:space="0" w:color="000000"/>
            </w:tcBorders>
            <w:shd w:fill="CCEEFF" w:val="clear"/>
            <w:vAlign w:val="center"/>
          </w:tcPr>
          <w:p>
            <w:pPr>
              <w:pStyle w:val="TableContents"/>
              <w:bidi w:val="0"/>
              <w:spacing w:before="0" w:after="283"/>
              <w:jc w:val="left"/>
              <w:rPr/>
            </w:pPr>
            <w:r>
              <w:rPr/>
              <w:t>$</w:t>
            </w:r>
          </w:p>
        </w:tc>
        <w:tc>
          <w:tcPr>
            <w:tcW w:w="1225" w:type="dxa"/>
            <w:tcBorders>
              <w:bottom w:val="double" w:sz="10" w:space="0" w:color="000000"/>
            </w:tcBorders>
            <w:shd w:fill="CCEEFF" w:val="clear"/>
            <w:vAlign w:val="center"/>
          </w:tcPr>
          <w:p>
            <w:pPr>
              <w:pStyle w:val="TableContents"/>
              <w:bidi w:val="0"/>
              <w:spacing w:before="0" w:after="283"/>
              <w:jc w:val="right"/>
              <w:rPr/>
            </w:pPr>
            <w:r>
              <w:rPr/>
              <w:t>644,951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bottom w:val="double" w:sz="10" w:space="0" w:color="000000"/>
            </w:tcBorders>
            <w:shd w:fill="CCEEFF" w:val="clear"/>
            <w:vAlign w:val="center"/>
          </w:tcPr>
          <w:p>
            <w:pPr>
              <w:pStyle w:val="TableContents"/>
              <w:bidi w:val="0"/>
              <w:spacing w:before="0" w:after="283"/>
              <w:jc w:val="left"/>
              <w:rPr/>
            </w:pPr>
            <w:r>
              <w:rPr/>
              <w:t>$</w:t>
            </w:r>
          </w:p>
        </w:tc>
        <w:tc>
          <w:tcPr>
            <w:tcW w:w="1144" w:type="dxa"/>
            <w:tcBorders>
              <w:bottom w:val="double" w:sz="10" w:space="0" w:color="000000"/>
            </w:tcBorders>
            <w:shd w:fill="CCEEFF" w:val="clear"/>
            <w:vAlign w:val="center"/>
          </w:tcPr>
          <w:p>
            <w:pPr>
              <w:pStyle w:val="TableContents"/>
              <w:bidi w:val="0"/>
              <w:spacing w:before="0" w:after="283"/>
              <w:jc w:val="right"/>
              <w:rPr/>
            </w:pPr>
            <w:r>
              <w:rPr/>
              <w:t>457,582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double" w:sz="10" w:space="0" w:color="000000"/>
            </w:tcBorders>
            <w:shd w:fill="CCEEFF" w:val="clear"/>
            <w:vAlign w:val="center"/>
          </w:tcPr>
          <w:p>
            <w:pPr>
              <w:pStyle w:val="TableContents"/>
              <w:bidi w:val="0"/>
              <w:spacing w:before="0" w:after="283"/>
              <w:jc w:val="left"/>
              <w:rPr/>
            </w:pPr>
            <w:r>
              <w:rPr/>
              <w:t>$</w:t>
            </w:r>
          </w:p>
        </w:tc>
        <w:tc>
          <w:tcPr>
            <w:tcW w:w="1160" w:type="dxa"/>
            <w:tcBorders>
              <w:bottom w:val="double" w:sz="10" w:space="0" w:color="000000"/>
            </w:tcBorders>
            <w:shd w:fill="CCEEFF" w:val="clear"/>
            <w:vAlign w:val="center"/>
          </w:tcPr>
          <w:p>
            <w:pPr>
              <w:pStyle w:val="TableContents"/>
              <w:bidi w:val="0"/>
              <w:spacing w:before="0" w:after="283"/>
              <w:jc w:val="right"/>
              <w:rPr/>
            </w:pPr>
            <w:r>
              <w:rPr/>
              <w:t>(86,889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w:t>
            </w:r>
          </w:p>
        </w:tc>
        <w:tc>
          <w:tcPr>
            <w:tcW w:w="998" w:type="dxa"/>
            <w:tcBorders>
              <w:bottom w:val="double" w:sz="10" w:space="0" w:color="000000"/>
            </w:tcBorders>
            <w:shd w:fill="CCEEFF" w:val="clear"/>
            <w:vAlign w:val="center"/>
          </w:tcPr>
          <w:p>
            <w:pPr>
              <w:pStyle w:val="TableContents"/>
              <w:bidi w:val="0"/>
              <w:spacing w:before="0" w:after="283"/>
              <w:jc w:val="right"/>
              <w:rPr/>
            </w:pPr>
            <w:r>
              <w:rPr/>
              <w:t>1,015,644</w:t>
            </w:r>
          </w:p>
        </w:tc>
        <w:tc>
          <w:tcPr>
            <w:tcW w:w="8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br/>
        <w:t>Unaudited Pro Forma Condensed Combined Statement of Operations</w:t>
        <w:br/>
        <w:t>For the year ended December 31, 2025</w:t>
        <w:br/>
        <w:t>(in thousands, except share and per share data)</w:t>
      </w:r>
    </w:p>
    <w:p>
      <w:pPr>
        <w:pStyle w:val="TextBody"/>
        <w:bidi w:val="0"/>
        <w:spacing w:before="0" w:after="0"/>
        <w:jc w:val="left"/>
        <w:rPr>
          <w:caps w:val="false"/>
          <w:smallCaps w:val="false"/>
        </w:rPr>
      </w:pPr>
      <w:r>
        <w:rPr>
          <w:caps w:val="false"/>
          <w:smallCaps w:val="false"/>
        </w:rPr>
        <w:t> </w:t>
      </w:r>
    </w:p>
    <w:tbl>
      <w:tblPr>
        <w:tblW w:w="11385" w:type="dxa"/>
        <w:jc w:val="left"/>
        <w:tblInd w:w="0" w:type="dxa"/>
        <w:tblLayout w:type="fixed"/>
        <w:tblCellMar>
          <w:top w:w="0" w:type="dxa"/>
          <w:left w:w="0" w:type="dxa"/>
          <w:bottom w:w="28" w:type="dxa"/>
          <w:right w:w="0" w:type="dxa"/>
        </w:tblCellMar>
      </w:tblPr>
      <w:tblGrid>
        <w:gridCol w:w="3485"/>
        <w:gridCol w:w="60"/>
        <w:gridCol w:w="142"/>
        <w:gridCol w:w="1243"/>
        <w:gridCol w:w="95"/>
        <w:gridCol w:w="60"/>
        <w:gridCol w:w="213"/>
        <w:gridCol w:w="1037"/>
        <w:gridCol w:w="60"/>
        <w:gridCol w:w="60"/>
        <w:gridCol w:w="190"/>
        <w:gridCol w:w="1090"/>
        <w:gridCol w:w="95"/>
        <w:gridCol w:w="60"/>
        <w:gridCol w:w="204"/>
        <w:gridCol w:w="1106"/>
        <w:gridCol w:w="95"/>
        <w:gridCol w:w="60"/>
        <w:gridCol w:w="500"/>
        <w:gridCol w:w="60"/>
        <w:gridCol w:w="140"/>
        <w:gridCol w:w="1220"/>
        <w:gridCol w:w="110"/>
      </w:tblGrid>
      <w:tr>
        <w:trPr/>
        <w:tc>
          <w:tcPr>
            <w:tcW w:w="3485" w:type="dxa"/>
            <w:tcBorders>
              <w:bottom w:val="single" w:sz="12" w:space="0" w:color="000000"/>
            </w:tcBorders>
            <w:vAlign w:val="center"/>
          </w:tcPr>
          <w:p>
            <w:pPr>
              <w:pStyle w:val="TableContents"/>
              <w:bidi w:val="0"/>
              <w:spacing w:before="0" w:after="283"/>
              <w:ind w:left="0" w:right="0" w:hanging="180"/>
              <w:jc w:val="left"/>
              <w:rPr>
                <w:b/>
              </w:rPr>
            </w:pPr>
            <w:r>
              <w:rPr>
                <w:b/>
              </w:rPr>
              <w:t>SoundHound Consolidated Income </w:t>
              <w:br/>
              <w:t>Statement Line Items</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center"/>
              <w:rPr>
                <w:b/>
              </w:rPr>
            </w:pPr>
            <w:r>
              <w:rPr>
                <w:b/>
              </w:rPr>
              <w:t>SoundHound</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0" w:type="dxa"/>
            <w:gridSpan w:val="2"/>
            <w:tcBorders>
              <w:bottom w:val="single" w:sz="12" w:space="0" w:color="000000"/>
            </w:tcBorders>
            <w:vAlign w:val="center"/>
          </w:tcPr>
          <w:p>
            <w:pPr>
              <w:pStyle w:val="TableContents"/>
              <w:bidi w:val="0"/>
              <w:spacing w:before="0" w:after="283"/>
              <w:jc w:val="center"/>
              <w:rPr>
                <w:b/>
              </w:rPr>
            </w:pPr>
            <w:r>
              <w:rPr>
                <w:b/>
              </w:rPr>
              <w:t>Interactions</w:t>
              <w:br/>
              <w:t>Historical &amp;</w:t>
              <w:br/>
              <w:t>Transaction</w:t>
              <w:br/>
              <w:t>Accounting</w:t>
              <w:br/>
              <w:t>(Note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LivePerson</w:t>
              <w:br/>
              <w:t>Historical</w:t>
              <w:br/>
              <w:t>As Adjusted</w:t>
              <w:br/>
              <w:t>(Note 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Transaction</w:t>
              <w:br/>
              <w:t>Accounting</w:t>
              <w:br/>
              <w:t>Adjustments</w:t>
              <w:br/>
              <w:t>(Note 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Pro Forma</w:t>
              <w:br/>
              <w:t>Combined</w:t>
            </w:r>
          </w:p>
        </w:tc>
        <w:tc>
          <w:tcPr>
            <w:tcW w:w="110" w:type="dxa"/>
            <w:tcBorders/>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243" w:type="dxa"/>
            <w:tcBorders/>
            <w:shd w:fill="CCEEFF" w:val="clear"/>
            <w:tcMar>
              <w:bottom w:w="0" w:type="dxa"/>
            </w:tcMar>
            <w:vAlign w:val="center"/>
          </w:tcPr>
          <w:p>
            <w:pPr>
              <w:pStyle w:val="TableContents"/>
              <w:bidi w:val="0"/>
              <w:spacing w:before="0" w:after="283"/>
              <w:jc w:val="right"/>
              <w:rPr/>
            </w:pPr>
            <w:r>
              <w:rPr/>
              <w:t>168,920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w:t>
            </w:r>
          </w:p>
        </w:tc>
        <w:tc>
          <w:tcPr>
            <w:tcW w:w="1037" w:type="dxa"/>
            <w:tcBorders/>
            <w:shd w:fill="CCEEFF" w:val="clear"/>
            <w:tcMar>
              <w:bottom w:w="0" w:type="dxa"/>
            </w:tcMar>
            <w:vAlign w:val="center"/>
          </w:tcPr>
          <w:p>
            <w:pPr>
              <w:pStyle w:val="TableContents"/>
              <w:bidi w:val="0"/>
              <w:spacing w:before="0" w:after="283"/>
              <w:jc w:val="right"/>
              <w:rPr/>
            </w:pPr>
            <w:r>
              <w:rPr/>
              <w:t>42,781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w:t>
            </w:r>
          </w:p>
        </w:tc>
        <w:tc>
          <w:tcPr>
            <w:tcW w:w="1090" w:type="dxa"/>
            <w:tcBorders/>
            <w:shd w:fill="CCEEFF" w:val="clear"/>
            <w:tcMar>
              <w:bottom w:w="0" w:type="dxa"/>
            </w:tcMar>
            <w:vAlign w:val="center"/>
          </w:tcPr>
          <w:p>
            <w:pPr>
              <w:pStyle w:val="TableContents"/>
              <w:bidi w:val="0"/>
              <w:spacing w:before="0" w:after="283"/>
              <w:jc w:val="right"/>
              <w:rPr/>
            </w:pPr>
            <w:r>
              <w:rPr/>
              <w:t>243,742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455,443</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97,369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15,391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74,818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7,600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195,178</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61,640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6,103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78,223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(17,300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128,666</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98,250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2,416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68,645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(15,934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153,377</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82,188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44,676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7,107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4(i)</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146,883</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jc w:val="left"/>
              <w:rPr/>
            </w:pPr>
            <w:r>
              <w:rPr/>
              <w:t>Change in fair value of contingent acquisition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(163,127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(163,127</w:t>
            </w:r>
          </w:p>
        </w:tc>
        <w:tc>
          <w:tcPr>
            <w:tcW w:w="110"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15,872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3,827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709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15,634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36,042</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Restructuring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11,667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11,667</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Impairment of 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41,595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(41,595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4(p)</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Impairment of intangibles and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bottom w:val="single" w:sz="12" w:space="0" w:color="000000"/>
            </w:tcBorders>
            <w:shd w:fill="CCEEFF" w:val="clear"/>
            <w:vAlign w:val="center"/>
          </w:tcPr>
          <w:p>
            <w:pPr>
              <w:pStyle w:val="TableContents"/>
              <w:bidi w:val="0"/>
              <w:spacing w:before="0" w:after="283"/>
              <w:jc w:val="left"/>
              <w:rPr/>
            </w:pPr>
            <w:r>
              <w:rPr/>
              <w:t> </w:t>
            </w:r>
          </w:p>
        </w:tc>
        <w:tc>
          <w:tcPr>
            <w:tcW w:w="1037"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vAlign w:val="center"/>
          </w:tcPr>
          <w:p>
            <w:pPr>
              <w:pStyle w:val="TableContents"/>
              <w:bidi w:val="0"/>
              <w:spacing w:before="0" w:after="283"/>
              <w:jc w:val="left"/>
              <w:rPr/>
            </w:pPr>
            <w:r>
              <w:rPr/>
              <w:t> </w:t>
            </w:r>
          </w:p>
        </w:tc>
        <w:tc>
          <w:tcPr>
            <w:tcW w:w="1090" w:type="dxa"/>
            <w:tcBorders>
              <w:bottom w:val="single" w:sz="12" w:space="0" w:color="000000"/>
            </w:tcBorders>
            <w:shd w:fill="CCEEFF" w:val="clear"/>
            <w:vAlign w:val="center"/>
          </w:tcPr>
          <w:p>
            <w:pPr>
              <w:pStyle w:val="TableContents"/>
              <w:bidi w:val="0"/>
              <w:spacing w:before="0" w:after="283"/>
              <w:jc w:val="right"/>
              <w:rPr/>
            </w:pPr>
            <w:r>
              <w:rPr/>
              <w:t>2,108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CCEEFF" w:val="clear"/>
            <w:vAlign w:val="center"/>
          </w:tcPr>
          <w:p>
            <w:pPr>
              <w:pStyle w:val="TableContents"/>
              <w:bidi w:val="0"/>
              <w:spacing w:before="0" w:after="283"/>
              <w:jc w:val="left"/>
              <w:rPr/>
            </w:pPr>
            <w:r>
              <w:rPr/>
              <w:t> </w:t>
            </w:r>
          </w:p>
        </w:tc>
        <w:tc>
          <w:tcPr>
            <w:tcW w:w="1106"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2,108</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b/>
              </w:rPr>
            </w:pPr>
            <w:r>
              <w:rPr>
                <w:b/>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3" w:type="dxa"/>
            <w:tcBorders>
              <w:bottom w:val="single" w:sz="12" w:space="0" w:color="000000"/>
            </w:tcBorders>
            <w:shd w:fill="FFFFFF" w:val="clear"/>
            <w:vAlign w:val="center"/>
          </w:tcPr>
          <w:p>
            <w:pPr>
              <w:pStyle w:val="TableContents"/>
              <w:bidi w:val="0"/>
              <w:spacing w:before="0" w:after="283"/>
              <w:jc w:val="right"/>
              <w:rPr/>
            </w:pPr>
            <w:r>
              <w:rPr/>
              <w:t>192,192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bottom w:val="single" w:sz="12" w:space="0" w:color="000000"/>
            </w:tcBorders>
            <w:shd w:fill="FFFFFF" w:val="clear"/>
            <w:vAlign w:val="center"/>
          </w:tcPr>
          <w:p>
            <w:pPr>
              <w:pStyle w:val="TableContents"/>
              <w:bidi w:val="0"/>
              <w:spacing w:before="0" w:after="283"/>
              <w:jc w:val="left"/>
              <w:rPr/>
            </w:pPr>
            <w:r>
              <w:rPr/>
              <w:t> </w:t>
            </w:r>
          </w:p>
        </w:tc>
        <w:tc>
          <w:tcPr>
            <w:tcW w:w="1037" w:type="dxa"/>
            <w:tcBorders>
              <w:bottom w:val="single" w:sz="12" w:space="0" w:color="000000"/>
            </w:tcBorders>
            <w:shd w:fill="FFFFFF" w:val="clear"/>
            <w:vAlign w:val="center"/>
          </w:tcPr>
          <w:p>
            <w:pPr>
              <w:pStyle w:val="TableContents"/>
              <w:bidi w:val="0"/>
              <w:spacing w:before="0" w:after="283"/>
              <w:jc w:val="right"/>
              <w:rPr/>
            </w:pPr>
            <w:r>
              <w:rPr/>
              <w:t>40,649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90" w:type="dxa"/>
            <w:tcBorders>
              <w:bottom w:val="single" w:sz="12" w:space="0" w:color="000000"/>
            </w:tcBorders>
            <w:shd w:fill="FFFFFF" w:val="clear"/>
            <w:vAlign w:val="center"/>
          </w:tcPr>
          <w:p>
            <w:pPr>
              <w:pStyle w:val="TableContents"/>
              <w:bidi w:val="0"/>
              <w:spacing w:before="0" w:after="283"/>
              <w:jc w:val="right"/>
              <w:rPr/>
            </w:pPr>
            <w:r>
              <w:rPr/>
              <w:t>322,441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FFFFFF" w:val="clear"/>
            <w:vAlign w:val="center"/>
          </w:tcPr>
          <w:p>
            <w:pPr>
              <w:pStyle w:val="TableContents"/>
              <w:bidi w:val="0"/>
              <w:spacing w:before="0" w:after="283"/>
              <w:jc w:val="left"/>
              <w:rPr/>
            </w:pPr>
            <w:r>
              <w:rPr/>
              <w:t> </w:t>
            </w:r>
          </w:p>
        </w:tc>
        <w:tc>
          <w:tcPr>
            <w:tcW w:w="1106" w:type="dxa"/>
            <w:tcBorders>
              <w:bottom w:val="single" w:sz="12" w:space="0" w:color="000000"/>
            </w:tcBorders>
            <w:shd w:fill="FFFFFF" w:val="clear"/>
            <w:vAlign w:val="center"/>
          </w:tcPr>
          <w:p>
            <w:pPr>
              <w:pStyle w:val="TableContents"/>
              <w:bidi w:val="0"/>
              <w:spacing w:before="0" w:after="283"/>
              <w:jc w:val="right"/>
              <w:rPr/>
            </w:pPr>
            <w:r>
              <w:rPr/>
              <w:t>(44,488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510,794</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b/>
              </w:rPr>
            </w:pPr>
            <w:r>
              <w:rPr>
                <w:b/>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(23,272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bottom w:val="single" w:sz="12" w:space="0" w:color="000000"/>
            </w:tcBorders>
            <w:shd w:fill="CCEEFF" w:val="clear"/>
            <w:vAlign w:val="center"/>
          </w:tcPr>
          <w:p>
            <w:pPr>
              <w:pStyle w:val="TableContents"/>
              <w:bidi w:val="0"/>
              <w:spacing w:before="0" w:after="283"/>
              <w:jc w:val="left"/>
              <w:rPr/>
            </w:pPr>
            <w:r>
              <w:rPr/>
              <w:t> </w:t>
            </w:r>
          </w:p>
        </w:tc>
        <w:tc>
          <w:tcPr>
            <w:tcW w:w="1037" w:type="dxa"/>
            <w:tcBorders>
              <w:bottom w:val="single" w:sz="12" w:space="0" w:color="000000"/>
            </w:tcBorders>
            <w:shd w:fill="CCEEFF" w:val="clear"/>
            <w:vAlign w:val="center"/>
          </w:tcPr>
          <w:p>
            <w:pPr>
              <w:pStyle w:val="TableContents"/>
              <w:bidi w:val="0"/>
              <w:spacing w:before="0" w:after="283"/>
              <w:jc w:val="right"/>
              <w:rPr/>
            </w:pPr>
            <w:r>
              <w:rPr/>
              <w:t>2,132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vAlign w:val="center"/>
          </w:tcPr>
          <w:p>
            <w:pPr>
              <w:pStyle w:val="TableContents"/>
              <w:bidi w:val="0"/>
              <w:spacing w:before="0" w:after="283"/>
              <w:jc w:val="left"/>
              <w:rPr/>
            </w:pPr>
            <w:r>
              <w:rPr/>
              <w:t> </w:t>
            </w:r>
          </w:p>
        </w:tc>
        <w:tc>
          <w:tcPr>
            <w:tcW w:w="1090" w:type="dxa"/>
            <w:tcBorders>
              <w:bottom w:val="single" w:sz="12" w:space="0" w:color="000000"/>
            </w:tcBorders>
            <w:shd w:fill="CCEEFF" w:val="clear"/>
            <w:vAlign w:val="center"/>
          </w:tcPr>
          <w:p>
            <w:pPr>
              <w:pStyle w:val="TableContents"/>
              <w:bidi w:val="0"/>
              <w:spacing w:before="0" w:after="283"/>
              <w:jc w:val="right"/>
              <w:rPr/>
            </w:pPr>
            <w:r>
              <w:rPr/>
              <w:t>(78,699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CCEEFF" w:val="clear"/>
            <w:vAlign w:val="center"/>
          </w:tcPr>
          <w:p>
            <w:pPr>
              <w:pStyle w:val="TableContents"/>
              <w:bidi w:val="0"/>
              <w:spacing w:before="0" w:after="283"/>
              <w:jc w:val="left"/>
              <w:rPr/>
            </w:pPr>
            <w:r>
              <w:rPr/>
              <w:t> </w:t>
            </w:r>
          </w:p>
        </w:tc>
        <w:tc>
          <w:tcPr>
            <w:tcW w:w="1106" w:type="dxa"/>
            <w:tcBorders>
              <w:bottom w:val="single" w:sz="12" w:space="0" w:color="000000"/>
            </w:tcBorders>
            <w:shd w:fill="CCEEFF" w:val="clear"/>
            <w:vAlign w:val="center"/>
          </w:tcPr>
          <w:p>
            <w:pPr>
              <w:pStyle w:val="TableContents"/>
              <w:bidi w:val="0"/>
              <w:spacing w:before="0" w:after="283"/>
              <w:jc w:val="right"/>
              <w:rPr/>
            </w:pPr>
            <w:r>
              <w:rPr/>
              <w:t>44,488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(55,351</w:t>
            </w:r>
          </w:p>
        </w:tc>
        <w:tc>
          <w:tcPr>
            <w:tcW w:w="110"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Gain on troubled debt restructuring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27,720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(27,720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4(q)</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(670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(31,530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31,530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(670</w:t>
            </w:r>
          </w:p>
        </w:tc>
        <w:tc>
          <w:tcPr>
            <w:tcW w:w="110"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3" w:type="dxa"/>
            <w:tcBorders>
              <w:bottom w:val="single" w:sz="12" w:space="0" w:color="000000"/>
            </w:tcBorders>
            <w:shd w:fill="FFFFFF" w:val="clear"/>
            <w:vAlign w:val="center"/>
          </w:tcPr>
          <w:p>
            <w:pPr>
              <w:pStyle w:val="TableContents"/>
              <w:bidi w:val="0"/>
              <w:spacing w:before="0" w:after="283"/>
              <w:jc w:val="right"/>
              <w:rPr/>
            </w:pPr>
            <w:r>
              <w:rPr/>
              <w:t>14,668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bottom w:val="single" w:sz="12" w:space="0" w:color="000000"/>
            </w:tcBorders>
            <w:shd w:fill="FFFFFF" w:val="clear"/>
            <w:vAlign w:val="center"/>
          </w:tcPr>
          <w:p>
            <w:pPr>
              <w:pStyle w:val="TableContents"/>
              <w:bidi w:val="0"/>
              <w:spacing w:before="0" w:after="283"/>
              <w:jc w:val="left"/>
              <w:rPr/>
            </w:pPr>
            <w:r>
              <w:rPr/>
              <w:t> </w:t>
            </w:r>
          </w:p>
        </w:tc>
        <w:tc>
          <w:tcPr>
            <w:tcW w:w="1037" w:type="dxa"/>
            <w:tcBorders>
              <w:bottom w:val="single" w:sz="12" w:space="0" w:color="000000"/>
            </w:tcBorders>
            <w:shd w:fill="FFFFFF" w:val="clear"/>
            <w:vAlign w:val="center"/>
          </w:tcPr>
          <w:p>
            <w:pPr>
              <w:pStyle w:val="TableContents"/>
              <w:bidi w:val="0"/>
              <w:spacing w:before="0" w:after="283"/>
              <w:jc w:val="right"/>
              <w:rPr/>
            </w:pPr>
            <w:r>
              <w:rPr/>
              <w:t>288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FFFFFF" w:val="clear"/>
            <w:vAlign w:val="center"/>
          </w:tcPr>
          <w:p>
            <w:pPr>
              <w:pStyle w:val="TableContents"/>
              <w:bidi w:val="0"/>
              <w:spacing w:before="0" w:after="283"/>
              <w:jc w:val="left"/>
              <w:rPr/>
            </w:pPr>
            <w:r>
              <w:rPr/>
              <w:t> </w:t>
            </w:r>
          </w:p>
        </w:tc>
        <w:tc>
          <w:tcPr>
            <w:tcW w:w="1090" w:type="dxa"/>
            <w:tcBorders>
              <w:bottom w:val="single" w:sz="12" w:space="0" w:color="000000"/>
            </w:tcBorders>
            <w:shd w:fill="FFFFFF" w:val="clear"/>
            <w:vAlign w:val="center"/>
          </w:tcPr>
          <w:p>
            <w:pPr>
              <w:pStyle w:val="TableContents"/>
              <w:bidi w:val="0"/>
              <w:spacing w:before="0" w:after="283"/>
              <w:jc w:val="right"/>
              <w:rPr/>
            </w:pPr>
            <w:r>
              <w:rPr/>
              <w:t>18,728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FFFFFF" w:val="clear"/>
            <w:vAlign w:val="center"/>
          </w:tcPr>
          <w:p>
            <w:pPr>
              <w:pStyle w:val="TableContents"/>
              <w:bidi w:val="0"/>
              <w:spacing w:before="0" w:after="283"/>
              <w:jc w:val="left"/>
              <w:rPr/>
            </w:pPr>
            <w:r>
              <w:rPr/>
              <w:t> </w:t>
            </w:r>
          </w:p>
        </w:tc>
        <w:tc>
          <w:tcPr>
            <w:tcW w:w="1106" w:type="dxa"/>
            <w:tcBorders>
              <w:bottom w:val="single" w:sz="12" w:space="0" w:color="000000"/>
            </w:tcBorders>
            <w:shd w:fill="FFFFFF" w:val="clear"/>
            <w:vAlign w:val="center"/>
          </w:tcPr>
          <w:p>
            <w:pPr>
              <w:pStyle w:val="TableContents"/>
              <w:bidi w:val="0"/>
              <w:spacing w:before="0" w:after="283"/>
              <w:jc w:val="right"/>
              <w:rPr/>
            </w:pPr>
            <w:r>
              <w:rPr/>
              <w:t>(13,202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20,482</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b/>
              </w:rPr>
            </w:pPr>
            <w:r>
              <w:rPr>
                <w:b/>
              </w:rPr>
              <w:t>Total 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13,998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bottom w:val="single" w:sz="12" w:space="0" w:color="000000"/>
            </w:tcBorders>
            <w:shd w:fill="CCEEFF" w:val="clear"/>
            <w:vAlign w:val="center"/>
          </w:tcPr>
          <w:p>
            <w:pPr>
              <w:pStyle w:val="TableContents"/>
              <w:bidi w:val="0"/>
              <w:spacing w:before="0" w:after="283"/>
              <w:jc w:val="left"/>
              <w:rPr/>
            </w:pPr>
            <w:r>
              <w:rPr/>
              <w:t> </w:t>
            </w:r>
          </w:p>
        </w:tc>
        <w:tc>
          <w:tcPr>
            <w:tcW w:w="1037" w:type="dxa"/>
            <w:tcBorders>
              <w:bottom w:val="single" w:sz="12" w:space="0" w:color="000000"/>
            </w:tcBorders>
            <w:shd w:fill="CCEEFF" w:val="clear"/>
            <w:vAlign w:val="center"/>
          </w:tcPr>
          <w:p>
            <w:pPr>
              <w:pStyle w:val="TableContents"/>
              <w:bidi w:val="0"/>
              <w:spacing w:before="0" w:after="283"/>
              <w:jc w:val="right"/>
              <w:rPr/>
            </w:pPr>
            <w:r>
              <w:rPr/>
              <w:t>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vAlign w:val="center"/>
          </w:tcPr>
          <w:p>
            <w:pPr>
              <w:pStyle w:val="TableContents"/>
              <w:bidi w:val="0"/>
              <w:spacing w:before="0" w:after="283"/>
              <w:jc w:val="left"/>
              <w:rPr/>
            </w:pPr>
            <w:r>
              <w:rPr/>
              <w:t> </w:t>
            </w:r>
          </w:p>
        </w:tc>
        <w:tc>
          <w:tcPr>
            <w:tcW w:w="1090" w:type="dxa"/>
            <w:tcBorders>
              <w:bottom w:val="single" w:sz="12" w:space="0" w:color="000000"/>
            </w:tcBorders>
            <w:shd w:fill="CCEEFF" w:val="clear"/>
            <w:vAlign w:val="center"/>
          </w:tcPr>
          <w:p>
            <w:pPr>
              <w:pStyle w:val="TableContents"/>
              <w:bidi w:val="0"/>
              <w:spacing w:before="0" w:after="283"/>
              <w:jc w:val="right"/>
              <w:rPr/>
            </w:pPr>
            <w:r>
              <w:rPr/>
              <w:t>14,918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CCEEFF" w:val="clear"/>
            <w:vAlign w:val="center"/>
          </w:tcPr>
          <w:p>
            <w:pPr>
              <w:pStyle w:val="TableContents"/>
              <w:bidi w:val="0"/>
              <w:spacing w:before="0" w:after="283"/>
              <w:jc w:val="left"/>
              <w:rPr/>
            </w:pPr>
            <w:r>
              <w:rPr/>
              <w:t> </w:t>
            </w:r>
          </w:p>
        </w:tc>
        <w:tc>
          <w:tcPr>
            <w:tcW w:w="1106" w:type="dxa"/>
            <w:tcBorders>
              <w:bottom w:val="single" w:sz="12" w:space="0" w:color="000000"/>
            </w:tcBorders>
            <w:shd w:fill="CCEEFF" w:val="clear"/>
            <w:vAlign w:val="center"/>
          </w:tcPr>
          <w:p>
            <w:pPr>
              <w:pStyle w:val="TableContents"/>
              <w:bidi w:val="0"/>
              <w:spacing w:before="0" w:after="283"/>
              <w:jc w:val="right"/>
              <w:rPr/>
            </w:pPr>
            <w:r>
              <w:rPr/>
              <w:t>(9,392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19,812</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b/>
              </w:rPr>
            </w:pPr>
            <w:r>
              <w:rPr>
                <w:b/>
              </w:rPr>
              <w:t>Loss before 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(9,274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2,420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(63,781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35,096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(35,539</w:t>
            </w:r>
          </w:p>
        </w:tc>
        <w:tc>
          <w:tcPr>
            <w:tcW w:w="110"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Provision (benefit)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4,732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bottom w:val="single" w:sz="12" w:space="0" w:color="000000"/>
            </w:tcBorders>
            <w:shd w:fill="CCEEFF" w:val="clear"/>
            <w:vAlign w:val="center"/>
          </w:tcPr>
          <w:p>
            <w:pPr>
              <w:pStyle w:val="TableContents"/>
              <w:bidi w:val="0"/>
              <w:spacing w:before="0" w:after="283"/>
              <w:jc w:val="left"/>
              <w:rPr/>
            </w:pPr>
            <w:r>
              <w:rPr/>
              <w:t> </w:t>
            </w:r>
          </w:p>
        </w:tc>
        <w:tc>
          <w:tcPr>
            <w:tcW w:w="1037" w:type="dxa"/>
            <w:tcBorders>
              <w:bottom w:val="single" w:sz="12"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bottom w:val="single" w:sz="12" w:space="0" w:color="000000"/>
            </w:tcBorders>
            <w:shd w:fill="CCEEFF" w:val="clear"/>
            <w:vAlign w:val="center"/>
          </w:tcPr>
          <w:p>
            <w:pPr>
              <w:pStyle w:val="TableContents"/>
              <w:bidi w:val="0"/>
              <w:spacing w:before="0" w:after="283"/>
              <w:jc w:val="left"/>
              <w:rPr/>
            </w:pPr>
            <w:r>
              <w:rPr/>
              <w:t> </w:t>
            </w:r>
          </w:p>
        </w:tc>
        <w:tc>
          <w:tcPr>
            <w:tcW w:w="1090" w:type="dxa"/>
            <w:tcBorders>
              <w:bottom w:val="single" w:sz="12" w:space="0" w:color="000000"/>
            </w:tcBorders>
            <w:shd w:fill="CCEEFF" w:val="clear"/>
            <w:vAlign w:val="center"/>
          </w:tcPr>
          <w:p>
            <w:pPr>
              <w:pStyle w:val="TableContents"/>
              <w:bidi w:val="0"/>
              <w:spacing w:before="0" w:after="283"/>
              <w:jc w:val="right"/>
              <w:rPr/>
            </w:pPr>
            <w:r>
              <w:rPr/>
              <w:t>3,452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bottom w:val="single" w:sz="12" w:space="0" w:color="000000"/>
            </w:tcBorders>
            <w:shd w:fill="CCEEFF" w:val="clear"/>
            <w:vAlign w:val="center"/>
          </w:tcPr>
          <w:p>
            <w:pPr>
              <w:pStyle w:val="TableContents"/>
              <w:bidi w:val="0"/>
              <w:spacing w:before="0" w:after="283"/>
              <w:jc w:val="left"/>
              <w:rPr/>
            </w:pPr>
            <w:r>
              <w:rPr/>
              <w:t> </w:t>
            </w:r>
          </w:p>
        </w:tc>
        <w:tc>
          <w:tcPr>
            <w:tcW w:w="1106"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8,184</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b/>
              </w:rPr>
            </w:pPr>
            <w:r>
              <w:rPr>
                <w:b/>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w:t>
            </w:r>
          </w:p>
        </w:tc>
        <w:tc>
          <w:tcPr>
            <w:tcW w:w="1243" w:type="dxa"/>
            <w:tcBorders>
              <w:bottom w:val="double" w:sz="10" w:space="0" w:color="000000"/>
            </w:tcBorders>
            <w:shd w:fill="FFFFFF" w:val="clear"/>
            <w:vAlign w:val="center"/>
          </w:tcPr>
          <w:p>
            <w:pPr>
              <w:pStyle w:val="TableContents"/>
              <w:bidi w:val="0"/>
              <w:spacing w:before="0" w:after="283"/>
              <w:jc w:val="right"/>
              <w:rPr/>
            </w:pPr>
            <w:r>
              <w:rPr/>
              <w:t>(14,006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bottom w:val="double" w:sz="10" w:space="0" w:color="000000"/>
            </w:tcBorders>
            <w:shd w:fill="FFFFFF" w:val="clear"/>
            <w:vAlign w:val="center"/>
          </w:tcPr>
          <w:p>
            <w:pPr>
              <w:pStyle w:val="TableContents"/>
              <w:bidi w:val="0"/>
              <w:spacing w:before="0" w:after="283"/>
              <w:jc w:val="left"/>
              <w:rPr/>
            </w:pPr>
            <w:r>
              <w:rPr/>
              <w:t>$</w:t>
            </w:r>
          </w:p>
        </w:tc>
        <w:tc>
          <w:tcPr>
            <w:tcW w:w="1037" w:type="dxa"/>
            <w:tcBorders>
              <w:bottom w:val="double" w:sz="10" w:space="0" w:color="000000"/>
            </w:tcBorders>
            <w:shd w:fill="FFFFFF" w:val="clear"/>
            <w:vAlign w:val="center"/>
          </w:tcPr>
          <w:p>
            <w:pPr>
              <w:pStyle w:val="TableContents"/>
              <w:bidi w:val="0"/>
              <w:spacing w:before="0" w:after="283"/>
              <w:jc w:val="right"/>
              <w:rPr/>
            </w:pPr>
            <w:r>
              <w:rPr/>
              <w:t>2,420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bottom w:val="double" w:sz="10" w:space="0" w:color="000000"/>
            </w:tcBorders>
            <w:shd w:fill="FFFFFF" w:val="clear"/>
            <w:vAlign w:val="center"/>
          </w:tcPr>
          <w:p>
            <w:pPr>
              <w:pStyle w:val="TableContents"/>
              <w:bidi w:val="0"/>
              <w:spacing w:before="0" w:after="283"/>
              <w:jc w:val="left"/>
              <w:rPr/>
            </w:pPr>
            <w:r>
              <w:rPr/>
              <w:t>$</w:t>
            </w:r>
          </w:p>
        </w:tc>
        <w:tc>
          <w:tcPr>
            <w:tcW w:w="1090" w:type="dxa"/>
            <w:tcBorders>
              <w:bottom w:val="double" w:sz="10" w:space="0" w:color="000000"/>
            </w:tcBorders>
            <w:shd w:fill="FFFFFF" w:val="clear"/>
            <w:vAlign w:val="center"/>
          </w:tcPr>
          <w:p>
            <w:pPr>
              <w:pStyle w:val="TableContents"/>
              <w:bidi w:val="0"/>
              <w:spacing w:before="0" w:after="283"/>
              <w:jc w:val="right"/>
              <w:rPr/>
            </w:pPr>
            <w:r>
              <w:rPr/>
              <w:t>(67,233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bottom w:val="double" w:sz="10" w:space="0" w:color="000000"/>
            </w:tcBorders>
            <w:shd w:fill="FFFFFF" w:val="clear"/>
            <w:vAlign w:val="center"/>
          </w:tcPr>
          <w:p>
            <w:pPr>
              <w:pStyle w:val="TableContents"/>
              <w:bidi w:val="0"/>
              <w:spacing w:before="0" w:after="283"/>
              <w:jc w:val="left"/>
              <w:rPr/>
            </w:pPr>
            <w:r>
              <w:rPr/>
              <w:t>$</w:t>
            </w:r>
          </w:p>
        </w:tc>
        <w:tc>
          <w:tcPr>
            <w:tcW w:w="1106" w:type="dxa"/>
            <w:tcBorders>
              <w:bottom w:val="double" w:sz="10" w:space="0" w:color="000000"/>
            </w:tcBorders>
            <w:shd w:fill="FFFFFF" w:val="clear"/>
            <w:vAlign w:val="center"/>
          </w:tcPr>
          <w:p>
            <w:pPr>
              <w:pStyle w:val="TableContents"/>
              <w:bidi w:val="0"/>
              <w:spacing w:before="0" w:after="283"/>
              <w:jc w:val="right"/>
              <w:rPr/>
            </w:pPr>
            <w:r>
              <w:rPr/>
              <w:t>35,096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(43,723</w:t>
            </w:r>
          </w:p>
        </w:tc>
        <w:tc>
          <w:tcPr>
            <w:tcW w:w="110"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Net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243" w:type="dxa"/>
            <w:tcBorders/>
            <w:shd w:fill="CCEEFF" w:val="clear"/>
            <w:tcMar>
              <w:bottom w:w="0" w:type="dxa"/>
            </w:tcMar>
            <w:vAlign w:val="center"/>
          </w:tcPr>
          <w:p>
            <w:pPr>
              <w:pStyle w:val="TableContents"/>
              <w:bidi w:val="0"/>
              <w:spacing w:before="0" w:after="283"/>
              <w:jc w:val="right"/>
              <w:rPr/>
            </w:pPr>
            <w:r>
              <w:rPr/>
              <w:t>(0.03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(0.10</w:t>
            </w:r>
          </w:p>
        </w:tc>
        <w:tc>
          <w:tcPr>
            <w:tcW w:w="110" w:type="dxa"/>
            <w:tcBorders/>
            <w:shd w:fill="CCEE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w:t>
            </w:r>
          </w:p>
        </w:tc>
        <w:tc>
          <w:tcPr>
            <w:tcW w:w="1243" w:type="dxa"/>
            <w:tcBorders/>
            <w:shd w:fill="FFFFFF" w:val="clear"/>
            <w:tcMar>
              <w:bottom w:w="0" w:type="dxa"/>
            </w:tcMar>
            <w:vAlign w:val="center"/>
          </w:tcPr>
          <w:p>
            <w:pPr>
              <w:pStyle w:val="TableContents"/>
              <w:bidi w:val="0"/>
              <w:spacing w:before="0" w:after="283"/>
              <w:jc w:val="right"/>
              <w:rPr/>
            </w:pPr>
            <w:r>
              <w:rPr/>
              <w:t>(0.28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pPr>
            <w:r>
              <w:rPr/>
              <w:t>(0.32</w:t>
            </w:r>
          </w:p>
        </w:tc>
        <w:tc>
          <w:tcPr>
            <w:tcW w:w="110" w:type="dxa"/>
            <w:tcBorders/>
            <w:shd w:fill="FFFFFF" w:val="clear"/>
            <w:tcMar>
              <w:bottom w:w="0" w:type="dxa"/>
            </w:tcMar>
            <w:vAlign w:val="center"/>
          </w:tcPr>
          <w:p>
            <w:pPr>
              <w:pStyle w:val="TableContents"/>
              <w:bidi w:val="0"/>
              <w:spacing w:before="0" w:after="283"/>
              <w:ind w:left="0" w:right="0" w:hanging="0"/>
              <w:jc w:val="left"/>
              <w:rPr/>
            </w:pPr>
            <w:r>
              <w:rPr/>
              <w:t>)</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Weighted-average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CCEEFF" w:val="clear"/>
            <w:tcMar>
              <w:bottom w:w="0" w:type="dxa"/>
            </w:tcMar>
            <w:vAlign w:val="center"/>
          </w:tcPr>
          <w:p>
            <w:pPr>
              <w:pStyle w:val="TableContents"/>
              <w:bidi w:val="0"/>
              <w:spacing w:before="0" w:after="283"/>
              <w:ind w:left="0" w:right="0" w:hanging="0"/>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 </w:t>
            </w:r>
          </w:p>
        </w:tc>
        <w:tc>
          <w:tcPr>
            <w:tcW w:w="1243" w:type="dxa"/>
            <w:tcBorders>
              <w:bottom w:val="double" w:sz="10" w:space="0" w:color="000000"/>
            </w:tcBorders>
            <w:shd w:fill="CCEEFF" w:val="clear"/>
            <w:vAlign w:val="center"/>
          </w:tcPr>
          <w:p>
            <w:pPr>
              <w:pStyle w:val="TableContents"/>
              <w:bidi w:val="0"/>
              <w:spacing w:before="0" w:after="283"/>
              <w:jc w:val="right"/>
              <w:rPr/>
            </w:pPr>
            <w:r>
              <w:rPr/>
              <w:t>405,421,412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 w:type="dxa"/>
            <w:tcBorders/>
            <w:shd w:fill="CCEEFF" w:val="clear"/>
            <w:tcMar>
              <w:bottom w:w="0" w:type="dxa"/>
            </w:tcMar>
            <w:vAlign w:val="center"/>
          </w:tcPr>
          <w:p>
            <w:pPr>
              <w:pStyle w:val="TableContents"/>
              <w:bidi w:val="0"/>
              <w:spacing w:before="0" w:after="283"/>
              <w:jc w:val="left"/>
              <w:rPr/>
            </w:pPr>
            <w:r>
              <w:rPr/>
              <w:t> </w:t>
            </w:r>
          </w:p>
        </w:tc>
        <w:tc>
          <w:tcPr>
            <w:tcW w:w="10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 w:type="dxa"/>
            <w:tcBorders/>
            <w:shd w:fill="CCEEFF" w:val="clear"/>
            <w:tcMar>
              <w:bottom w:w="0" w:type="dxa"/>
            </w:tcMar>
            <w:vAlign w:val="center"/>
          </w:tcPr>
          <w:p>
            <w:pPr>
              <w:pStyle w:val="TableContents"/>
              <w:bidi w:val="0"/>
              <w:spacing w:before="0" w:after="283"/>
              <w:jc w:val="left"/>
              <w:rPr/>
            </w:pPr>
            <w:r>
              <w:rPr/>
              <w:t> </w:t>
            </w:r>
          </w:p>
        </w:tc>
        <w:tc>
          <w:tcPr>
            <w:tcW w:w="1106"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220" w:type="dxa"/>
            <w:tcBorders>
              <w:bottom w:val="double" w:sz="10" w:space="0" w:color="000000"/>
            </w:tcBorders>
            <w:shd w:fill="CCEEFF" w:val="clear"/>
            <w:vAlign w:val="center"/>
          </w:tcPr>
          <w:p>
            <w:pPr>
              <w:pStyle w:val="TableContents"/>
              <w:bidi w:val="0"/>
              <w:spacing w:before="0" w:after="283"/>
              <w:jc w:val="right"/>
              <w:rPr/>
            </w:pPr>
            <w:r>
              <w:rPr/>
              <w:t>448,054,712</w:t>
            </w:r>
          </w:p>
        </w:tc>
        <w:tc>
          <w:tcPr>
            <w:tcW w:w="11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3485" w:type="dxa"/>
            <w:tcBorders/>
            <w:shd w:fill="FFFFFF" w:val="clear"/>
            <w:tcMar>
              <w:bottom w:w="0" w:type="dxa"/>
            </w:tcMar>
            <w:vAlign w:val="center"/>
          </w:tcPr>
          <w:p>
            <w:pPr>
              <w:pStyle w:val="TableContents"/>
              <w:bidi w:val="0"/>
              <w:spacing w:before="0" w:after="283"/>
              <w:ind w:left="0" w:right="0" w:hanging="0"/>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 </w:t>
            </w:r>
          </w:p>
        </w:tc>
        <w:tc>
          <w:tcPr>
            <w:tcW w:w="1243" w:type="dxa"/>
            <w:tcBorders>
              <w:bottom w:val="double" w:sz="10" w:space="0" w:color="000000"/>
            </w:tcBorders>
            <w:shd w:fill="FFFFFF" w:val="clear"/>
            <w:vAlign w:val="center"/>
          </w:tcPr>
          <w:p>
            <w:pPr>
              <w:pStyle w:val="TableContents"/>
              <w:bidi w:val="0"/>
              <w:spacing w:before="0" w:after="283"/>
              <w:jc w:val="right"/>
              <w:rPr/>
            </w:pPr>
            <w:r>
              <w:rPr/>
              <w:t>409,456,342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 w:type="dxa"/>
            <w:tcBorders/>
            <w:shd w:fill="FFFFFF" w:val="clear"/>
            <w:tcMar>
              <w:bottom w:w="0" w:type="dxa"/>
            </w:tcMar>
            <w:vAlign w:val="center"/>
          </w:tcPr>
          <w:p>
            <w:pPr>
              <w:pStyle w:val="TableContents"/>
              <w:bidi w:val="0"/>
              <w:spacing w:before="0" w:after="283"/>
              <w:jc w:val="left"/>
              <w:rPr/>
            </w:pPr>
            <w:r>
              <w:rPr/>
              <w:t> </w:t>
            </w:r>
          </w:p>
        </w:tc>
        <w:tc>
          <w:tcPr>
            <w:tcW w:w="10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 w:type="dxa"/>
            <w:tcBorders/>
            <w:shd w:fill="FFFFFF" w:val="clear"/>
            <w:tcMar>
              <w:bottom w:w="0" w:type="dxa"/>
            </w:tcMar>
            <w:vAlign w:val="center"/>
          </w:tcPr>
          <w:p>
            <w:pPr>
              <w:pStyle w:val="TableContents"/>
              <w:bidi w:val="0"/>
              <w:spacing w:before="0" w:after="283"/>
              <w:jc w:val="left"/>
              <w:rPr/>
            </w:pPr>
            <w:r>
              <w:rPr/>
              <w:t> </w:t>
            </w:r>
          </w:p>
        </w:tc>
        <w:tc>
          <w:tcPr>
            <w:tcW w:w="110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 </w:t>
            </w:r>
          </w:p>
        </w:tc>
        <w:tc>
          <w:tcPr>
            <w:tcW w:w="1220" w:type="dxa"/>
            <w:tcBorders>
              <w:bottom w:val="double" w:sz="10" w:space="0" w:color="000000"/>
            </w:tcBorders>
            <w:shd w:fill="FFFFFF" w:val="clear"/>
            <w:vAlign w:val="center"/>
          </w:tcPr>
          <w:p>
            <w:pPr>
              <w:pStyle w:val="TableContents"/>
              <w:bidi w:val="0"/>
              <w:spacing w:before="0" w:after="283"/>
              <w:jc w:val="right"/>
              <w:rPr/>
            </w:pPr>
            <w:r>
              <w:rPr/>
              <w:t>452,089,642</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Notes to the Unaudited Pro Forma Condensed Combined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br/>
        <w:t>Unaudited Pro Forma Condensed Combined Statement of Operations</w:t>
        <w:br/>
        <w:t>For the three months ended March 31, 2026</w:t>
        <w:br/>
        <w:t>(in thousands, except share and per share data)</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790"/>
        <w:gridCol w:w="60"/>
        <w:gridCol w:w="142"/>
        <w:gridCol w:w="1243"/>
        <w:gridCol w:w="95"/>
        <w:gridCol w:w="60"/>
        <w:gridCol w:w="202"/>
        <w:gridCol w:w="990"/>
        <w:gridCol w:w="95"/>
        <w:gridCol w:w="60"/>
        <w:gridCol w:w="236"/>
        <w:gridCol w:w="1074"/>
        <w:gridCol w:w="95"/>
        <w:gridCol w:w="60"/>
        <w:gridCol w:w="500"/>
        <w:gridCol w:w="60"/>
        <w:gridCol w:w="140"/>
        <w:gridCol w:w="1220"/>
        <w:gridCol w:w="83"/>
      </w:tblGrid>
      <w:tr>
        <w:trPr/>
        <w:tc>
          <w:tcPr>
            <w:tcW w:w="3790" w:type="dxa"/>
            <w:tcBorders>
              <w:bottom w:val="single" w:sz="12" w:space="0" w:color="000000"/>
            </w:tcBorders>
            <w:vAlign w:val="center"/>
          </w:tcPr>
          <w:p>
            <w:pPr>
              <w:pStyle w:val="TableContents"/>
              <w:bidi w:val="0"/>
              <w:spacing w:before="0" w:after="283"/>
              <w:ind w:left="0" w:right="0" w:hanging="180"/>
              <w:jc w:val="left"/>
              <w:rPr>
                <w:b/>
              </w:rPr>
            </w:pPr>
            <w:r>
              <w:rPr>
                <w:b/>
              </w:rPr>
              <w:t>SoundHound Consolidated Income </w:t>
              <w:br/>
              <w:t>Statement Line Items</w:t>
            </w:r>
          </w:p>
        </w:tc>
        <w:tc>
          <w:tcPr>
            <w:tcW w:w="60" w:type="dxa"/>
            <w:tcBorders/>
            <w:tcMar>
              <w:bottom w:w="0" w:type="dxa"/>
            </w:tcMar>
            <w:vAlign w:val="center"/>
          </w:tcPr>
          <w:p>
            <w:pPr>
              <w:pStyle w:val="TableContents"/>
              <w:bidi w:val="0"/>
              <w:spacing w:before="0" w:after="283"/>
              <w:jc w:val="left"/>
              <w:rPr/>
            </w:pPr>
            <w:r>
              <w:rPr/>
              <w:t> </w:t>
            </w:r>
          </w:p>
        </w:tc>
        <w:tc>
          <w:tcPr>
            <w:tcW w:w="1385" w:type="dxa"/>
            <w:gridSpan w:val="2"/>
            <w:tcBorders>
              <w:bottom w:val="single" w:sz="12" w:space="0" w:color="000000"/>
            </w:tcBorders>
            <w:vAlign w:val="center"/>
          </w:tcPr>
          <w:p>
            <w:pPr>
              <w:pStyle w:val="TableContents"/>
              <w:bidi w:val="0"/>
              <w:spacing w:before="0" w:after="283"/>
              <w:jc w:val="center"/>
              <w:rPr>
                <w:b/>
              </w:rPr>
            </w:pPr>
            <w:r>
              <w:rPr>
                <w:b/>
              </w:rPr>
              <w:t>SoundHound</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92" w:type="dxa"/>
            <w:gridSpan w:val="2"/>
            <w:tcBorders>
              <w:bottom w:val="single" w:sz="12" w:space="0" w:color="000000"/>
            </w:tcBorders>
            <w:vAlign w:val="center"/>
          </w:tcPr>
          <w:p>
            <w:pPr>
              <w:pStyle w:val="TableContents"/>
              <w:bidi w:val="0"/>
              <w:spacing w:before="0" w:after="283"/>
              <w:jc w:val="center"/>
              <w:rPr>
                <w:b/>
              </w:rPr>
            </w:pPr>
            <w:r>
              <w:rPr>
                <w:b/>
              </w:rPr>
              <w:t>LivePerson</w:t>
              <w:br/>
              <w:t>Historical</w:t>
              <w:br/>
              <w:t>As Adjusted</w:t>
              <w:br/>
              <w:t>(Note 2)</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gridSpan w:val="2"/>
            <w:tcBorders>
              <w:bottom w:val="single" w:sz="12" w:space="0" w:color="000000"/>
            </w:tcBorders>
            <w:vAlign w:val="center"/>
          </w:tcPr>
          <w:p>
            <w:pPr>
              <w:pStyle w:val="TableContents"/>
              <w:bidi w:val="0"/>
              <w:spacing w:before="0" w:after="283"/>
              <w:jc w:val="center"/>
              <w:rPr>
                <w:b/>
              </w:rPr>
            </w:pPr>
            <w:r>
              <w:rPr>
                <w:b/>
              </w:rPr>
              <w:t>Transaction</w:t>
              <w:br/>
              <w:t>Accounting</w:t>
              <w:br/>
              <w:t>Adjustments</w:t>
              <w:br/>
              <w:t>(Note 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Pro Forma</w:t>
              <w:br/>
              <w:t>Combined</w:t>
            </w:r>
          </w:p>
        </w:tc>
        <w:tc>
          <w:tcPr>
            <w:tcW w:w="83" w:type="dxa"/>
            <w:tcBorders/>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w:t>
            </w:r>
          </w:p>
        </w:tc>
        <w:tc>
          <w:tcPr>
            <w:tcW w:w="1243" w:type="dxa"/>
            <w:tcBorders/>
            <w:shd w:fill="CCEEFF" w:val="clear"/>
            <w:tcMar>
              <w:bottom w:w="0" w:type="dxa"/>
            </w:tcMar>
            <w:vAlign w:val="center"/>
          </w:tcPr>
          <w:p>
            <w:pPr>
              <w:pStyle w:val="TableContents"/>
              <w:bidi w:val="0"/>
              <w:spacing w:before="0" w:after="283"/>
              <w:jc w:val="right"/>
              <w:rPr/>
            </w:pPr>
            <w:r>
              <w:rPr/>
              <w:t>44,195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w:t>
            </w:r>
          </w:p>
        </w:tc>
        <w:tc>
          <w:tcPr>
            <w:tcW w:w="990" w:type="dxa"/>
            <w:tcBorders/>
            <w:shd w:fill="CCEEFF" w:val="clear"/>
            <w:tcMar>
              <w:bottom w:w="0" w:type="dxa"/>
            </w:tcMar>
            <w:vAlign w:val="center"/>
          </w:tcPr>
          <w:p>
            <w:pPr>
              <w:pStyle w:val="TableContents"/>
              <w:bidi w:val="0"/>
              <w:spacing w:before="0" w:after="283"/>
              <w:jc w:val="right"/>
              <w:rPr/>
            </w:pPr>
            <w:r>
              <w:rPr/>
              <w:t>56,956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7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101,151</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30,453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16,599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1,900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48,952</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19,215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14,200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(4,100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29,315</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26,200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15,436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(3,788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37,848</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25,676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12,300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37,976</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Change in fair value of contingent acquisition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(39,392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(39,392</w:t>
            </w:r>
          </w:p>
        </w:tc>
        <w:tc>
          <w:tcPr>
            <w:tcW w:w="83"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FFFFFF" w:val="clear"/>
            <w:tcMar>
              <w:bottom w:w="0" w:type="dxa"/>
            </w:tcMar>
            <w:vAlign w:val="center"/>
          </w:tcPr>
          <w:p>
            <w:pPr>
              <w:pStyle w:val="TableContents"/>
              <w:bidi w:val="0"/>
              <w:spacing w:before="0" w:after="283"/>
              <w:jc w:val="left"/>
              <w:rPr/>
            </w:pPr>
            <w:r>
              <w:rPr/>
              <w:t>Amortization of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3" w:type="dxa"/>
            <w:tcBorders>
              <w:bottom w:val="single" w:sz="12" w:space="0" w:color="000000"/>
            </w:tcBorders>
            <w:shd w:fill="FFFFFF" w:val="clear"/>
            <w:vAlign w:val="center"/>
          </w:tcPr>
          <w:p>
            <w:pPr>
              <w:pStyle w:val="TableContents"/>
              <w:bidi w:val="0"/>
              <w:spacing w:before="0" w:after="283"/>
              <w:jc w:val="right"/>
              <w:rPr/>
            </w:pPr>
            <w:r>
              <w:rPr/>
              <w:t>4,714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FFFFFF" w:val="clear"/>
            <w:vAlign w:val="center"/>
          </w:tcPr>
          <w:p>
            <w:pPr>
              <w:pStyle w:val="TableContents"/>
              <w:bidi w:val="0"/>
              <w:spacing w:before="0" w:after="283"/>
              <w:jc w:val="left"/>
              <w:rPr/>
            </w:pPr>
            <w:r>
              <w:rPr/>
              <w:t> </w:t>
            </w:r>
          </w:p>
        </w:tc>
        <w:tc>
          <w:tcPr>
            <w:tcW w:w="990" w:type="dxa"/>
            <w:tcBorders>
              <w:bottom w:val="single" w:sz="12" w:space="0" w:color="000000"/>
            </w:tcBorders>
            <w:shd w:fill="FFFFFF" w:val="clear"/>
            <w:vAlign w:val="center"/>
          </w:tcPr>
          <w:p>
            <w:pPr>
              <w:pStyle w:val="TableContents"/>
              <w:bidi w:val="0"/>
              <w:spacing w:before="0" w:after="283"/>
              <w:jc w:val="right"/>
              <w:rPr/>
            </w:pPr>
            <w:r>
              <w:rPr/>
              <w:t>172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bottom w:val="single" w:sz="12" w:space="0" w:color="000000"/>
            </w:tcBorders>
            <w:shd w:fill="FFFFFF" w:val="clear"/>
            <w:vAlign w:val="center"/>
          </w:tcPr>
          <w:p>
            <w:pPr>
              <w:pStyle w:val="TableContents"/>
              <w:bidi w:val="0"/>
              <w:spacing w:before="0" w:after="283"/>
              <w:jc w:val="left"/>
              <w:rPr/>
            </w:pPr>
            <w:r>
              <w:rPr/>
              <w:t> </w:t>
            </w:r>
          </w:p>
        </w:tc>
        <w:tc>
          <w:tcPr>
            <w:tcW w:w="1074" w:type="dxa"/>
            <w:tcBorders>
              <w:bottom w:val="single" w:sz="12" w:space="0" w:color="000000"/>
            </w:tcBorders>
            <w:shd w:fill="FFFFFF" w:val="clear"/>
            <w:vAlign w:val="center"/>
          </w:tcPr>
          <w:p>
            <w:pPr>
              <w:pStyle w:val="TableContents"/>
              <w:bidi w:val="0"/>
              <w:spacing w:before="0" w:after="283"/>
              <w:jc w:val="right"/>
              <w:rPr/>
            </w:pPr>
            <w:r>
              <w:rPr/>
              <w:t>3,914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8,800</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66,866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CCEEFF" w:val="clear"/>
            <w:vAlign w:val="center"/>
          </w:tcPr>
          <w:p>
            <w:pPr>
              <w:pStyle w:val="TableContents"/>
              <w:bidi w:val="0"/>
              <w:spacing w:before="0" w:after="283"/>
              <w:jc w:val="left"/>
              <w:rPr/>
            </w:pPr>
            <w:r>
              <w:rPr/>
              <w:t> </w:t>
            </w:r>
          </w:p>
        </w:tc>
        <w:tc>
          <w:tcPr>
            <w:tcW w:w="990" w:type="dxa"/>
            <w:tcBorders>
              <w:bottom w:val="single" w:sz="12" w:space="0" w:color="000000"/>
            </w:tcBorders>
            <w:shd w:fill="CCEEFF" w:val="clear"/>
            <w:vAlign w:val="center"/>
          </w:tcPr>
          <w:p>
            <w:pPr>
              <w:pStyle w:val="TableContents"/>
              <w:bidi w:val="0"/>
              <w:spacing w:before="0" w:after="283"/>
              <w:jc w:val="right"/>
              <w:rPr/>
            </w:pPr>
            <w:r>
              <w:rPr/>
              <w:t>58,707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bottom w:val="single" w:sz="12" w:space="0" w:color="000000"/>
            </w:tcBorders>
            <w:shd w:fill="CCEEFF" w:val="clear"/>
            <w:vAlign w:val="center"/>
          </w:tcPr>
          <w:p>
            <w:pPr>
              <w:pStyle w:val="TableContents"/>
              <w:bidi w:val="0"/>
              <w:spacing w:before="0" w:after="283"/>
              <w:jc w:val="left"/>
              <w:rPr/>
            </w:pPr>
            <w:r>
              <w:rPr/>
              <w:t> </w:t>
            </w:r>
          </w:p>
        </w:tc>
        <w:tc>
          <w:tcPr>
            <w:tcW w:w="1074" w:type="dxa"/>
            <w:tcBorders>
              <w:bottom w:val="single" w:sz="12" w:space="0" w:color="000000"/>
            </w:tcBorders>
            <w:shd w:fill="CCEEFF" w:val="clear"/>
            <w:vAlign w:val="center"/>
          </w:tcPr>
          <w:p>
            <w:pPr>
              <w:pStyle w:val="TableContents"/>
              <w:bidi w:val="0"/>
              <w:spacing w:before="0" w:after="283"/>
              <w:jc w:val="right"/>
              <w:rPr/>
            </w:pPr>
            <w:r>
              <w:rPr/>
              <w:t>(2,074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123,499</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3" w:type="dxa"/>
            <w:tcBorders>
              <w:bottom w:val="single" w:sz="12" w:space="0" w:color="000000"/>
            </w:tcBorders>
            <w:shd w:fill="FFFFFF" w:val="clear"/>
            <w:vAlign w:val="center"/>
          </w:tcPr>
          <w:p>
            <w:pPr>
              <w:pStyle w:val="TableContents"/>
              <w:bidi w:val="0"/>
              <w:spacing w:before="0" w:after="283"/>
              <w:jc w:val="right"/>
              <w:rPr/>
            </w:pPr>
            <w:r>
              <w:rPr/>
              <w:t>(22,671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FFFFFF" w:val="clear"/>
            <w:vAlign w:val="center"/>
          </w:tcPr>
          <w:p>
            <w:pPr>
              <w:pStyle w:val="TableContents"/>
              <w:bidi w:val="0"/>
              <w:spacing w:before="0" w:after="283"/>
              <w:jc w:val="left"/>
              <w:rPr/>
            </w:pPr>
            <w:r>
              <w:rPr/>
              <w:t> </w:t>
            </w:r>
          </w:p>
        </w:tc>
        <w:tc>
          <w:tcPr>
            <w:tcW w:w="990" w:type="dxa"/>
            <w:tcBorders>
              <w:bottom w:val="single" w:sz="12" w:space="0" w:color="000000"/>
            </w:tcBorders>
            <w:shd w:fill="FFFFFF" w:val="clear"/>
            <w:vAlign w:val="center"/>
          </w:tcPr>
          <w:p>
            <w:pPr>
              <w:pStyle w:val="TableContents"/>
              <w:bidi w:val="0"/>
              <w:spacing w:before="0" w:after="283"/>
              <w:jc w:val="right"/>
              <w:rPr/>
            </w:pPr>
            <w:r>
              <w:rPr/>
              <w:t>(1,751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bottom w:val="single" w:sz="12" w:space="0" w:color="000000"/>
            </w:tcBorders>
            <w:shd w:fill="FFFFFF" w:val="clear"/>
            <w:vAlign w:val="center"/>
          </w:tcPr>
          <w:p>
            <w:pPr>
              <w:pStyle w:val="TableContents"/>
              <w:bidi w:val="0"/>
              <w:spacing w:before="0" w:after="283"/>
              <w:jc w:val="left"/>
              <w:rPr/>
            </w:pPr>
            <w:r>
              <w:rPr/>
              <w:t> </w:t>
            </w:r>
          </w:p>
        </w:tc>
        <w:tc>
          <w:tcPr>
            <w:tcW w:w="1074" w:type="dxa"/>
            <w:tcBorders>
              <w:bottom w:val="single" w:sz="12" w:space="0" w:color="000000"/>
            </w:tcBorders>
            <w:shd w:fill="FFFFFF" w:val="clear"/>
            <w:vAlign w:val="center"/>
          </w:tcPr>
          <w:p>
            <w:pPr>
              <w:pStyle w:val="TableContents"/>
              <w:bidi w:val="0"/>
              <w:spacing w:before="0" w:after="283"/>
              <w:jc w:val="right"/>
              <w:rPr/>
            </w:pPr>
            <w:r>
              <w:rPr/>
              <w:t>2,074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(22,348</w:t>
            </w:r>
          </w:p>
        </w:tc>
        <w:tc>
          <w:tcPr>
            <w:tcW w:w="8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(71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(8,252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8,252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(71</w:t>
            </w:r>
          </w:p>
        </w:tc>
        <w:tc>
          <w:tcPr>
            <w:tcW w:w="83"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FFFFFF" w:val="clear"/>
            <w:tcMar>
              <w:bottom w:w="0" w:type="dxa"/>
            </w:tcMar>
            <w:vAlign w:val="center"/>
          </w:tcPr>
          <w:p>
            <w:pPr>
              <w:pStyle w:val="TableContents"/>
              <w:bidi w:val="0"/>
              <w:spacing w:before="0" w:after="283"/>
              <w:jc w:val="left"/>
              <w:rPr/>
            </w:pPr>
            <w:r>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FFFFFF" w:val="clear"/>
            <w:vAlign w:val="center"/>
          </w:tcPr>
          <w:p>
            <w:pPr>
              <w:pStyle w:val="TableContents"/>
              <w:bidi w:val="0"/>
              <w:spacing w:before="0" w:after="283"/>
              <w:jc w:val="left"/>
              <w:rPr/>
            </w:pPr>
            <w:r>
              <w:rPr/>
              <w:t> </w:t>
            </w:r>
          </w:p>
        </w:tc>
        <w:tc>
          <w:tcPr>
            <w:tcW w:w="1243" w:type="dxa"/>
            <w:tcBorders>
              <w:bottom w:val="single" w:sz="12" w:space="0" w:color="000000"/>
            </w:tcBorders>
            <w:shd w:fill="FFFFFF" w:val="clear"/>
            <w:vAlign w:val="center"/>
          </w:tcPr>
          <w:p>
            <w:pPr>
              <w:pStyle w:val="TableContents"/>
              <w:bidi w:val="0"/>
              <w:spacing w:before="0" w:after="283"/>
              <w:jc w:val="right"/>
              <w:rPr/>
            </w:pPr>
            <w:r>
              <w:rPr/>
              <w:t>(1,488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FFFFFF" w:val="clear"/>
            <w:vAlign w:val="center"/>
          </w:tcPr>
          <w:p>
            <w:pPr>
              <w:pStyle w:val="TableContents"/>
              <w:bidi w:val="0"/>
              <w:spacing w:before="0" w:after="283"/>
              <w:jc w:val="left"/>
              <w:rPr/>
            </w:pPr>
            <w:r>
              <w:rPr/>
              <w:t> </w:t>
            </w:r>
          </w:p>
        </w:tc>
        <w:tc>
          <w:tcPr>
            <w:tcW w:w="990" w:type="dxa"/>
            <w:tcBorders>
              <w:bottom w:val="single" w:sz="12" w:space="0" w:color="000000"/>
            </w:tcBorders>
            <w:shd w:fill="FFFFFF" w:val="clear"/>
            <w:vAlign w:val="center"/>
          </w:tcPr>
          <w:p>
            <w:pPr>
              <w:pStyle w:val="TableContents"/>
              <w:bidi w:val="0"/>
              <w:spacing w:before="0" w:after="283"/>
              <w:jc w:val="right"/>
              <w:rPr/>
            </w:pPr>
            <w:r>
              <w:rPr/>
              <w:t>1,501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bottom w:val="single" w:sz="12" w:space="0" w:color="000000"/>
            </w:tcBorders>
            <w:shd w:fill="FFFFFF" w:val="clear"/>
            <w:vAlign w:val="center"/>
          </w:tcPr>
          <w:p>
            <w:pPr>
              <w:pStyle w:val="TableContents"/>
              <w:bidi w:val="0"/>
              <w:spacing w:before="0" w:after="283"/>
              <w:jc w:val="left"/>
              <w:rPr/>
            </w:pPr>
            <w:r>
              <w:rPr/>
              <w:t> </w:t>
            </w:r>
          </w:p>
        </w:tc>
        <w:tc>
          <w:tcPr>
            <w:tcW w:w="1074" w:type="dxa"/>
            <w:tcBorders>
              <w:bottom w:val="single" w:sz="12" w:space="0" w:color="000000"/>
            </w:tcBorders>
            <w:shd w:fill="FFFFFF" w:val="clear"/>
            <w:vAlign w:val="center"/>
          </w:tcPr>
          <w:p>
            <w:pPr>
              <w:pStyle w:val="TableContents"/>
              <w:bidi w:val="0"/>
              <w:spacing w:before="0" w:after="283"/>
              <w:jc w:val="right"/>
              <w:rPr/>
            </w:pPr>
            <w:r>
              <w:rPr/>
              <w:t>(1,116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(1,103</w:t>
            </w:r>
          </w:p>
        </w:tc>
        <w:tc>
          <w:tcPr>
            <w:tcW w:w="8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CCEE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(1,559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CCEEFF" w:val="clear"/>
            <w:vAlign w:val="center"/>
          </w:tcPr>
          <w:p>
            <w:pPr>
              <w:pStyle w:val="TableContents"/>
              <w:bidi w:val="0"/>
              <w:spacing w:before="0" w:after="283"/>
              <w:jc w:val="left"/>
              <w:rPr/>
            </w:pPr>
            <w:r>
              <w:rPr/>
              <w:t> </w:t>
            </w:r>
          </w:p>
        </w:tc>
        <w:tc>
          <w:tcPr>
            <w:tcW w:w="990" w:type="dxa"/>
            <w:tcBorders>
              <w:bottom w:val="single" w:sz="12" w:space="0" w:color="000000"/>
            </w:tcBorders>
            <w:shd w:fill="CCEEFF" w:val="clear"/>
            <w:vAlign w:val="center"/>
          </w:tcPr>
          <w:p>
            <w:pPr>
              <w:pStyle w:val="TableContents"/>
              <w:bidi w:val="0"/>
              <w:spacing w:before="0" w:after="283"/>
              <w:jc w:val="right"/>
              <w:rPr/>
            </w:pPr>
            <w:r>
              <w:rPr/>
              <w:t>(6,751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bottom w:val="single" w:sz="12" w:space="0" w:color="000000"/>
            </w:tcBorders>
            <w:shd w:fill="CCEEFF" w:val="clear"/>
            <w:vAlign w:val="center"/>
          </w:tcPr>
          <w:p>
            <w:pPr>
              <w:pStyle w:val="TableContents"/>
              <w:bidi w:val="0"/>
              <w:spacing w:before="0" w:after="283"/>
              <w:jc w:val="left"/>
              <w:rPr/>
            </w:pPr>
            <w:r>
              <w:rPr/>
              <w:t> </w:t>
            </w:r>
          </w:p>
        </w:tc>
        <w:tc>
          <w:tcPr>
            <w:tcW w:w="1074" w:type="dxa"/>
            <w:tcBorders>
              <w:bottom w:val="single" w:sz="12" w:space="0" w:color="000000"/>
            </w:tcBorders>
            <w:shd w:fill="CCEEFF" w:val="clear"/>
            <w:vAlign w:val="center"/>
          </w:tcPr>
          <w:p>
            <w:pPr>
              <w:pStyle w:val="TableContents"/>
              <w:bidi w:val="0"/>
              <w:spacing w:before="0" w:after="283"/>
              <w:jc w:val="right"/>
              <w:rPr/>
            </w:pPr>
            <w:r>
              <w:rPr/>
              <w:t>7,136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(1,174</w:t>
            </w:r>
          </w:p>
        </w:tc>
        <w:tc>
          <w:tcPr>
            <w:tcW w:w="83"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FFFFFF" w:val="clear"/>
            <w:tcMar>
              <w:bottom w:w="0" w:type="dxa"/>
            </w:tcMar>
            <w:vAlign w:val="center"/>
          </w:tcPr>
          <w:p>
            <w:pPr>
              <w:pStyle w:val="TableContents"/>
              <w:bidi w:val="0"/>
              <w:spacing w:before="0" w:after="283"/>
              <w:jc w:val="left"/>
              <w:rPr>
                <w:b/>
              </w:rPr>
            </w:pPr>
            <w:r>
              <w:rPr>
                <w:b/>
              </w:rPr>
              <w:t>Loss before 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(24,230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(8,502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9,210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(23,522</w:t>
            </w:r>
          </w:p>
        </w:tc>
        <w:tc>
          <w:tcPr>
            <w:tcW w:w="8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CCEEFF" w:val="clear"/>
            <w:tcMar>
              <w:bottom w:w="0" w:type="dxa"/>
            </w:tcMar>
            <w:vAlign w:val="center"/>
          </w:tcPr>
          <w:p>
            <w:pPr>
              <w:pStyle w:val="TableContents"/>
              <w:bidi w:val="0"/>
              <w:spacing w:before="0" w:after="283"/>
              <w:jc w:val="left"/>
              <w:rPr/>
            </w:pPr>
            <w:r>
              <w:rPr/>
              <w:t>Provision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single" w:sz="12" w:space="0" w:color="000000"/>
            </w:tcBorders>
            <w:shd w:fill="CCEEFF" w:val="clear"/>
            <w:vAlign w:val="center"/>
          </w:tcPr>
          <w:p>
            <w:pPr>
              <w:pStyle w:val="TableContents"/>
              <w:bidi w:val="0"/>
              <w:spacing w:before="0" w:after="283"/>
              <w:jc w:val="left"/>
              <w:rPr/>
            </w:pPr>
            <w:r>
              <w:rPr/>
              <w:t> </w:t>
            </w:r>
          </w:p>
        </w:tc>
        <w:tc>
          <w:tcPr>
            <w:tcW w:w="1243" w:type="dxa"/>
            <w:tcBorders>
              <w:bottom w:val="single" w:sz="12" w:space="0" w:color="000000"/>
            </w:tcBorders>
            <w:shd w:fill="CCEEFF" w:val="clear"/>
            <w:vAlign w:val="center"/>
          </w:tcPr>
          <w:p>
            <w:pPr>
              <w:pStyle w:val="TableContents"/>
              <w:bidi w:val="0"/>
              <w:spacing w:before="0" w:after="283"/>
              <w:jc w:val="right"/>
              <w:rPr/>
            </w:pPr>
            <w:r>
              <w:rPr/>
              <w:t>798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12" w:space="0" w:color="000000"/>
            </w:tcBorders>
            <w:shd w:fill="CCEEFF" w:val="clear"/>
            <w:vAlign w:val="center"/>
          </w:tcPr>
          <w:p>
            <w:pPr>
              <w:pStyle w:val="TableContents"/>
              <w:bidi w:val="0"/>
              <w:spacing w:before="0" w:after="283"/>
              <w:jc w:val="left"/>
              <w:rPr/>
            </w:pPr>
            <w:r>
              <w:rPr/>
              <w:t> </w:t>
            </w:r>
          </w:p>
        </w:tc>
        <w:tc>
          <w:tcPr>
            <w:tcW w:w="990" w:type="dxa"/>
            <w:tcBorders>
              <w:bottom w:val="single" w:sz="12" w:space="0" w:color="000000"/>
            </w:tcBorders>
            <w:shd w:fill="CCEEFF" w:val="clear"/>
            <w:vAlign w:val="center"/>
          </w:tcPr>
          <w:p>
            <w:pPr>
              <w:pStyle w:val="TableContents"/>
              <w:bidi w:val="0"/>
              <w:spacing w:before="0" w:after="283"/>
              <w:jc w:val="right"/>
              <w:rPr/>
            </w:pPr>
            <w:r>
              <w:rPr/>
              <w:t>325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bottom w:val="single" w:sz="12" w:space="0" w:color="000000"/>
            </w:tcBorders>
            <w:shd w:fill="CCEEFF" w:val="clear"/>
            <w:vAlign w:val="center"/>
          </w:tcPr>
          <w:p>
            <w:pPr>
              <w:pStyle w:val="TableContents"/>
              <w:bidi w:val="0"/>
              <w:spacing w:before="0" w:after="283"/>
              <w:jc w:val="left"/>
              <w:rPr/>
            </w:pPr>
            <w:r>
              <w:rPr/>
              <w:t> </w:t>
            </w:r>
          </w:p>
        </w:tc>
        <w:tc>
          <w:tcPr>
            <w:tcW w:w="1074"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220" w:type="dxa"/>
            <w:tcBorders>
              <w:bottom w:val="single" w:sz="12" w:space="0" w:color="000000"/>
            </w:tcBorders>
            <w:shd w:fill="CCEEFF" w:val="clear"/>
            <w:vAlign w:val="center"/>
          </w:tcPr>
          <w:p>
            <w:pPr>
              <w:pStyle w:val="TableContents"/>
              <w:bidi w:val="0"/>
              <w:spacing w:before="0" w:after="283"/>
              <w:jc w:val="right"/>
              <w:rPr/>
            </w:pPr>
            <w:r>
              <w:rPr/>
              <w:t>1,123</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b/>
              </w:rPr>
            </w:pPr>
            <w:r>
              <w:rPr>
                <w:b/>
              </w:rPr>
              <w:t>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w:t>
            </w:r>
          </w:p>
        </w:tc>
        <w:tc>
          <w:tcPr>
            <w:tcW w:w="1243" w:type="dxa"/>
            <w:tcBorders>
              <w:bottom w:val="double" w:sz="10" w:space="0" w:color="000000"/>
            </w:tcBorders>
            <w:shd w:fill="FFFFFF" w:val="clear"/>
            <w:vAlign w:val="center"/>
          </w:tcPr>
          <w:p>
            <w:pPr>
              <w:pStyle w:val="TableContents"/>
              <w:bidi w:val="0"/>
              <w:spacing w:before="0" w:after="283"/>
              <w:jc w:val="right"/>
              <w:rPr/>
            </w:pPr>
            <w:r>
              <w:rPr/>
              <w:t>(25,028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bottom w:val="double" w:sz="10" w:space="0" w:color="000000"/>
            </w:tcBorders>
            <w:shd w:fill="FFFFFF" w:val="clear"/>
            <w:vAlign w:val="center"/>
          </w:tcPr>
          <w:p>
            <w:pPr>
              <w:pStyle w:val="TableContents"/>
              <w:bidi w:val="0"/>
              <w:spacing w:before="0" w:after="283"/>
              <w:jc w:val="left"/>
              <w:rPr/>
            </w:pPr>
            <w:r>
              <w:rPr/>
              <w:t>$</w:t>
            </w:r>
          </w:p>
        </w:tc>
        <w:tc>
          <w:tcPr>
            <w:tcW w:w="990" w:type="dxa"/>
            <w:tcBorders>
              <w:bottom w:val="double" w:sz="10" w:space="0" w:color="000000"/>
            </w:tcBorders>
            <w:shd w:fill="FFFFFF" w:val="clear"/>
            <w:vAlign w:val="center"/>
          </w:tcPr>
          <w:p>
            <w:pPr>
              <w:pStyle w:val="TableContents"/>
              <w:bidi w:val="0"/>
              <w:spacing w:before="0" w:after="283"/>
              <w:jc w:val="right"/>
              <w:rPr/>
            </w:pPr>
            <w:r>
              <w:rPr/>
              <w:t>(8,827</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bottom w:val="double" w:sz="10" w:space="0" w:color="000000"/>
            </w:tcBorders>
            <w:shd w:fill="FFFFFF" w:val="clear"/>
            <w:vAlign w:val="center"/>
          </w:tcPr>
          <w:p>
            <w:pPr>
              <w:pStyle w:val="TableContents"/>
              <w:bidi w:val="0"/>
              <w:spacing w:before="0" w:after="283"/>
              <w:jc w:val="left"/>
              <w:rPr/>
            </w:pPr>
            <w:r>
              <w:rPr/>
              <w:t>$</w:t>
            </w:r>
          </w:p>
        </w:tc>
        <w:tc>
          <w:tcPr>
            <w:tcW w:w="1074" w:type="dxa"/>
            <w:tcBorders>
              <w:bottom w:val="double" w:sz="10" w:space="0" w:color="000000"/>
            </w:tcBorders>
            <w:shd w:fill="FFFFFF" w:val="clear"/>
            <w:vAlign w:val="center"/>
          </w:tcPr>
          <w:p>
            <w:pPr>
              <w:pStyle w:val="TableContents"/>
              <w:bidi w:val="0"/>
              <w:spacing w:before="0" w:after="283"/>
              <w:jc w:val="right"/>
              <w:rPr/>
            </w:pPr>
            <w:r>
              <w:rPr/>
              <w:t>9,210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(24,645</w:t>
            </w:r>
          </w:p>
        </w:tc>
        <w:tc>
          <w:tcPr>
            <w:tcW w:w="8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Net loss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w:t>
            </w:r>
          </w:p>
        </w:tc>
        <w:tc>
          <w:tcPr>
            <w:tcW w:w="1243" w:type="dxa"/>
            <w:tcBorders>
              <w:bottom w:val="double" w:sz="10" w:space="0" w:color="000000"/>
            </w:tcBorders>
            <w:shd w:fill="CCEEFF" w:val="clear"/>
            <w:vAlign w:val="center"/>
          </w:tcPr>
          <w:p>
            <w:pPr>
              <w:pStyle w:val="TableContents"/>
              <w:bidi w:val="0"/>
              <w:spacing w:before="0" w:after="283"/>
              <w:jc w:val="right"/>
              <w:rPr/>
            </w:pPr>
            <w:r>
              <w:rPr/>
              <w:t>(0.06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220" w:type="dxa"/>
            <w:tcBorders>
              <w:bottom w:val="double" w:sz="10" w:space="0" w:color="000000"/>
            </w:tcBorders>
            <w:shd w:fill="CCEEFF" w:val="clear"/>
            <w:vAlign w:val="center"/>
          </w:tcPr>
          <w:p>
            <w:pPr>
              <w:pStyle w:val="TableContents"/>
              <w:bidi w:val="0"/>
              <w:spacing w:before="0" w:after="283"/>
              <w:jc w:val="right"/>
              <w:rPr/>
            </w:pPr>
            <w:r>
              <w:rPr/>
              <w:t>(0.05</w:t>
            </w:r>
          </w:p>
        </w:tc>
        <w:tc>
          <w:tcPr>
            <w:tcW w:w="83"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w:t>
            </w:r>
          </w:p>
        </w:tc>
        <w:tc>
          <w:tcPr>
            <w:tcW w:w="1243" w:type="dxa"/>
            <w:tcBorders>
              <w:bottom w:val="double" w:sz="10" w:space="0" w:color="000000"/>
            </w:tcBorders>
            <w:shd w:fill="FFFFFF" w:val="clear"/>
            <w:vAlign w:val="center"/>
          </w:tcPr>
          <w:p>
            <w:pPr>
              <w:pStyle w:val="TableContents"/>
              <w:bidi w:val="0"/>
              <w:spacing w:before="0" w:after="283"/>
              <w:jc w:val="right"/>
              <w:rPr/>
            </w:pPr>
            <w:r>
              <w:rPr/>
              <w:t>(0.11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pPr>
            <w:r>
              <w:rPr/>
              <w:t>(0.10</w:t>
            </w:r>
          </w:p>
        </w:tc>
        <w:tc>
          <w:tcPr>
            <w:tcW w:w="8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79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Weighted-average common shares outstanding: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8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CCEEFF" w:val="clear"/>
            <w:tcMar>
              <w:bottom w:w="0" w:type="dxa"/>
            </w:tcMar>
            <w:vAlign w:val="center"/>
          </w:tcPr>
          <w:p>
            <w:pPr>
              <w:pStyle w:val="TableContents"/>
              <w:bidi w:val="0"/>
              <w:spacing w:before="0" w:after="283"/>
              <w:jc w:val="left"/>
              <w:rPr/>
            </w:pPr>
            <w:r>
              <w:rPr/>
              <w:t>Basic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CCEEFF" w:val="clear"/>
            <w:vAlign w:val="center"/>
          </w:tcPr>
          <w:p>
            <w:pPr>
              <w:pStyle w:val="TableContents"/>
              <w:bidi w:val="0"/>
              <w:spacing w:before="0" w:after="283"/>
              <w:jc w:val="left"/>
              <w:rPr/>
            </w:pPr>
            <w:r>
              <w:rPr/>
              <w:t> </w:t>
            </w:r>
          </w:p>
        </w:tc>
        <w:tc>
          <w:tcPr>
            <w:tcW w:w="1243" w:type="dxa"/>
            <w:tcBorders>
              <w:bottom w:val="double" w:sz="10" w:space="0" w:color="000000"/>
            </w:tcBorders>
            <w:shd w:fill="CCEEFF" w:val="clear"/>
            <w:vAlign w:val="center"/>
          </w:tcPr>
          <w:p>
            <w:pPr>
              <w:pStyle w:val="TableContents"/>
              <w:bidi w:val="0"/>
              <w:spacing w:before="0" w:after="283"/>
              <w:jc w:val="right"/>
              <w:rPr/>
            </w:pPr>
            <w:r>
              <w:rPr/>
              <w:t>421,472,827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9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6" w:type="dxa"/>
            <w:tcBorders/>
            <w:shd w:fill="CCEEFF" w:val="clear"/>
            <w:tcMar>
              <w:bottom w:w="0" w:type="dxa"/>
            </w:tcMar>
            <w:vAlign w:val="center"/>
          </w:tcPr>
          <w:p>
            <w:pPr>
              <w:pStyle w:val="TableContents"/>
              <w:bidi w:val="0"/>
              <w:spacing w:before="0" w:after="283"/>
              <w:jc w:val="left"/>
              <w:rPr/>
            </w:pPr>
            <w:r>
              <w:rPr/>
              <w:t> </w:t>
            </w:r>
          </w:p>
        </w:tc>
        <w:tc>
          <w:tcPr>
            <w:tcW w:w="107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4(r)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 </w:t>
            </w:r>
          </w:p>
        </w:tc>
        <w:tc>
          <w:tcPr>
            <w:tcW w:w="1220" w:type="dxa"/>
            <w:tcBorders>
              <w:bottom w:val="double" w:sz="10" w:space="0" w:color="000000"/>
            </w:tcBorders>
            <w:shd w:fill="CCEEFF" w:val="clear"/>
            <w:vAlign w:val="center"/>
          </w:tcPr>
          <w:p>
            <w:pPr>
              <w:pStyle w:val="TableContents"/>
              <w:bidi w:val="0"/>
              <w:spacing w:before="0" w:after="283"/>
              <w:jc w:val="right"/>
              <w:rPr/>
            </w:pPr>
            <w:r>
              <w:rPr/>
              <w:t>464,106,127</w:t>
            </w:r>
          </w:p>
        </w:tc>
        <w:tc>
          <w:tcPr>
            <w:tcW w:w="8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90" w:type="dxa"/>
            <w:tcBorders/>
            <w:shd w:fill="FFFFFF" w:val="clear"/>
            <w:tcMar>
              <w:bottom w:w="0" w:type="dxa"/>
            </w:tcMar>
            <w:vAlign w:val="center"/>
          </w:tcPr>
          <w:p>
            <w:pPr>
              <w:pStyle w:val="TableContents"/>
              <w:bidi w:val="0"/>
              <w:spacing w:before="0" w:after="283"/>
              <w:jc w:val="left"/>
              <w:rPr/>
            </w:pPr>
            <w:r>
              <w:rPr/>
              <w:t>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bottom w:val="double" w:sz="10" w:space="0" w:color="000000"/>
            </w:tcBorders>
            <w:shd w:fill="FFFFFF" w:val="clear"/>
            <w:vAlign w:val="center"/>
          </w:tcPr>
          <w:p>
            <w:pPr>
              <w:pStyle w:val="TableContents"/>
              <w:bidi w:val="0"/>
              <w:spacing w:before="0" w:after="283"/>
              <w:jc w:val="left"/>
              <w:rPr/>
            </w:pPr>
            <w:r>
              <w:rPr/>
              <w:t> </w:t>
            </w:r>
          </w:p>
        </w:tc>
        <w:tc>
          <w:tcPr>
            <w:tcW w:w="1243" w:type="dxa"/>
            <w:tcBorders>
              <w:bottom w:val="double" w:sz="10" w:space="0" w:color="000000"/>
            </w:tcBorders>
            <w:shd w:fill="FFFFFF" w:val="clear"/>
            <w:vAlign w:val="center"/>
          </w:tcPr>
          <w:p>
            <w:pPr>
              <w:pStyle w:val="TableContents"/>
              <w:bidi w:val="0"/>
              <w:spacing w:before="0" w:after="283"/>
              <w:jc w:val="right"/>
              <w:rPr/>
            </w:pPr>
            <w:r>
              <w:rPr/>
              <w:t>429,783,201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9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6" w:type="dxa"/>
            <w:tcBorders/>
            <w:shd w:fill="FFFFFF" w:val="clear"/>
            <w:tcMar>
              <w:bottom w:w="0" w:type="dxa"/>
            </w:tcMar>
            <w:vAlign w:val="center"/>
          </w:tcPr>
          <w:p>
            <w:pPr>
              <w:pStyle w:val="TableContents"/>
              <w:bidi w:val="0"/>
              <w:spacing w:before="0" w:after="283"/>
              <w:jc w:val="left"/>
              <w:rPr/>
            </w:pPr>
            <w:r>
              <w:rPr/>
              <w:t> </w:t>
            </w:r>
          </w:p>
        </w:tc>
        <w:tc>
          <w:tcPr>
            <w:tcW w:w="107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4(r)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 </w:t>
            </w:r>
          </w:p>
        </w:tc>
        <w:tc>
          <w:tcPr>
            <w:tcW w:w="1220" w:type="dxa"/>
            <w:tcBorders>
              <w:bottom w:val="double" w:sz="10" w:space="0" w:color="000000"/>
            </w:tcBorders>
            <w:shd w:fill="FFFFFF" w:val="clear"/>
            <w:vAlign w:val="center"/>
          </w:tcPr>
          <w:p>
            <w:pPr>
              <w:pStyle w:val="TableContents"/>
              <w:bidi w:val="0"/>
              <w:spacing w:before="0" w:after="283"/>
              <w:jc w:val="right"/>
              <w:rPr/>
            </w:pPr>
            <w:r>
              <w:rPr/>
              <w:t>472,416,501</w:t>
            </w:r>
          </w:p>
        </w:tc>
        <w:tc>
          <w:tcPr>
            <w:tcW w:w="83"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Notes to the Unaudited Pro Forma Condensed Combined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Unaudited Pro Forma Condensed Combined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The historical financial information of SoundHound, Interactions and LivePerson has been adjusted in the unaudited pro forma condensed combined financial information to reflect transaction accounting adjustments related to the Transactions in accordance with generally accepted accounting principles (“GAAP”), based on the assumptions and adjustments that are described in the accompanying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LivePerson Merger has been accounted for as a business combination in accordance with the acquisition method of accounting under GAAP. Under this method of accounting, SoundHound has been determined to be the accounting acquirer and LivePerson to be the accounting acquiree. The acquisition method of accounting requires, among other things, that the assets acquired and liabilities assumed in a business combination are measured and recognized at fair value as of the acquisition date. The excess of the consideration over the fair value of assets acquired and liabilities assumed is allocated to goodwill. The final purchase price allocation could differ materially from the preliminary allocation used in the transaction accounting adjustments as the final allocation may include changes in allocations to intangible assets as well as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includes certain reclassifications to conform LivePerson’s and Interactions’ historical accounting presentation to SoundHound’s accounting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effect to the LivePerson Merger, as if the Merger had been completed on March 31, 2026 and combines the unaudited condensed consolidated balance sheet of SoundHound as of March 31, 2026 with LivePerson’s unaudited condensed consolidated balance sheet as of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statements of operations for the year ended December 31, 2025 and the three months ended March 31, 2026 give effect to the LivePerson Merger as if it had occurred on January 1, 2025, the first day of SoundHound’s fiscal 2025, and combines the historical results of SoundHound, Interactions, and LivePerson. The unaudited pro forma condensed combined statement of operations for the year ended December 31, 2025 combines the audited consolidated statement of operations of SoundHound for the year ended December 31, 2025 with LivePerson’s audited consolidated statement of operations for the year ended December 31, 2025 and Interactions’ unaudited consolidated statement of operations from January 1, 2025 to September 2, 2025. The unaudited pro forma condensed combined statement of operations for the three months ended March 31, 2026 combines the unaudited condensed consolidated statement of operations of SoundHound for the three months ended March 31, 2026 with LivePerson’s unaudited condensed consolidated statement of operations for the three months ended March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transaction accounting adjustments that management believes are necessary to present fairly SoundHound’s pro forma results of operations and financial position following the closing of the LivePerson Merger as of and for the periods indicated. The pro forma adjustments, which SoundHound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results of operations of the combined company will likely differ, perhaps materially, from the pro forma amounts reflected herein due to a variety of factors. The Company believes that its assumptions and methodologies provide a reasonable basis for presenting all of the significant effects of the transactions based on information available to management at this time, and that the pro forma transaction accounting adjustments give effect to those assumptions and are properly applied in the unaudited pro forma condensed combined financial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give effect to any anticipated synergies, operating efficiencies, tax savings, or cost savings that may be associated with the LivePerson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deferred tax liability has been recorded with respect to the basis differences associated with the identifiable intangible assets recognized in the transaction because the Company has sufficient net operating loss carryforwards to offset the related deferred tax effects. Accordingly, no pro forma balance sheet adjustment has been reflected for such intangible assets. 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and reflects the carryover of deferred tax balances of foreign jurisdictions which do not carry a full valuation allowance.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reflects the combined historical income tax provisions of LivePerson and SoundHound. This presentation assumes that the existing full valuation allowance will continue to be maintained and, therefore, no incremental tax benefit or other pro forma tax adjustment has been reflected in the unaudited pro forma condensed statement of operations. Management has not completed its analysis of the tax impact of the LivePerson Merger on the combined company. Upon consummation of the LivePerson Merger, SoundHound will perform a comprehensive analysis of the tax impact of the LivePerson Merger on the combined company with full information. The effective tax rate of the combined company could be significantly different than what is presented in these unaudited pro forma financial statements depending on post-business combination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Reclassification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used in the preparation of the unaudited pro forma condensed combined financial information are those set out in SoundHound’s unaudited condensed consolidated financial statements as of and for the three months ended March 31, 2026 and SoundHound’s audited annual financial statements as of and for the year ended December 31, 2025. Certain reclassifications are reflected in the unaudited pro forma condensed combined balance sheet and statement of operations to conform presentation between SoundHound and LivePerson. These reclassifications have no effect on previously reported assets, liabilities, stockholders’ equity (deficit) and net loss of SoundHound or LivePerson. Upon consummation of the LivePerson Merger, SoundHound will perform a comprehensive review of LivePerson’s accounting policies. As a result of that review, SoundHound may identify differences between the accounting policies of the two companies which, when conformed, could have a material impact on the combined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a summary of identified reclassification adjustments made to present LivePerson’s consolidated balance sheet as of March 31, 2026, to conform presentation to that of SoundHound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46"/>
        <w:gridCol w:w="60"/>
        <w:gridCol w:w="2148"/>
        <w:gridCol w:w="60"/>
        <w:gridCol w:w="140"/>
        <w:gridCol w:w="1062"/>
        <w:gridCol w:w="95"/>
        <w:gridCol w:w="60"/>
        <w:gridCol w:w="198"/>
        <w:gridCol w:w="1394"/>
        <w:gridCol w:w="95"/>
        <w:gridCol w:w="60"/>
        <w:gridCol w:w="536"/>
        <w:gridCol w:w="60"/>
        <w:gridCol w:w="140"/>
        <w:gridCol w:w="1062"/>
        <w:gridCol w:w="89"/>
      </w:tblGrid>
      <w:tr>
        <w:trPr/>
        <w:tc>
          <w:tcPr>
            <w:tcW w:w="2946" w:type="dxa"/>
            <w:tcBorders>
              <w:bottom w:val="single" w:sz="12" w:space="0" w:color="000000"/>
            </w:tcBorders>
            <w:vAlign w:val="center"/>
          </w:tcPr>
          <w:p>
            <w:pPr>
              <w:pStyle w:val="TableContents"/>
              <w:bidi w:val="0"/>
              <w:spacing w:before="0" w:after="283"/>
              <w:ind w:left="0" w:right="0" w:hanging="180"/>
              <w:jc w:val="left"/>
              <w:rPr>
                <w:b/>
              </w:rPr>
            </w:pPr>
            <w:r>
              <w:rPr>
                <w:b/>
              </w:rPr>
              <w:t>LivePerson Consolidated </w:t>
              <w:br/>
              <w:t>Balance Sheet Line Items</w:t>
            </w:r>
          </w:p>
        </w:tc>
        <w:tc>
          <w:tcPr>
            <w:tcW w:w="60" w:type="dxa"/>
            <w:tcBorders/>
            <w:tcMar>
              <w:bottom w:w="0" w:type="dxa"/>
            </w:tcMar>
            <w:vAlign w:val="center"/>
          </w:tcPr>
          <w:p>
            <w:pPr>
              <w:pStyle w:val="TableContents"/>
              <w:bidi w:val="0"/>
              <w:spacing w:before="0" w:after="283"/>
              <w:jc w:val="left"/>
              <w:rPr/>
            </w:pPr>
            <w:r>
              <w:rPr/>
              <w:t> </w:t>
            </w:r>
          </w:p>
        </w:tc>
        <w:tc>
          <w:tcPr>
            <w:tcW w:w="2148" w:type="dxa"/>
            <w:tcBorders>
              <w:bottom w:val="single" w:sz="12" w:space="0" w:color="000000"/>
            </w:tcBorders>
            <w:vAlign w:val="center"/>
          </w:tcPr>
          <w:p>
            <w:pPr>
              <w:pStyle w:val="TableContents"/>
              <w:bidi w:val="0"/>
              <w:spacing w:before="0" w:after="283"/>
              <w:jc w:val="center"/>
              <w:rPr>
                <w:b/>
              </w:rPr>
            </w:pPr>
            <w:r>
              <w:rPr>
                <w:b/>
              </w:rPr>
              <w:t xml:space="preserve">SoundHound Consolidated </w:t>
              <w:br/>
              <w:t>Balance Sheet Line Items</w:t>
            </w:r>
          </w:p>
        </w:tc>
        <w:tc>
          <w:tcPr>
            <w:tcW w:w="60" w:type="dxa"/>
            <w:tcBorders/>
            <w:tcMar>
              <w:bottom w:w="0" w:type="dxa"/>
            </w:tcMar>
            <w:vAlign w:val="center"/>
          </w:tcPr>
          <w:p>
            <w:pPr>
              <w:pStyle w:val="TableContents"/>
              <w:bidi w:val="0"/>
              <w:spacing w:before="0" w:after="283"/>
              <w:jc w:val="left"/>
              <w:rPr/>
            </w:pPr>
            <w:r>
              <w:rPr/>
              <w:t> </w:t>
            </w:r>
          </w:p>
        </w:tc>
        <w:tc>
          <w:tcPr>
            <w:tcW w:w="1202"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2" w:type="dxa"/>
            <w:gridSpan w:val="2"/>
            <w:tcBorders>
              <w:bottom w:val="single" w:sz="12" w:space="0" w:color="000000"/>
            </w:tcBorders>
            <w:vAlign w:val="center"/>
          </w:tcPr>
          <w:p>
            <w:pPr>
              <w:pStyle w:val="TableContents"/>
              <w:bidi w:val="0"/>
              <w:spacing w:before="0" w:after="283"/>
              <w:jc w:val="center"/>
              <w:rPr>
                <w:b/>
              </w:rPr>
            </w:pPr>
            <w:r>
              <w:rPr>
                <w:b/>
              </w:rPr>
              <w:t xml:space="preserve">Reclassification </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6"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202"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 xml:space="preserve">Historical </w:t>
              <w:br/>
              <w:t>(Adjusted)</w:t>
            </w:r>
          </w:p>
        </w:tc>
        <w:tc>
          <w:tcPr>
            <w:tcW w:w="89" w:type="dxa"/>
            <w:tcBorders/>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Current assets: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Cash and cash equivalents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62" w:type="dxa"/>
            <w:tcBorders/>
            <w:shd w:fill="CCEEFF" w:val="clear"/>
            <w:tcMar>
              <w:bottom w:w="0" w:type="dxa"/>
            </w:tcMar>
            <w:vAlign w:val="center"/>
          </w:tcPr>
          <w:p>
            <w:pPr>
              <w:pStyle w:val="TableContents"/>
              <w:bidi w:val="0"/>
              <w:spacing w:before="0" w:after="283"/>
              <w:jc w:val="right"/>
              <w:rPr/>
            </w:pPr>
            <w:r>
              <w:rPr/>
              <w:t>101,499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w:t>
            </w:r>
          </w:p>
        </w:tc>
        <w:tc>
          <w:tcPr>
            <w:tcW w:w="139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62" w:type="dxa"/>
            <w:tcBorders/>
            <w:shd w:fill="CCEEFF" w:val="clear"/>
            <w:tcMar>
              <w:bottom w:w="0" w:type="dxa"/>
            </w:tcMar>
            <w:vAlign w:val="center"/>
          </w:tcPr>
          <w:p>
            <w:pPr>
              <w:pStyle w:val="TableContents"/>
              <w:bidi w:val="0"/>
              <w:spacing w:before="0" w:after="283"/>
              <w:jc w:val="right"/>
              <w:rPr/>
            </w:pPr>
            <w:r>
              <w:rPr/>
              <w:t>101,499</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Accounts receivable, net of allowances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Accounts receivable, net of allowances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29,029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(3,365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25,664</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Prepaid expenses and other current assets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Other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15,417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15,417</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Contract assets and unbilled receivable,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62"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FFFFFF" w:val="clear"/>
            <w:vAlign w:val="center"/>
          </w:tcPr>
          <w:p>
            <w:pPr>
              <w:pStyle w:val="TableContents"/>
              <w:bidi w:val="0"/>
              <w:spacing w:before="0" w:after="283"/>
              <w:jc w:val="left"/>
              <w:rPr/>
            </w:pPr>
            <w:r>
              <w:rPr/>
              <w:t> </w:t>
            </w:r>
          </w:p>
        </w:tc>
        <w:tc>
          <w:tcPr>
            <w:tcW w:w="1394" w:type="dxa"/>
            <w:tcBorders>
              <w:bottom w:val="single" w:sz="12" w:space="0" w:color="000000"/>
            </w:tcBorders>
            <w:shd w:fill="FFFFFF" w:val="clear"/>
            <w:vAlign w:val="center"/>
          </w:tcPr>
          <w:p>
            <w:pPr>
              <w:pStyle w:val="TableContents"/>
              <w:bidi w:val="0"/>
              <w:spacing w:before="0" w:after="283"/>
              <w:jc w:val="right"/>
              <w:rPr/>
            </w:pPr>
            <w:r>
              <w:rPr/>
              <w:t>3,365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62" w:type="dxa"/>
            <w:tcBorders>
              <w:bottom w:val="single" w:sz="12" w:space="0" w:color="000000"/>
            </w:tcBorders>
            <w:shd w:fill="FFFFFF" w:val="clear"/>
            <w:vAlign w:val="center"/>
          </w:tcPr>
          <w:p>
            <w:pPr>
              <w:pStyle w:val="TableContents"/>
              <w:bidi w:val="0"/>
              <w:spacing w:before="0" w:after="283"/>
              <w:jc w:val="right"/>
              <w:rPr/>
            </w:pPr>
            <w:r>
              <w:rPr/>
              <w:t>3,365</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b/>
              </w:rPr>
            </w:pPr>
            <w:r>
              <w:rPr>
                <w:b/>
              </w:rPr>
              <w:t>Total 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145,945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145,945</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Right-of-use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72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72</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Property and equipment, net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Property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87,858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(83,242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center"/>
              <w:rPr/>
            </w:pPr>
            <w:r>
              <w:rPr/>
              <w: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4,616</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184,540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184,540</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Intangible assets, net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Intangible assets,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13,502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13,502</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Deferred tax asset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Deferred tax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4,533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4,533</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Contract acquisition costs, net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Other non-current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20,856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20,856</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Other assets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Other non-current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62" w:type="dxa"/>
            <w:tcBorders>
              <w:bottom w:val="single" w:sz="12" w:space="0" w:color="000000"/>
            </w:tcBorders>
            <w:shd w:fill="FFFFFF" w:val="clear"/>
            <w:vAlign w:val="center"/>
          </w:tcPr>
          <w:p>
            <w:pPr>
              <w:pStyle w:val="TableContents"/>
              <w:bidi w:val="0"/>
              <w:spacing w:before="0" w:after="283"/>
              <w:jc w:val="right"/>
              <w:rPr/>
            </w:pPr>
            <w:r>
              <w:rPr/>
              <w:t>348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FFFFFF" w:val="clear"/>
            <w:vAlign w:val="center"/>
          </w:tcPr>
          <w:p>
            <w:pPr>
              <w:pStyle w:val="TableContents"/>
              <w:bidi w:val="0"/>
              <w:spacing w:before="0" w:after="283"/>
              <w:jc w:val="left"/>
              <w:rPr/>
            </w:pPr>
            <w:r>
              <w:rPr/>
              <w:t> </w:t>
            </w:r>
          </w:p>
        </w:tc>
        <w:tc>
          <w:tcPr>
            <w:tcW w:w="1394" w:type="dxa"/>
            <w:tcBorders>
              <w:bottom w:val="single" w:sz="12" w:space="0" w:color="000000"/>
            </w:tcBorders>
            <w:shd w:fill="FFFFFF" w:val="clear"/>
            <w:vAlign w:val="center"/>
          </w:tcPr>
          <w:p>
            <w:pPr>
              <w:pStyle w:val="TableContents"/>
              <w:bidi w:val="0"/>
              <w:spacing w:before="0" w:after="283"/>
              <w:jc w:val="right"/>
              <w:rPr/>
            </w:pPr>
            <w:r>
              <w:rPr/>
              <w:t>83,170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t>(a), (e)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062" w:type="dxa"/>
            <w:tcBorders>
              <w:bottom w:val="single" w:sz="12" w:space="0" w:color="000000"/>
            </w:tcBorders>
            <w:shd w:fill="FFFFFF" w:val="clear"/>
            <w:vAlign w:val="center"/>
          </w:tcPr>
          <w:p>
            <w:pPr>
              <w:pStyle w:val="TableContents"/>
              <w:bidi w:val="0"/>
              <w:spacing w:before="0" w:after="283"/>
              <w:jc w:val="right"/>
              <w:rPr/>
            </w:pPr>
            <w:r>
              <w:rPr/>
              <w:t>83,518</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b/>
              </w:rPr>
            </w:pPr>
            <w:r>
              <w:rPr>
                <w:b/>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062" w:type="dxa"/>
            <w:tcBorders>
              <w:bottom w:val="double" w:sz="10" w:space="0" w:color="000000"/>
            </w:tcBorders>
            <w:shd w:fill="CCEEFF" w:val="clear"/>
            <w:vAlign w:val="center"/>
          </w:tcPr>
          <w:p>
            <w:pPr>
              <w:pStyle w:val="TableContents"/>
              <w:bidi w:val="0"/>
              <w:spacing w:before="0" w:after="283"/>
              <w:jc w:val="right"/>
              <w:rPr/>
            </w:pPr>
            <w:r>
              <w:rPr/>
              <w:t>457,582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bottom w:val="double" w:sz="10" w:space="0" w:color="000000"/>
            </w:tcBorders>
            <w:shd w:fill="CCEEFF" w:val="clear"/>
            <w:vAlign w:val="center"/>
          </w:tcPr>
          <w:p>
            <w:pPr>
              <w:pStyle w:val="TableContents"/>
              <w:bidi w:val="0"/>
              <w:spacing w:before="0" w:after="283"/>
              <w:jc w:val="left"/>
              <w:rPr/>
            </w:pPr>
            <w:r>
              <w:rPr/>
              <w:t>$</w:t>
            </w:r>
          </w:p>
        </w:tc>
        <w:tc>
          <w:tcPr>
            <w:tcW w:w="1394" w:type="dxa"/>
            <w:tcBorders>
              <w:bottom w:val="double" w:sz="10"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062" w:type="dxa"/>
            <w:tcBorders>
              <w:bottom w:val="double" w:sz="10" w:space="0" w:color="000000"/>
            </w:tcBorders>
            <w:shd w:fill="CCEEFF" w:val="clear"/>
            <w:vAlign w:val="center"/>
          </w:tcPr>
          <w:p>
            <w:pPr>
              <w:pStyle w:val="TableContents"/>
              <w:bidi w:val="0"/>
              <w:spacing w:before="0" w:after="283"/>
              <w:jc w:val="right"/>
              <w:rPr/>
            </w:pPr>
            <w:r>
              <w:rPr/>
              <w:t>457,582</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b/>
              </w:rPr>
            </w:pPr>
            <w:r>
              <w:rPr>
                <w:b/>
              </w:rPr>
              <w:t>Current liabilities: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b/>
              </w:rPr>
            </w:pPr>
            <w:r>
              <w:rPr>
                <w:b/>
              </w:rPr>
              <w:t>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 </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Accounts payable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4,357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062" w:type="dxa"/>
            <w:tcBorders/>
            <w:shd w:fill="FFFFFF" w:val="clear"/>
            <w:tcMar>
              <w:bottom w:w="0" w:type="dxa"/>
            </w:tcMar>
            <w:vAlign w:val="center"/>
          </w:tcPr>
          <w:p>
            <w:pPr>
              <w:pStyle w:val="TableContents"/>
              <w:bidi w:val="0"/>
              <w:spacing w:before="0" w:after="283"/>
              <w:jc w:val="right"/>
              <w:rPr/>
            </w:pPr>
            <w:r>
              <w:rPr/>
              <w:t>4,357</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Accrued expenses and other current liabilities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48,105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(444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center"/>
              <w:rPr/>
            </w:pPr>
            <w:r>
              <w:rPr/>
              <w:t>(b),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47,661</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Operating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t>(c)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87</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Deferred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57,987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57,987</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Other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357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357</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Current portion of long-term debt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Other 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62" w:type="dxa"/>
            <w:tcBorders>
              <w:bottom w:val="single" w:sz="12" w:space="0" w:color="000000"/>
            </w:tcBorders>
            <w:shd w:fill="CCEEFF" w:val="clear"/>
            <w:vAlign w:val="center"/>
          </w:tcPr>
          <w:p>
            <w:pPr>
              <w:pStyle w:val="TableContents"/>
              <w:bidi w:val="0"/>
              <w:spacing w:before="0" w:after="283"/>
              <w:jc w:val="right"/>
              <w:rPr/>
            </w:pPr>
            <w:r>
              <w:rPr/>
              <w:t>20,071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CCEEFF" w:val="clear"/>
            <w:vAlign w:val="center"/>
          </w:tcPr>
          <w:p>
            <w:pPr>
              <w:pStyle w:val="TableContents"/>
              <w:bidi w:val="0"/>
              <w:spacing w:before="0" w:after="283"/>
              <w:jc w:val="left"/>
              <w:rPr/>
            </w:pPr>
            <w:r>
              <w:rPr/>
              <w:t> </w:t>
            </w:r>
          </w:p>
        </w:tc>
        <w:tc>
          <w:tcPr>
            <w:tcW w:w="1394"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62" w:type="dxa"/>
            <w:tcBorders>
              <w:bottom w:val="single" w:sz="12" w:space="0" w:color="000000"/>
            </w:tcBorders>
            <w:shd w:fill="CCEEFF" w:val="clear"/>
            <w:vAlign w:val="center"/>
          </w:tcPr>
          <w:p>
            <w:pPr>
              <w:pStyle w:val="TableContents"/>
              <w:bidi w:val="0"/>
              <w:spacing w:before="0" w:after="283"/>
              <w:jc w:val="right"/>
              <w:rPr/>
            </w:pPr>
            <w:r>
              <w:rPr/>
              <w:t>20,071</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b/>
              </w:rPr>
            </w:pPr>
            <w:r>
              <w:rPr>
                <w:b/>
              </w:rPr>
              <w:t>Total current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130,520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130,520</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Senior notes, net of current portion</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Long-term debt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373,723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373,723</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Deferred tax liability</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Deferred tax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4,199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4,199</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Other liabilities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Other non-current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62" w:type="dxa"/>
            <w:tcBorders>
              <w:bottom w:val="single" w:sz="12" w:space="0" w:color="000000"/>
            </w:tcBorders>
            <w:shd w:fill="CCEEFF" w:val="clear"/>
            <w:vAlign w:val="center"/>
          </w:tcPr>
          <w:p>
            <w:pPr>
              <w:pStyle w:val="TableContents"/>
              <w:bidi w:val="0"/>
              <w:spacing w:before="0" w:after="283"/>
              <w:jc w:val="right"/>
              <w:rPr/>
            </w:pPr>
            <w:r>
              <w:rPr/>
              <w:t>636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CCEEFF" w:val="clear"/>
            <w:vAlign w:val="center"/>
          </w:tcPr>
          <w:p>
            <w:pPr>
              <w:pStyle w:val="TableContents"/>
              <w:bidi w:val="0"/>
              <w:spacing w:before="0" w:after="283"/>
              <w:jc w:val="left"/>
              <w:rPr/>
            </w:pPr>
            <w:r>
              <w:rPr/>
              <w:t> </w:t>
            </w:r>
          </w:p>
        </w:tc>
        <w:tc>
          <w:tcPr>
            <w:tcW w:w="1394"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62" w:type="dxa"/>
            <w:tcBorders>
              <w:bottom w:val="single" w:sz="12" w:space="0" w:color="000000"/>
            </w:tcBorders>
            <w:shd w:fill="CCEEFF" w:val="clear"/>
            <w:vAlign w:val="center"/>
          </w:tcPr>
          <w:p>
            <w:pPr>
              <w:pStyle w:val="TableContents"/>
              <w:bidi w:val="0"/>
              <w:spacing w:before="0" w:after="283"/>
              <w:jc w:val="right"/>
              <w:rPr/>
            </w:pPr>
            <w:r>
              <w:rPr/>
              <w:t>636</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b/>
              </w:rPr>
            </w:pPr>
            <w:r>
              <w:rPr>
                <w:b/>
              </w:rPr>
              <w:t>Total liabilities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b/>
              </w:rPr>
            </w:pPr>
            <w:r>
              <w:rPr>
                <w:b/>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1062" w:type="dxa"/>
            <w:tcBorders>
              <w:bottom w:val="single" w:sz="12" w:space="0" w:color="000000"/>
            </w:tcBorders>
            <w:shd w:fill="FFFFFF" w:val="clear"/>
            <w:vAlign w:val="center"/>
          </w:tcPr>
          <w:p>
            <w:pPr>
              <w:pStyle w:val="TableContents"/>
              <w:bidi w:val="0"/>
              <w:spacing w:before="0" w:after="283"/>
              <w:jc w:val="right"/>
              <w:rPr/>
            </w:pPr>
            <w:r>
              <w:rPr/>
              <w:t>509,078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FFFFFF" w:val="clear"/>
            <w:vAlign w:val="center"/>
          </w:tcPr>
          <w:p>
            <w:pPr>
              <w:pStyle w:val="TableContents"/>
              <w:bidi w:val="0"/>
              <w:spacing w:before="0" w:after="283"/>
              <w:jc w:val="left"/>
              <w:rPr/>
            </w:pPr>
            <w:r>
              <w:rPr/>
              <w:t>$</w:t>
            </w:r>
          </w:p>
        </w:tc>
        <w:tc>
          <w:tcPr>
            <w:tcW w:w="1394"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1062" w:type="dxa"/>
            <w:tcBorders>
              <w:bottom w:val="single" w:sz="12" w:space="0" w:color="000000"/>
            </w:tcBorders>
            <w:shd w:fill="FFFFFF" w:val="clear"/>
            <w:vAlign w:val="center"/>
          </w:tcPr>
          <w:p>
            <w:pPr>
              <w:pStyle w:val="TableContents"/>
              <w:bidi w:val="0"/>
              <w:spacing w:before="0" w:after="283"/>
              <w:jc w:val="right"/>
              <w:rPr/>
            </w:pPr>
            <w:r>
              <w:rPr/>
              <w:t>509,078</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 </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Stockholders’ equity (deficit)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Stockholders’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 </w:t>
            </w:r>
          </w:p>
        </w:tc>
        <w:tc>
          <w:tcPr>
            <w:tcW w:w="89"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CCEEFF" w:val="clear"/>
            <w:tcMar>
              <w:bottom w:w="0" w:type="dxa"/>
            </w:tcMar>
            <w:vAlign w:val="center"/>
          </w:tcPr>
          <w:p>
            <w:pPr>
              <w:pStyle w:val="TableContents"/>
              <w:bidi w:val="0"/>
              <w:spacing w:before="0" w:after="283"/>
              <w:jc w:val="left"/>
              <w:rPr/>
            </w:pPr>
            <w:r>
              <w:rPr/>
              <w:t>Common stock</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173</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Treasury stock</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Treasury stock, at cost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(3</w:t>
            </w:r>
          </w:p>
        </w:tc>
        <w:tc>
          <w:tcPr>
            <w:tcW w:w="89"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946"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Additional paid-in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1,023,338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shd w:fill="CCEEFF" w:val="clear"/>
            <w:tcMar>
              <w:bottom w:w="0" w:type="dxa"/>
            </w:tcMar>
            <w:vAlign w:val="center"/>
          </w:tcPr>
          <w:p>
            <w:pPr>
              <w:pStyle w:val="TableContents"/>
              <w:bidi w:val="0"/>
              <w:spacing w:before="0" w:after="283"/>
              <w:jc w:val="left"/>
              <w:rPr/>
            </w:pPr>
            <w:r>
              <w:rPr/>
              <w:t> </w:t>
            </w:r>
          </w:p>
        </w:tc>
        <w:tc>
          <w:tcPr>
            <w:tcW w:w="139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62" w:type="dxa"/>
            <w:tcBorders/>
            <w:shd w:fill="CCEEFF" w:val="clear"/>
            <w:tcMar>
              <w:bottom w:w="0" w:type="dxa"/>
            </w:tcMar>
            <w:vAlign w:val="center"/>
          </w:tcPr>
          <w:p>
            <w:pPr>
              <w:pStyle w:val="TableContents"/>
              <w:bidi w:val="0"/>
              <w:spacing w:before="0" w:after="283"/>
              <w:jc w:val="right"/>
              <w:rPr/>
            </w:pPr>
            <w:r>
              <w:rPr/>
              <w:t>1,023,338</w:t>
            </w:r>
          </w:p>
        </w:tc>
        <w:tc>
          <w:tcPr>
            <w:tcW w:w="89"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2946" w:type="dxa"/>
            <w:tcBorders/>
            <w:shd w:fill="FFFFFF" w:val="clear"/>
            <w:tcMar>
              <w:bottom w:w="0" w:type="dxa"/>
            </w:tcMar>
            <w:vAlign w:val="center"/>
          </w:tcPr>
          <w:p>
            <w:pPr>
              <w:pStyle w:val="TableContents"/>
              <w:bidi w:val="0"/>
              <w:spacing w:before="0" w:after="283"/>
              <w:jc w:val="left"/>
              <w:rPr/>
            </w:pPr>
            <w:r>
              <w:rPr/>
              <w:t>Accumulated deficit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pPr>
            <w:r>
              <w:rPr/>
              <w:t>Accumulated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(1,067,321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shd w:fill="FFFFFF" w:val="clear"/>
            <w:tcMar>
              <w:bottom w:w="0" w:type="dxa"/>
            </w:tcMar>
            <w:vAlign w:val="center"/>
          </w:tcPr>
          <w:p>
            <w:pPr>
              <w:pStyle w:val="TableContents"/>
              <w:bidi w:val="0"/>
              <w:spacing w:before="0" w:after="283"/>
              <w:jc w:val="left"/>
              <w:rPr/>
            </w:pPr>
            <w:r>
              <w:rPr/>
              <w:t> </w:t>
            </w:r>
          </w:p>
        </w:tc>
        <w:tc>
          <w:tcPr>
            <w:tcW w:w="13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62" w:type="dxa"/>
            <w:tcBorders/>
            <w:shd w:fill="FFFFFF" w:val="clear"/>
            <w:tcMar>
              <w:bottom w:w="0" w:type="dxa"/>
            </w:tcMar>
            <w:vAlign w:val="center"/>
          </w:tcPr>
          <w:p>
            <w:pPr>
              <w:pStyle w:val="TableContents"/>
              <w:bidi w:val="0"/>
              <w:spacing w:before="0" w:after="283"/>
              <w:jc w:val="right"/>
              <w:rPr/>
            </w:pPr>
            <w:r>
              <w:rPr/>
              <w:t>(1,067,321</w:t>
            </w:r>
          </w:p>
        </w:tc>
        <w:tc>
          <w:tcPr>
            <w:tcW w:w="89"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946" w:type="dxa"/>
            <w:tcBorders/>
            <w:shd w:fill="CCEEFF" w:val="clear"/>
            <w:tcMar>
              <w:bottom w:w="0" w:type="dxa"/>
            </w:tcMar>
            <w:vAlign w:val="center"/>
          </w:tcPr>
          <w:p>
            <w:pPr>
              <w:pStyle w:val="TableContents"/>
              <w:bidi w:val="0"/>
              <w:spacing w:before="0" w:after="283"/>
              <w:jc w:val="left"/>
              <w:rPr/>
            </w:pPr>
            <w:r>
              <w:rPr/>
              <w:t>Accumulated other comprehensive income (loss)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pPr>
            <w:r>
              <w:rPr/>
              <w:t>Accumulated other comprehensive income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62" w:type="dxa"/>
            <w:tcBorders>
              <w:bottom w:val="single" w:sz="12" w:space="0" w:color="000000"/>
            </w:tcBorders>
            <w:shd w:fill="CCEEFF" w:val="clear"/>
            <w:vAlign w:val="center"/>
          </w:tcPr>
          <w:p>
            <w:pPr>
              <w:pStyle w:val="TableContents"/>
              <w:bidi w:val="0"/>
              <w:spacing w:before="0" w:after="283"/>
              <w:jc w:val="right"/>
              <w:rPr/>
            </w:pPr>
            <w:r>
              <w:rPr/>
              <w:t>(7,683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CCEEFF" w:val="clear"/>
            <w:vAlign w:val="center"/>
          </w:tcPr>
          <w:p>
            <w:pPr>
              <w:pStyle w:val="TableContents"/>
              <w:bidi w:val="0"/>
              <w:spacing w:before="0" w:after="283"/>
              <w:jc w:val="left"/>
              <w:rPr/>
            </w:pPr>
            <w:r>
              <w:rPr/>
              <w:t> </w:t>
            </w:r>
          </w:p>
        </w:tc>
        <w:tc>
          <w:tcPr>
            <w:tcW w:w="1394"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 </w:t>
            </w:r>
          </w:p>
        </w:tc>
        <w:tc>
          <w:tcPr>
            <w:tcW w:w="1062" w:type="dxa"/>
            <w:tcBorders>
              <w:bottom w:val="single" w:sz="12" w:space="0" w:color="000000"/>
            </w:tcBorders>
            <w:shd w:fill="CCEEFF" w:val="clear"/>
            <w:vAlign w:val="center"/>
          </w:tcPr>
          <w:p>
            <w:pPr>
              <w:pStyle w:val="TableContents"/>
              <w:bidi w:val="0"/>
              <w:spacing w:before="0" w:after="283"/>
              <w:jc w:val="right"/>
              <w:rPr/>
            </w:pPr>
            <w:r>
              <w:rPr/>
              <w:t>(7,683</w:t>
            </w:r>
          </w:p>
        </w:tc>
        <w:tc>
          <w:tcPr>
            <w:tcW w:w="89"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2946" w:type="dxa"/>
            <w:tcBorders/>
            <w:shd w:fill="FFFFFF" w:val="clear"/>
            <w:tcMar>
              <w:bottom w:w="0" w:type="dxa"/>
            </w:tcMar>
            <w:vAlign w:val="center"/>
          </w:tcPr>
          <w:p>
            <w:pPr>
              <w:pStyle w:val="TableContents"/>
              <w:bidi w:val="0"/>
              <w:spacing w:before="0" w:after="283"/>
              <w:jc w:val="left"/>
              <w:rPr>
                <w:b/>
              </w:rPr>
            </w:pPr>
            <w:r>
              <w:rPr>
                <w:b/>
              </w:rPr>
              <w:t>Total stockholders’ equity</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2148" w:type="dxa"/>
            <w:tcBorders/>
            <w:shd w:fill="FFFFFF" w:val="clear"/>
            <w:tcMar>
              <w:bottom w:w="0" w:type="dxa"/>
            </w:tcMar>
            <w:vAlign w:val="center"/>
          </w:tcPr>
          <w:p>
            <w:pPr>
              <w:pStyle w:val="TableContents"/>
              <w:bidi w:val="0"/>
              <w:spacing w:before="0" w:after="283"/>
              <w:jc w:val="left"/>
              <w:rPr>
                <w:b/>
              </w:rPr>
            </w:pPr>
            <w:r>
              <w:rPr>
                <w:b/>
              </w:rPr>
              <w:t>Total stockholders’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1062" w:type="dxa"/>
            <w:tcBorders>
              <w:bottom w:val="single" w:sz="12" w:space="0" w:color="000000"/>
            </w:tcBorders>
            <w:shd w:fill="FFFFFF" w:val="clear"/>
            <w:vAlign w:val="center"/>
          </w:tcPr>
          <w:p>
            <w:pPr>
              <w:pStyle w:val="TableContents"/>
              <w:bidi w:val="0"/>
              <w:spacing w:before="0" w:after="283"/>
              <w:jc w:val="right"/>
              <w:rPr/>
            </w:pPr>
            <w:r>
              <w:rPr/>
              <w:t>(51,496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8" w:type="dxa"/>
            <w:tcBorders>
              <w:bottom w:val="single" w:sz="12" w:space="0" w:color="000000"/>
            </w:tcBorders>
            <w:shd w:fill="FFFFFF" w:val="clear"/>
            <w:vAlign w:val="center"/>
          </w:tcPr>
          <w:p>
            <w:pPr>
              <w:pStyle w:val="TableContents"/>
              <w:bidi w:val="0"/>
              <w:spacing w:before="0" w:after="283"/>
              <w:jc w:val="left"/>
              <w:rPr/>
            </w:pPr>
            <w:r>
              <w:rPr/>
              <w:t>$</w:t>
            </w:r>
          </w:p>
        </w:tc>
        <w:tc>
          <w:tcPr>
            <w:tcW w:w="139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w:t>
            </w:r>
          </w:p>
        </w:tc>
        <w:tc>
          <w:tcPr>
            <w:tcW w:w="1062" w:type="dxa"/>
            <w:tcBorders>
              <w:bottom w:val="single" w:sz="12" w:space="0" w:color="000000"/>
            </w:tcBorders>
            <w:shd w:fill="FFFFFF" w:val="clear"/>
            <w:vAlign w:val="center"/>
          </w:tcPr>
          <w:p>
            <w:pPr>
              <w:pStyle w:val="TableContents"/>
              <w:bidi w:val="0"/>
              <w:spacing w:before="0" w:after="283"/>
              <w:jc w:val="right"/>
              <w:rPr/>
            </w:pPr>
            <w:r>
              <w:rPr/>
              <w:t>(51,496</w:t>
            </w:r>
          </w:p>
        </w:tc>
        <w:tc>
          <w:tcPr>
            <w:tcW w:w="89"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2946" w:type="dxa"/>
            <w:tcBorders/>
            <w:shd w:fill="CCEEFF" w:val="clear"/>
            <w:tcMar>
              <w:bottom w:w="0" w:type="dxa"/>
            </w:tcMar>
            <w:vAlign w:val="center"/>
          </w:tcPr>
          <w:p>
            <w:pPr>
              <w:pStyle w:val="TableContents"/>
              <w:bidi w:val="0"/>
              <w:spacing w:before="0" w:after="283"/>
              <w:jc w:val="left"/>
              <w:rPr>
                <w:b/>
              </w:rPr>
            </w:pPr>
            <w:r>
              <w:rPr>
                <w:b/>
              </w:rPr>
              <w:t>Total liabilities and stockholders’ equity</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2148" w:type="dxa"/>
            <w:tcBorders/>
            <w:shd w:fill="CCEEFF" w:val="clear"/>
            <w:tcMar>
              <w:bottom w:w="0" w:type="dxa"/>
            </w:tcMar>
            <w:vAlign w:val="center"/>
          </w:tcPr>
          <w:p>
            <w:pPr>
              <w:pStyle w:val="TableContents"/>
              <w:bidi w:val="0"/>
              <w:spacing w:before="0" w:after="283"/>
              <w:jc w:val="left"/>
              <w:rPr>
                <w:b/>
              </w:rPr>
            </w:pPr>
            <w:r>
              <w:rPr>
                <w:b/>
              </w:rPr>
              <w:t>Total liabilities and stockholders’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062" w:type="dxa"/>
            <w:tcBorders>
              <w:bottom w:val="double" w:sz="10" w:space="0" w:color="000000"/>
            </w:tcBorders>
            <w:shd w:fill="CCEEFF" w:val="clear"/>
            <w:vAlign w:val="center"/>
          </w:tcPr>
          <w:p>
            <w:pPr>
              <w:pStyle w:val="TableContents"/>
              <w:bidi w:val="0"/>
              <w:spacing w:before="0" w:after="283"/>
              <w:jc w:val="right"/>
              <w:rPr/>
            </w:pPr>
            <w:r>
              <w:rPr/>
              <w:t>457,582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8" w:type="dxa"/>
            <w:tcBorders>
              <w:bottom w:val="double" w:sz="10" w:space="0" w:color="000000"/>
            </w:tcBorders>
            <w:shd w:fill="CCEEFF" w:val="clear"/>
            <w:vAlign w:val="center"/>
          </w:tcPr>
          <w:p>
            <w:pPr>
              <w:pStyle w:val="TableContents"/>
              <w:bidi w:val="0"/>
              <w:spacing w:before="0" w:after="283"/>
              <w:jc w:val="left"/>
              <w:rPr/>
            </w:pPr>
            <w:r>
              <w:rPr/>
              <w:t>$</w:t>
            </w:r>
          </w:p>
        </w:tc>
        <w:tc>
          <w:tcPr>
            <w:tcW w:w="1394" w:type="dxa"/>
            <w:tcBorders>
              <w:bottom w:val="double" w:sz="10"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pPr>
            <w:r>
              <w:rPr/>
              <w:t>$</w:t>
            </w:r>
          </w:p>
        </w:tc>
        <w:tc>
          <w:tcPr>
            <w:tcW w:w="1062" w:type="dxa"/>
            <w:tcBorders>
              <w:bottom w:val="double" w:sz="10" w:space="0" w:color="000000"/>
            </w:tcBorders>
            <w:shd w:fill="CCEEFF" w:val="clear"/>
            <w:vAlign w:val="center"/>
          </w:tcPr>
          <w:p>
            <w:pPr>
              <w:pStyle w:val="TableContents"/>
              <w:bidi w:val="0"/>
              <w:spacing w:before="0" w:after="283"/>
              <w:jc w:val="right"/>
              <w:rPr/>
            </w:pPr>
            <w:r>
              <w:rPr/>
              <w:t>457,582</w:t>
            </w:r>
          </w:p>
        </w:tc>
        <w:tc>
          <w:tcPr>
            <w:tcW w:w="8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(a)</w:t>
            </w:r>
          </w:p>
        </w:tc>
        <w:tc>
          <w:tcPr>
            <w:tcW w:w="9941" w:type="dxa"/>
            <w:tcBorders/>
            <w:vAlign w:val="center"/>
          </w:tcPr>
          <w:p>
            <w:pPr>
              <w:pStyle w:val="TableContents"/>
              <w:bidi w:val="0"/>
              <w:spacing w:before="0" w:after="283"/>
              <w:jc w:val="both"/>
              <w:rPr/>
            </w:pPr>
            <w:r>
              <w:rPr/>
              <w:t>Reclassification of LivePerson’s historical right-of-use assets of $0.1 million from other assets to right-of-use assets within SoundHound’s balance sheet.</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(b)</w:t>
            </w:r>
          </w:p>
        </w:tc>
        <w:tc>
          <w:tcPr>
            <w:tcW w:w="9938" w:type="dxa"/>
            <w:tcBorders/>
            <w:vAlign w:val="center"/>
          </w:tcPr>
          <w:p>
            <w:pPr>
              <w:pStyle w:val="TableContents"/>
              <w:bidi w:val="0"/>
              <w:spacing w:before="0" w:after="283"/>
              <w:jc w:val="both"/>
              <w:rPr/>
            </w:pPr>
            <w:r>
              <w:rPr/>
              <w:t>Reclassification of LivePerson’s historical other current liabilities of $0.4 million from accrued expenses and other current liabilities to other current liabilities within SoundHound’s balance sheet.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Reclassification of LivePerson’s historical lease liabilities of $0.1 million from accrued expenses and other current liabilities to operating lease liabilities within SoundHound’s balance sheet.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(d)</w:t>
            </w:r>
          </w:p>
        </w:tc>
        <w:tc>
          <w:tcPr>
            <w:tcW w:w="9940" w:type="dxa"/>
            <w:tcBorders/>
            <w:vAlign w:val="center"/>
          </w:tcPr>
          <w:p>
            <w:pPr>
              <w:pStyle w:val="TableContents"/>
              <w:bidi w:val="0"/>
              <w:spacing w:before="0" w:after="283"/>
              <w:jc w:val="both"/>
              <w:rPr/>
            </w:pPr>
            <w:r>
              <w:rPr/>
              <w:t>Reclassification of LivePerson’s historical unbilled receivables of $3.4 million from accounts receivable, net of allowances to contract assets and unbilled receivable, net within SoundHound’s balance sheet.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(e)</w:t>
            </w:r>
          </w:p>
        </w:tc>
        <w:tc>
          <w:tcPr>
            <w:tcW w:w="9953" w:type="dxa"/>
            <w:tcBorders/>
            <w:vAlign w:val="center"/>
          </w:tcPr>
          <w:p>
            <w:pPr>
              <w:pStyle w:val="TableContents"/>
              <w:bidi w:val="0"/>
              <w:spacing w:before="0" w:after="283"/>
              <w:jc w:val="both"/>
              <w:rPr/>
            </w:pPr>
            <w:r>
              <w:rPr/>
              <w:t>Reclassification of LivePerson’s historical internal-use software development costs of $83.2 million from property and equipment to other non-current assets within SoundHound’s balance sheet.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a summary of identified reclassification adjustments made to present LivePerson’s consolidated statement of operations for the year ended December 31, 2025, to conform presentation to that of SoundHound (in thousands):</w:t>
      </w:r>
    </w:p>
    <w:p>
      <w:pPr>
        <w:pStyle w:val="TextBody"/>
        <w:bidi w:val="0"/>
        <w:spacing w:before="0" w:after="0"/>
        <w:jc w:val="left"/>
        <w:rPr>
          <w:caps w:val="false"/>
          <w:smallCaps w:val="false"/>
        </w:rPr>
      </w:pPr>
      <w:r>
        <w:rPr>
          <w:caps w:val="false"/>
          <w:smallCaps w:val="false"/>
        </w:rPr>
        <w:t> </w:t>
      </w:r>
    </w:p>
    <w:tbl>
      <w:tblPr>
        <w:tblW w:w="12390" w:type="dxa"/>
        <w:jc w:val="left"/>
        <w:tblInd w:w="0" w:type="dxa"/>
        <w:tblLayout w:type="fixed"/>
        <w:tblCellMar>
          <w:top w:w="0" w:type="dxa"/>
          <w:left w:w="0" w:type="dxa"/>
          <w:bottom w:w="28" w:type="dxa"/>
          <w:right w:w="0" w:type="dxa"/>
        </w:tblCellMar>
      </w:tblPr>
      <w:tblGrid>
        <w:gridCol w:w="3740"/>
        <w:gridCol w:w="60"/>
        <w:gridCol w:w="3620"/>
        <w:gridCol w:w="60"/>
        <w:gridCol w:w="175"/>
        <w:gridCol w:w="1000"/>
        <w:gridCol w:w="95"/>
        <w:gridCol w:w="60"/>
        <w:gridCol w:w="116"/>
        <w:gridCol w:w="1464"/>
        <w:gridCol w:w="95"/>
        <w:gridCol w:w="60"/>
        <w:gridCol w:w="500"/>
        <w:gridCol w:w="60"/>
        <w:gridCol w:w="175"/>
        <w:gridCol w:w="1000"/>
        <w:gridCol w:w="110"/>
      </w:tblGrid>
      <w:tr>
        <w:trPr/>
        <w:tc>
          <w:tcPr>
            <w:tcW w:w="3740" w:type="dxa"/>
            <w:tcBorders>
              <w:bottom w:val="single" w:sz="12" w:space="0" w:color="000000"/>
            </w:tcBorders>
            <w:vAlign w:val="center"/>
          </w:tcPr>
          <w:p>
            <w:pPr>
              <w:pStyle w:val="TableContents"/>
              <w:bidi w:val="0"/>
              <w:spacing w:before="0" w:after="283"/>
              <w:ind w:left="0" w:right="0" w:hanging="180"/>
              <w:jc w:val="left"/>
              <w:rPr>
                <w:b/>
              </w:rPr>
            </w:pPr>
            <w:r>
              <w:rPr>
                <w:b/>
              </w:rPr>
              <w:t>LivePerson Consolidated Statement of Operations Line Items</w:t>
            </w:r>
          </w:p>
        </w:tc>
        <w:tc>
          <w:tcPr>
            <w:tcW w:w="60" w:type="dxa"/>
            <w:tcBorders/>
            <w:tcMar>
              <w:bottom w:w="0" w:type="dxa"/>
            </w:tcMar>
            <w:vAlign w:val="center"/>
          </w:tcPr>
          <w:p>
            <w:pPr>
              <w:pStyle w:val="TableContents"/>
              <w:bidi w:val="0"/>
              <w:spacing w:before="0" w:after="283"/>
              <w:jc w:val="left"/>
              <w:rPr/>
            </w:pPr>
            <w:r>
              <w:rPr/>
              <w:t> </w:t>
            </w:r>
          </w:p>
        </w:tc>
        <w:tc>
          <w:tcPr>
            <w:tcW w:w="3620" w:type="dxa"/>
            <w:tcBorders>
              <w:bottom w:val="single" w:sz="12" w:space="0" w:color="000000"/>
            </w:tcBorders>
            <w:vAlign w:val="center"/>
          </w:tcPr>
          <w:p>
            <w:pPr>
              <w:pStyle w:val="TableContents"/>
              <w:bidi w:val="0"/>
              <w:spacing w:before="0" w:after="283"/>
              <w:jc w:val="center"/>
              <w:rPr>
                <w:b/>
              </w:rPr>
            </w:pPr>
            <w:r>
              <w:rPr>
                <w:b/>
              </w:rPr>
              <w:t xml:space="preserve">SoundHound Consolidated </w:t>
              <w:br/>
              <w:t>Statement of Operations Line Items</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12" w:space="0" w:color="000000"/>
            </w:tcBorders>
            <w:vAlign w:val="center"/>
          </w:tcPr>
          <w:p>
            <w:pPr>
              <w:pStyle w:val="TableContents"/>
              <w:bidi w:val="0"/>
              <w:spacing w:before="0" w:after="283"/>
              <w:jc w:val="center"/>
              <w:rPr>
                <w:b/>
              </w:rPr>
            </w:pPr>
            <w:r>
              <w:rPr>
                <w:b/>
              </w:rPr>
              <w:t xml:space="preserve">Reclassification </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 xml:space="preserve">Historical </w:t>
              <w:br/>
              <w:t>(Adjusted)</w:t>
            </w:r>
          </w:p>
        </w:tc>
        <w:tc>
          <w:tcPr>
            <w:tcW w:w="110" w:type="dxa"/>
            <w:tcBorders/>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243,742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64"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00" w:type="dxa"/>
            <w:tcBorders/>
            <w:shd w:fill="CCEEFF" w:val="clear"/>
            <w:tcMar>
              <w:bottom w:w="0" w:type="dxa"/>
            </w:tcMar>
            <w:vAlign w:val="center"/>
          </w:tcPr>
          <w:p>
            <w:pPr>
              <w:pStyle w:val="TableContents"/>
              <w:bidi w:val="0"/>
              <w:spacing w:before="0" w:after="283"/>
              <w:jc w:val="right"/>
              <w:rPr/>
            </w:pPr>
            <w:r>
              <w:rPr/>
              <w:t>243,742</w:t>
            </w:r>
          </w:p>
        </w:tc>
        <w:tc>
          <w:tcPr>
            <w:tcW w:w="110"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Costs, expenses and other:</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Cost of revenue (exclusive of depreciation and amortization shown separately below)</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69,392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64" w:type="dxa"/>
            <w:tcBorders/>
            <w:shd w:fill="CCEEFF" w:val="clear"/>
            <w:tcMar>
              <w:bottom w:w="0" w:type="dxa"/>
            </w:tcMar>
            <w:vAlign w:val="center"/>
          </w:tcPr>
          <w:p>
            <w:pPr>
              <w:pStyle w:val="TableContents"/>
              <w:bidi w:val="0"/>
              <w:spacing w:before="0" w:after="283"/>
              <w:jc w:val="right"/>
              <w:rPr/>
            </w:pPr>
            <w:r>
              <w:rPr/>
              <w:t>5,426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74,818</w:t>
            </w:r>
          </w:p>
        </w:tc>
        <w:tc>
          <w:tcPr>
            <w:tcW w:w="110"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75,800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2,423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78,223</w:t>
            </w:r>
          </w:p>
        </w:tc>
        <w:tc>
          <w:tcPr>
            <w:tcW w:w="110" w:type="dxa"/>
            <w:tcBorders/>
            <w:shd w:fill="FFFF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Product development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54,706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64" w:type="dxa"/>
            <w:tcBorders/>
            <w:shd w:fill="CCEEFF" w:val="clear"/>
            <w:tcMar>
              <w:bottom w:w="0" w:type="dxa"/>
            </w:tcMar>
            <w:vAlign w:val="center"/>
          </w:tcPr>
          <w:p>
            <w:pPr>
              <w:pStyle w:val="TableContents"/>
              <w:bidi w:val="0"/>
              <w:spacing w:before="0" w:after="283"/>
              <w:jc w:val="right"/>
              <w:rPr/>
            </w:pPr>
            <w:r>
              <w:rPr/>
              <w:t>13,939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68,645</w:t>
            </w:r>
          </w:p>
        </w:tc>
        <w:tc>
          <w:tcPr>
            <w:tcW w:w="110"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44,441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235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44,676</w:t>
            </w:r>
          </w:p>
        </w:tc>
        <w:tc>
          <w:tcPr>
            <w:tcW w:w="110" w:type="dxa"/>
            <w:tcBorders/>
            <w:shd w:fill="FFFF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Amortization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64" w:type="dxa"/>
            <w:tcBorders/>
            <w:shd w:fill="CCEEFF" w:val="clear"/>
            <w:tcMar>
              <w:bottom w:w="0" w:type="dxa"/>
            </w:tcMar>
            <w:vAlign w:val="center"/>
          </w:tcPr>
          <w:p>
            <w:pPr>
              <w:pStyle w:val="TableContents"/>
              <w:bidi w:val="0"/>
              <w:spacing w:before="0" w:after="283"/>
              <w:jc w:val="right"/>
              <w:rPr/>
            </w:pPr>
            <w:r>
              <w:rPr/>
              <w:t>709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709</w:t>
            </w:r>
          </w:p>
        </w:tc>
        <w:tc>
          <w:tcPr>
            <w:tcW w:w="110"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Restructuring costs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Restructuring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11,667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11,667</w:t>
            </w:r>
          </w:p>
        </w:tc>
        <w:tc>
          <w:tcPr>
            <w:tcW w:w="110" w:type="dxa"/>
            <w:tcBorders/>
            <w:shd w:fill="FFFF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22,732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464" w:type="dxa"/>
            <w:tcBorders/>
            <w:shd w:fill="CCEEFF" w:val="clear"/>
            <w:tcMar>
              <w:bottom w:w="0" w:type="dxa"/>
            </w:tcMar>
            <w:vAlign w:val="center"/>
          </w:tcPr>
          <w:p>
            <w:pPr>
              <w:pStyle w:val="TableContents"/>
              <w:bidi w:val="0"/>
              <w:spacing w:before="0" w:after="283"/>
              <w:jc w:val="right"/>
              <w:rPr/>
            </w:pPr>
            <w:r>
              <w:rPr/>
              <w:t>(22,732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shd w:fill="CCEEFF" w:val="clear"/>
            <w:tcMar>
              <w:bottom w:w="0" w:type="dxa"/>
            </w:tcMar>
            <w:vAlign w:val="center"/>
          </w:tcPr>
          <w:p>
            <w:pPr>
              <w:pStyle w:val="TableContents"/>
              <w:bidi w:val="0"/>
              <w:spacing w:before="0" w:after="283"/>
              <w:jc w:val="left"/>
              <w:rPr/>
            </w:pPr>
            <w:r>
              <w:rPr/>
              <w:t> </w:t>
            </w:r>
          </w:p>
        </w:tc>
        <w:tc>
          <w:tcPr>
            <w:tcW w:w="100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Impairment of goodwill</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Impairment of goodwill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41,595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46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shd w:fill="FFFFFF" w:val="clear"/>
            <w:tcMar>
              <w:bottom w:w="0" w:type="dxa"/>
            </w:tcMar>
            <w:vAlign w:val="center"/>
          </w:tcPr>
          <w:p>
            <w:pPr>
              <w:pStyle w:val="TableContents"/>
              <w:bidi w:val="0"/>
              <w:spacing w:before="0" w:after="283"/>
              <w:jc w:val="left"/>
              <w:rPr/>
            </w:pPr>
            <w:r>
              <w:rPr/>
              <w:t> </w:t>
            </w:r>
          </w:p>
        </w:tc>
        <w:tc>
          <w:tcPr>
            <w:tcW w:w="1000" w:type="dxa"/>
            <w:tcBorders/>
            <w:shd w:fill="FFFFFF" w:val="clear"/>
            <w:tcMar>
              <w:bottom w:w="0" w:type="dxa"/>
            </w:tcMar>
            <w:vAlign w:val="center"/>
          </w:tcPr>
          <w:p>
            <w:pPr>
              <w:pStyle w:val="TableContents"/>
              <w:bidi w:val="0"/>
              <w:spacing w:before="0" w:after="283"/>
              <w:jc w:val="right"/>
              <w:rPr/>
            </w:pPr>
            <w:r>
              <w:rPr/>
              <w:t>41,595</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Impairment of intangibles and other assets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Impairment of intangibles and other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CCEEFF" w:val="clear"/>
            <w:vAlign w:val="center"/>
          </w:tcPr>
          <w:p>
            <w:pPr>
              <w:pStyle w:val="TableContents"/>
              <w:bidi w:val="0"/>
              <w:spacing w:before="0" w:after="283"/>
              <w:jc w:val="left"/>
              <w:rPr/>
            </w:pPr>
            <w:r>
              <w:rPr/>
              <w:t> </w:t>
            </w:r>
          </w:p>
        </w:tc>
        <w:tc>
          <w:tcPr>
            <w:tcW w:w="1000" w:type="dxa"/>
            <w:tcBorders>
              <w:bottom w:val="single" w:sz="12" w:space="0" w:color="000000"/>
            </w:tcBorders>
            <w:shd w:fill="CCEEFF" w:val="clear"/>
            <w:vAlign w:val="center"/>
          </w:tcPr>
          <w:p>
            <w:pPr>
              <w:pStyle w:val="TableContents"/>
              <w:bidi w:val="0"/>
              <w:spacing w:before="0" w:after="283"/>
              <w:jc w:val="right"/>
              <w:rPr/>
            </w:pPr>
            <w:r>
              <w:rPr/>
              <w:t>2,108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464" w:type="dxa"/>
            <w:tcBorders>
              <w:bottom w:val="single" w:sz="12" w:space="0" w:color="000000"/>
            </w:tcBorders>
            <w:shd w:fill="CCEEFF" w:val="cle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CCEEFF" w:val="clear"/>
            <w:vAlign w:val="center"/>
          </w:tcPr>
          <w:p>
            <w:pPr>
              <w:pStyle w:val="TableContents"/>
              <w:bidi w:val="0"/>
              <w:spacing w:before="0" w:after="283"/>
              <w:jc w:val="left"/>
              <w:rPr/>
            </w:pPr>
            <w:r>
              <w:rPr/>
              <w:t> </w:t>
            </w:r>
          </w:p>
        </w:tc>
        <w:tc>
          <w:tcPr>
            <w:tcW w:w="1000" w:type="dxa"/>
            <w:tcBorders>
              <w:bottom w:val="single" w:sz="12" w:space="0" w:color="000000"/>
            </w:tcBorders>
            <w:shd w:fill="CCEEFF" w:val="clear"/>
            <w:vAlign w:val="center"/>
          </w:tcPr>
          <w:p>
            <w:pPr>
              <w:pStyle w:val="TableContents"/>
              <w:bidi w:val="0"/>
              <w:spacing w:before="0" w:after="283"/>
              <w:jc w:val="right"/>
              <w:rPr/>
            </w:pPr>
            <w:r>
              <w:rPr/>
              <w:t>2,108</w:t>
            </w:r>
          </w:p>
        </w:tc>
        <w:tc>
          <w:tcPr>
            <w:tcW w:w="110" w:type="dxa"/>
            <w:tcBorders/>
            <w:shd w:fill="CCEE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FFFFFF" w:val="clear"/>
            <w:vAlign w:val="center"/>
          </w:tcPr>
          <w:p>
            <w:pPr>
              <w:pStyle w:val="TableContents"/>
              <w:bidi w:val="0"/>
              <w:spacing w:before="0" w:after="283"/>
              <w:jc w:val="left"/>
              <w:rPr/>
            </w:pPr>
            <w:r>
              <w:rPr/>
              <w:t> </w:t>
            </w:r>
          </w:p>
        </w:tc>
        <w:tc>
          <w:tcPr>
            <w:tcW w:w="1000" w:type="dxa"/>
            <w:tcBorders>
              <w:bottom w:val="single" w:sz="12" w:space="0" w:color="000000"/>
            </w:tcBorders>
            <w:shd w:fill="FFFFFF" w:val="clear"/>
            <w:vAlign w:val="center"/>
          </w:tcPr>
          <w:p>
            <w:pPr>
              <w:pStyle w:val="TableContents"/>
              <w:bidi w:val="0"/>
              <w:spacing w:before="0" w:after="283"/>
              <w:jc w:val="right"/>
              <w:rPr/>
            </w:pPr>
            <w:r>
              <w:rPr/>
              <w:t>322,441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FFFFFF" w:val="clear"/>
            <w:vAlign w:val="center"/>
          </w:tcPr>
          <w:p>
            <w:pPr>
              <w:pStyle w:val="TableContents"/>
              <w:bidi w:val="0"/>
              <w:spacing w:before="0" w:after="283"/>
              <w:jc w:val="left"/>
              <w:rPr/>
            </w:pPr>
            <w:r>
              <w:rPr/>
              <w:t> </w:t>
            </w:r>
          </w:p>
        </w:tc>
        <w:tc>
          <w:tcPr>
            <w:tcW w:w="1464"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FFFFFF" w:val="clear"/>
            <w:vAlign w:val="center"/>
          </w:tcPr>
          <w:p>
            <w:pPr>
              <w:pStyle w:val="TableContents"/>
              <w:bidi w:val="0"/>
              <w:spacing w:before="0" w:after="283"/>
              <w:jc w:val="left"/>
              <w:rPr/>
            </w:pPr>
            <w:r>
              <w:rPr/>
              <w:t> </w:t>
            </w:r>
          </w:p>
        </w:tc>
        <w:tc>
          <w:tcPr>
            <w:tcW w:w="1000" w:type="dxa"/>
            <w:tcBorders>
              <w:bottom w:val="single" w:sz="12" w:space="0" w:color="000000"/>
            </w:tcBorders>
            <w:shd w:fill="FFFFFF" w:val="clear"/>
            <w:vAlign w:val="center"/>
          </w:tcPr>
          <w:p>
            <w:pPr>
              <w:pStyle w:val="TableContents"/>
              <w:bidi w:val="0"/>
              <w:spacing w:before="0" w:after="283"/>
              <w:jc w:val="right"/>
              <w:rPr/>
            </w:pPr>
            <w:r>
              <w:rPr/>
              <w:t>322,441</w:t>
            </w:r>
          </w:p>
        </w:tc>
        <w:tc>
          <w:tcPr>
            <w:tcW w:w="110" w:type="dxa"/>
            <w:tcBorders/>
            <w:shd w:fill="FFFFFF" w:val="clear"/>
            <w:tcMar>
              <w:bottom w:w="0" w:type="dxa"/>
            </w:tcMar>
            <w:vAlign w:val="center"/>
          </w:tcPr>
          <w:p>
            <w:pPr>
              <w:pStyle w:val="TableContents"/>
              <w:bidi w:val="0"/>
              <w:spacing w:before="0" w:after="283"/>
              <w:ind w:left="0" w:right="0" w:hanging="36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b/>
              </w:rPr>
            </w:pPr>
            <w:r>
              <w:rPr>
                <w:b/>
              </w:rPr>
              <w:t>Loss from operations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b/>
              </w:rPr>
            </w:pPr>
            <w:r>
              <w:rPr>
                <w:b/>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CCEEFF" w:val="clear"/>
            <w:vAlign w:val="center"/>
          </w:tcPr>
          <w:p>
            <w:pPr>
              <w:pStyle w:val="TableContents"/>
              <w:bidi w:val="0"/>
              <w:spacing w:before="0" w:after="283"/>
              <w:jc w:val="left"/>
              <w:rPr/>
            </w:pPr>
            <w:r>
              <w:rPr/>
              <w:t> </w:t>
            </w:r>
          </w:p>
        </w:tc>
        <w:tc>
          <w:tcPr>
            <w:tcW w:w="1000" w:type="dxa"/>
            <w:tcBorders>
              <w:bottom w:val="single" w:sz="12" w:space="0" w:color="000000"/>
            </w:tcBorders>
            <w:shd w:fill="CCEEFF" w:val="clear"/>
            <w:vAlign w:val="center"/>
          </w:tcPr>
          <w:p>
            <w:pPr>
              <w:pStyle w:val="TableContents"/>
              <w:bidi w:val="0"/>
              <w:spacing w:before="0" w:after="283"/>
              <w:jc w:val="right"/>
              <w:rPr/>
            </w:pPr>
            <w:r>
              <w:rPr/>
              <w:t>(78,699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bottom w:val="single" w:sz="12" w:space="0" w:color="000000"/>
            </w:tcBorders>
            <w:shd w:fill="CCEEFF" w:val="clear"/>
            <w:vAlign w:val="center"/>
          </w:tcPr>
          <w:p>
            <w:pPr>
              <w:pStyle w:val="TableContents"/>
              <w:bidi w:val="0"/>
              <w:spacing w:before="0" w:after="283"/>
              <w:jc w:val="left"/>
              <w:rPr/>
            </w:pPr>
            <w:r>
              <w:rPr/>
              <w:t> </w:t>
            </w:r>
          </w:p>
        </w:tc>
        <w:tc>
          <w:tcPr>
            <w:tcW w:w="1464"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 w:type="dxa"/>
            <w:tcBorders>
              <w:bottom w:val="single" w:sz="12" w:space="0" w:color="000000"/>
            </w:tcBorders>
            <w:shd w:fill="CCEEFF" w:val="clear"/>
            <w:vAlign w:val="center"/>
          </w:tcPr>
          <w:p>
            <w:pPr>
              <w:pStyle w:val="TableContents"/>
              <w:bidi w:val="0"/>
              <w:spacing w:before="0" w:after="283"/>
              <w:jc w:val="left"/>
              <w:rPr/>
            </w:pPr>
            <w:r>
              <w:rPr/>
              <w:t> </w:t>
            </w:r>
          </w:p>
        </w:tc>
        <w:tc>
          <w:tcPr>
            <w:tcW w:w="1000" w:type="dxa"/>
            <w:tcBorders>
              <w:bottom w:val="single" w:sz="12" w:space="0" w:color="000000"/>
            </w:tcBorders>
            <w:shd w:fill="CCEEFF" w:val="clear"/>
            <w:vAlign w:val="center"/>
          </w:tcPr>
          <w:p>
            <w:pPr>
              <w:pStyle w:val="TableContents"/>
              <w:bidi w:val="0"/>
              <w:spacing w:before="0" w:after="283"/>
              <w:jc w:val="right"/>
              <w:rPr/>
            </w:pPr>
            <w:r>
              <w:rPr/>
              <w:t>(78,699</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390" w:type="dxa"/>
        <w:jc w:val="left"/>
        <w:tblInd w:w="0" w:type="dxa"/>
        <w:tblLayout w:type="fixed"/>
        <w:tblCellMar>
          <w:top w:w="0" w:type="dxa"/>
          <w:left w:w="0" w:type="dxa"/>
          <w:bottom w:w="28" w:type="dxa"/>
          <w:right w:w="0" w:type="dxa"/>
        </w:tblCellMar>
      </w:tblPr>
      <w:tblGrid>
        <w:gridCol w:w="3740"/>
        <w:gridCol w:w="60"/>
        <w:gridCol w:w="3620"/>
        <w:gridCol w:w="60"/>
        <w:gridCol w:w="183"/>
        <w:gridCol w:w="992"/>
        <w:gridCol w:w="95"/>
        <w:gridCol w:w="60"/>
        <w:gridCol w:w="285"/>
        <w:gridCol w:w="1295"/>
        <w:gridCol w:w="95"/>
        <w:gridCol w:w="60"/>
        <w:gridCol w:w="500"/>
        <w:gridCol w:w="60"/>
        <w:gridCol w:w="183"/>
        <w:gridCol w:w="992"/>
        <w:gridCol w:w="110"/>
      </w:tblGrid>
      <w:tr>
        <w:trPr/>
        <w:tc>
          <w:tcPr>
            <w:tcW w:w="3740" w:type="dxa"/>
            <w:tcBorders>
              <w:bottom w:val="single" w:sz="12" w:space="0" w:color="000000"/>
            </w:tcBorders>
            <w:vAlign w:val="center"/>
          </w:tcPr>
          <w:p>
            <w:pPr>
              <w:pStyle w:val="TableContents"/>
              <w:bidi w:val="0"/>
              <w:spacing w:before="0" w:after="283"/>
              <w:ind w:left="0" w:right="0" w:hanging="180"/>
              <w:jc w:val="left"/>
              <w:rPr>
                <w:b/>
              </w:rPr>
            </w:pPr>
            <w:r>
              <w:rPr>
                <w:b/>
              </w:rPr>
              <w:t xml:space="preserve">LivePerson Consolidated Statement of </w:t>
              <w:br/>
              <w:t>Operations Line Items</w:t>
            </w:r>
          </w:p>
        </w:tc>
        <w:tc>
          <w:tcPr>
            <w:tcW w:w="60" w:type="dxa"/>
            <w:tcBorders/>
            <w:tcMar>
              <w:bottom w:w="0" w:type="dxa"/>
            </w:tcMar>
            <w:vAlign w:val="center"/>
          </w:tcPr>
          <w:p>
            <w:pPr>
              <w:pStyle w:val="TableContents"/>
              <w:bidi w:val="0"/>
              <w:spacing w:before="0" w:after="283"/>
              <w:jc w:val="left"/>
              <w:rPr/>
            </w:pPr>
            <w:r>
              <w:rPr/>
              <w:t> </w:t>
            </w:r>
          </w:p>
        </w:tc>
        <w:tc>
          <w:tcPr>
            <w:tcW w:w="3620" w:type="dxa"/>
            <w:tcBorders>
              <w:bottom w:val="single" w:sz="12" w:space="0" w:color="000000"/>
            </w:tcBorders>
            <w:vAlign w:val="center"/>
          </w:tcPr>
          <w:p>
            <w:pPr>
              <w:pStyle w:val="TableContents"/>
              <w:bidi w:val="0"/>
              <w:spacing w:before="0" w:after="283"/>
              <w:jc w:val="center"/>
              <w:rPr>
                <w:b/>
              </w:rPr>
            </w:pPr>
            <w:r>
              <w:rPr>
                <w:b/>
              </w:rPr>
              <w:t xml:space="preserve">SoundHound Consolidated </w:t>
              <w:br/>
              <w:t>Statement of Operations Line Items</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12" w:space="0" w:color="000000"/>
            </w:tcBorders>
            <w:vAlign w:val="center"/>
          </w:tcPr>
          <w:p>
            <w:pPr>
              <w:pStyle w:val="TableContents"/>
              <w:bidi w:val="0"/>
              <w:spacing w:before="0" w:after="283"/>
              <w:jc w:val="center"/>
              <w:rPr>
                <w:b/>
              </w:rPr>
            </w:pPr>
            <w:r>
              <w:rPr>
                <w:b/>
              </w:rPr>
              <w:t xml:space="preserve">Reclassification </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 xml:space="preserve">Historical </w:t>
              <w:br/>
              <w:t>(Adjusted)</w:t>
            </w:r>
          </w:p>
        </w:tc>
        <w:tc>
          <w:tcPr>
            <w:tcW w:w="110" w:type="dxa"/>
            <w:tcBorders/>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Gain on troubled debt restructuring</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Gain on troubled debt restructuring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27,720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27,720</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(31,530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(31,530</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4,751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5" w:type="dxa"/>
            <w:tcBorders/>
            <w:shd w:fill="FFFFFF" w:val="clear"/>
            <w:tcMar>
              <w:bottom w:w="0" w:type="dxa"/>
            </w:tcMar>
            <w:vAlign w:val="center"/>
          </w:tcPr>
          <w:p>
            <w:pPr>
              <w:pStyle w:val="TableContents"/>
              <w:bidi w:val="0"/>
              <w:spacing w:before="0" w:after="283"/>
              <w:jc w:val="right"/>
              <w:rPr/>
            </w:pPr>
            <w:r>
              <w:rPr/>
              <w:t>(4,751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992" w:type="dxa"/>
            <w:tcBorders>
              <w:bottom w:val="single" w:sz="12" w:space="0" w:color="000000"/>
            </w:tcBorders>
            <w:shd w:fill="CCEEFF" w:val="clear"/>
            <w:vAlign w:val="center"/>
          </w:tcPr>
          <w:p>
            <w:pPr>
              <w:pStyle w:val="TableContents"/>
              <w:bidi w:val="0"/>
              <w:spacing w:before="0" w:after="283"/>
              <w:jc w:val="right"/>
              <w:rPr/>
            </w:pPr>
            <w:r>
              <w:rPr/>
              <w:t>13,977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295" w:type="dxa"/>
            <w:tcBorders>
              <w:bottom w:val="single" w:sz="12" w:space="0" w:color="000000"/>
            </w:tcBorders>
            <w:shd w:fill="CCEEFF" w:val="clear"/>
            <w:vAlign w:val="center"/>
          </w:tcPr>
          <w:p>
            <w:pPr>
              <w:pStyle w:val="TableContents"/>
              <w:bidi w:val="0"/>
              <w:spacing w:before="0" w:after="283"/>
              <w:jc w:val="right"/>
              <w:rPr/>
            </w:pPr>
            <w:r>
              <w:rPr/>
              <w:t>4,751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CCEEFF" w:val="clear"/>
            <w:vAlign w:val="center"/>
          </w:tcPr>
          <w:p>
            <w:pPr>
              <w:pStyle w:val="TableContents"/>
              <w:bidi w:val="0"/>
              <w:spacing w:before="0" w:after="283"/>
              <w:jc w:val="left"/>
              <w:rPr/>
            </w:pPr>
            <w:r>
              <w:rPr/>
              <w:t> </w:t>
            </w:r>
          </w:p>
        </w:tc>
        <w:tc>
          <w:tcPr>
            <w:tcW w:w="992" w:type="dxa"/>
            <w:tcBorders>
              <w:bottom w:val="single" w:sz="12" w:space="0" w:color="000000"/>
            </w:tcBorders>
            <w:shd w:fill="CCEEFF" w:val="clear"/>
            <w:vAlign w:val="center"/>
          </w:tcPr>
          <w:p>
            <w:pPr>
              <w:pStyle w:val="TableContents"/>
              <w:bidi w:val="0"/>
              <w:spacing w:before="0" w:after="283"/>
              <w:jc w:val="right"/>
              <w:rPr/>
            </w:pPr>
            <w:r>
              <w:rPr/>
              <w:t>18,728</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992" w:type="dxa"/>
            <w:tcBorders>
              <w:bottom w:val="single" w:sz="12" w:space="0" w:color="000000"/>
            </w:tcBorders>
            <w:shd w:fill="FFFFFF" w:val="clear"/>
            <w:vAlign w:val="center"/>
          </w:tcPr>
          <w:p>
            <w:pPr>
              <w:pStyle w:val="TableContents"/>
              <w:bidi w:val="0"/>
              <w:spacing w:before="0" w:after="283"/>
              <w:jc w:val="right"/>
              <w:rPr/>
            </w:pPr>
            <w:r>
              <w:rPr/>
              <w:t>14,918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295"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992" w:type="dxa"/>
            <w:tcBorders>
              <w:bottom w:val="single" w:sz="12" w:space="0" w:color="000000"/>
            </w:tcBorders>
            <w:shd w:fill="FFFFFF" w:val="clear"/>
            <w:vAlign w:val="center"/>
          </w:tcPr>
          <w:p>
            <w:pPr>
              <w:pStyle w:val="TableContents"/>
              <w:bidi w:val="0"/>
              <w:spacing w:before="0" w:after="283"/>
              <w:jc w:val="right"/>
              <w:rPr/>
            </w:pPr>
            <w:r>
              <w:rPr/>
              <w:t>14,918</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b/>
              </w:rPr>
            </w:pPr>
            <w:r>
              <w:rPr>
                <w:b/>
              </w:rPr>
              <w:t>Loss before provision for income taxes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b/>
              </w:rPr>
            </w:pPr>
            <w:r>
              <w:rPr>
                <w:b/>
              </w:rPr>
              <w:t>Loss before provision (benefit)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(63,781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(63,781</w:t>
            </w:r>
          </w:p>
        </w:tc>
        <w:tc>
          <w:tcPr>
            <w:tcW w:w="11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Provision for income taxes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3620" w:type="dxa"/>
            <w:tcBorders/>
            <w:shd w:fill="FFFFFF" w:val="clear"/>
            <w:tcMar>
              <w:bottom w:w="0" w:type="dxa"/>
            </w:tcMar>
            <w:vAlign w:val="center"/>
          </w:tcPr>
          <w:p>
            <w:pPr>
              <w:pStyle w:val="TableContents"/>
              <w:bidi w:val="0"/>
              <w:spacing w:before="0" w:after="283"/>
              <w:jc w:val="left"/>
              <w:rPr/>
            </w:pPr>
            <w:r>
              <w:rPr/>
              <w:t>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992" w:type="dxa"/>
            <w:tcBorders>
              <w:bottom w:val="single" w:sz="12" w:space="0" w:color="000000"/>
            </w:tcBorders>
            <w:shd w:fill="FFFFFF" w:val="clear"/>
            <w:vAlign w:val="center"/>
          </w:tcPr>
          <w:p>
            <w:pPr>
              <w:pStyle w:val="TableContents"/>
              <w:bidi w:val="0"/>
              <w:spacing w:before="0" w:after="283"/>
              <w:jc w:val="right"/>
              <w:rPr/>
            </w:pPr>
            <w:r>
              <w:rPr/>
              <w:t>3,452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295"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3" w:type="dxa"/>
            <w:tcBorders>
              <w:bottom w:val="single" w:sz="12" w:space="0" w:color="000000"/>
            </w:tcBorders>
            <w:shd w:fill="FFFFFF" w:val="clear"/>
            <w:vAlign w:val="center"/>
          </w:tcPr>
          <w:p>
            <w:pPr>
              <w:pStyle w:val="TableContents"/>
              <w:bidi w:val="0"/>
              <w:spacing w:before="0" w:after="283"/>
              <w:jc w:val="left"/>
              <w:rPr/>
            </w:pPr>
            <w:r>
              <w:rPr/>
              <w:t> </w:t>
            </w:r>
          </w:p>
        </w:tc>
        <w:tc>
          <w:tcPr>
            <w:tcW w:w="992" w:type="dxa"/>
            <w:tcBorders>
              <w:bottom w:val="single" w:sz="12" w:space="0" w:color="000000"/>
            </w:tcBorders>
            <w:shd w:fill="FFFFFF" w:val="clear"/>
            <w:vAlign w:val="center"/>
          </w:tcPr>
          <w:p>
            <w:pPr>
              <w:pStyle w:val="TableContents"/>
              <w:bidi w:val="0"/>
              <w:spacing w:before="0" w:after="283"/>
              <w:jc w:val="right"/>
              <w:rPr/>
            </w:pPr>
            <w:r>
              <w:rPr/>
              <w:t>3,452</w:t>
            </w:r>
          </w:p>
        </w:tc>
        <w:tc>
          <w:tcPr>
            <w:tcW w:w="11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b/>
              </w:rPr>
            </w:pPr>
            <w:r>
              <w:rPr>
                <w:b/>
              </w:rPr>
              <w:t>Net loss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3620" w:type="dxa"/>
            <w:tcBorders/>
            <w:shd w:fill="CCEEFF" w:val="clear"/>
            <w:tcMar>
              <w:bottom w:w="0" w:type="dxa"/>
            </w:tcMar>
            <w:vAlign w:val="center"/>
          </w:tcPr>
          <w:p>
            <w:pPr>
              <w:pStyle w:val="TableContents"/>
              <w:bidi w:val="0"/>
              <w:spacing w:before="0" w:after="283"/>
              <w:jc w:val="left"/>
              <w:rPr>
                <w:b/>
              </w:rPr>
            </w:pPr>
            <w:r>
              <w:rPr>
                <w:b/>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double" w:sz="10" w:space="0" w:color="000000"/>
            </w:tcBorders>
            <w:shd w:fill="CCEEFF" w:val="clear"/>
            <w:vAlign w:val="center"/>
          </w:tcPr>
          <w:p>
            <w:pPr>
              <w:pStyle w:val="TableContents"/>
              <w:bidi w:val="0"/>
              <w:spacing w:before="0" w:after="283"/>
              <w:jc w:val="left"/>
              <w:rPr/>
            </w:pPr>
            <w:r>
              <w:rPr/>
              <w:t>$</w:t>
            </w:r>
          </w:p>
        </w:tc>
        <w:tc>
          <w:tcPr>
            <w:tcW w:w="992" w:type="dxa"/>
            <w:tcBorders>
              <w:bottom w:val="double" w:sz="10" w:space="0" w:color="000000"/>
            </w:tcBorders>
            <w:shd w:fill="CCEEFF" w:val="clear"/>
            <w:vAlign w:val="center"/>
          </w:tcPr>
          <w:p>
            <w:pPr>
              <w:pStyle w:val="TableContents"/>
              <w:bidi w:val="0"/>
              <w:spacing w:before="0" w:after="283"/>
              <w:jc w:val="right"/>
              <w:rPr/>
            </w:pPr>
            <w:r>
              <w:rPr/>
              <w:t>(67,233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shd w:fill="CCEEFF" w:val="clear"/>
            <w:vAlign w:val="center"/>
          </w:tcPr>
          <w:p>
            <w:pPr>
              <w:pStyle w:val="TableContents"/>
              <w:bidi w:val="0"/>
              <w:spacing w:before="0" w:after="283"/>
              <w:jc w:val="left"/>
              <w:rPr/>
            </w:pPr>
            <w:r>
              <w:rPr/>
              <w:t>$</w:t>
            </w:r>
          </w:p>
        </w:tc>
        <w:tc>
          <w:tcPr>
            <w:tcW w:w="1295" w:type="dxa"/>
            <w:tcBorders>
              <w:bottom w:val="double" w:sz="10"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bottom w:val="double" w:sz="10" w:space="0" w:color="000000"/>
            </w:tcBorders>
            <w:shd w:fill="CCEEFF" w:val="clear"/>
            <w:vAlign w:val="center"/>
          </w:tcPr>
          <w:p>
            <w:pPr>
              <w:pStyle w:val="TableContents"/>
              <w:bidi w:val="0"/>
              <w:spacing w:before="0" w:after="283"/>
              <w:jc w:val="left"/>
              <w:rPr/>
            </w:pPr>
            <w:r>
              <w:rPr/>
              <w:t>$</w:t>
            </w:r>
          </w:p>
        </w:tc>
        <w:tc>
          <w:tcPr>
            <w:tcW w:w="992" w:type="dxa"/>
            <w:tcBorders>
              <w:bottom w:val="double" w:sz="10" w:space="0" w:color="000000"/>
            </w:tcBorders>
            <w:shd w:fill="CCEEFF" w:val="clear"/>
            <w:vAlign w:val="center"/>
          </w:tcPr>
          <w:p>
            <w:pPr>
              <w:pStyle w:val="TableContents"/>
              <w:bidi w:val="0"/>
              <w:spacing w:before="0" w:after="283"/>
              <w:jc w:val="right"/>
              <w:rPr/>
            </w:pPr>
            <w:r>
              <w:rPr/>
              <w:t>(67,233</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Reclassification of $22.7 million of historical LivePerson’s depreciation and amortization to cost of revenues, sales and marketing, general and administrative, research and development, and amortization of intangible assets within SoundHound’s statement of operations line items.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Reclassification of $4.8 million of historical LivePerson’s interest income from interest income to other income, net within SoundHound’s statement of operations line item.</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the table below for a summary of identified reclassification adjustments made to present LivePerson’s consolidated statement of operations for the three months ended March 31, 2026, to conform presentation to that of SoundHound (in thousands):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47"/>
        <w:gridCol w:w="60"/>
        <w:gridCol w:w="1619"/>
        <w:gridCol w:w="60"/>
        <w:gridCol w:w="200"/>
        <w:gridCol w:w="978"/>
        <w:gridCol w:w="95"/>
        <w:gridCol w:w="60"/>
        <w:gridCol w:w="285"/>
        <w:gridCol w:w="1298"/>
        <w:gridCol w:w="95"/>
        <w:gridCol w:w="60"/>
        <w:gridCol w:w="500"/>
        <w:gridCol w:w="60"/>
        <w:gridCol w:w="200"/>
        <w:gridCol w:w="975"/>
        <w:gridCol w:w="113"/>
      </w:tblGrid>
      <w:tr>
        <w:trPr/>
        <w:tc>
          <w:tcPr>
            <w:tcW w:w="3547" w:type="dxa"/>
            <w:tcBorders>
              <w:bottom w:val="single" w:sz="12" w:space="0" w:color="000000"/>
            </w:tcBorders>
            <w:vAlign w:val="center"/>
          </w:tcPr>
          <w:p>
            <w:pPr>
              <w:pStyle w:val="TableContents"/>
              <w:bidi w:val="0"/>
              <w:spacing w:before="0" w:after="283"/>
              <w:ind w:left="0" w:right="0" w:hanging="180"/>
              <w:jc w:val="left"/>
              <w:rPr>
                <w:b/>
              </w:rPr>
            </w:pPr>
            <w:r>
              <w:rPr>
                <w:b/>
              </w:rPr>
              <w:t xml:space="preserve">LivePerson Consolidated Income </w:t>
              <w:br/>
              <w:t>Statement Line Items</w:t>
            </w:r>
          </w:p>
        </w:tc>
        <w:tc>
          <w:tcPr>
            <w:tcW w:w="60" w:type="dxa"/>
            <w:tcBorders/>
            <w:tcMar>
              <w:bottom w:w="0" w:type="dxa"/>
            </w:tcMar>
            <w:vAlign w:val="center"/>
          </w:tcPr>
          <w:p>
            <w:pPr>
              <w:pStyle w:val="TableContents"/>
              <w:bidi w:val="0"/>
              <w:spacing w:before="0" w:after="283"/>
              <w:jc w:val="left"/>
              <w:rPr/>
            </w:pPr>
            <w:r>
              <w:rPr/>
              <w:t> </w:t>
            </w:r>
          </w:p>
        </w:tc>
        <w:tc>
          <w:tcPr>
            <w:tcW w:w="1619" w:type="dxa"/>
            <w:tcBorders>
              <w:bottom w:val="single" w:sz="12" w:space="0" w:color="000000"/>
            </w:tcBorders>
            <w:vAlign w:val="center"/>
          </w:tcPr>
          <w:p>
            <w:pPr>
              <w:pStyle w:val="TableContents"/>
              <w:bidi w:val="0"/>
              <w:spacing w:before="0" w:after="283"/>
              <w:jc w:val="center"/>
              <w:rPr>
                <w:b/>
              </w:rPr>
            </w:pPr>
            <w:r>
              <w:rPr>
                <w:b/>
              </w:rPr>
              <w:t xml:space="preserve">SoundHound Consolidated </w:t>
              <w:br/>
              <w:t>Income Statement Line Items</w:t>
            </w:r>
          </w:p>
        </w:tc>
        <w:tc>
          <w:tcPr>
            <w:tcW w:w="60" w:type="dxa"/>
            <w:tcBorders/>
            <w:tcMar>
              <w:bottom w:w="0" w:type="dxa"/>
            </w:tcMar>
            <w:vAlign w:val="center"/>
          </w:tcPr>
          <w:p>
            <w:pPr>
              <w:pStyle w:val="TableContents"/>
              <w:bidi w:val="0"/>
              <w:spacing w:before="0" w:after="283"/>
              <w:jc w:val="left"/>
              <w:rPr/>
            </w:pPr>
            <w:r>
              <w:rPr/>
              <w:t> </w:t>
            </w:r>
          </w:p>
        </w:tc>
        <w:tc>
          <w:tcPr>
            <w:tcW w:w="1178" w:type="dxa"/>
            <w:gridSpan w:val="2"/>
            <w:tcBorders>
              <w:bottom w:val="single" w:sz="12" w:space="0" w:color="000000"/>
            </w:tcBorders>
            <w:vAlign w:val="center"/>
          </w:tcPr>
          <w:p>
            <w:pPr>
              <w:pStyle w:val="TableContents"/>
              <w:bidi w:val="0"/>
              <w:spacing w:before="0" w:after="283"/>
              <w:jc w:val="center"/>
              <w:rPr>
                <w:b/>
              </w:rPr>
            </w:pPr>
            <w:r>
              <w:rPr>
                <w:b/>
              </w:rPr>
              <w:t xml:space="preserve">LivePerson </w:t>
              <w:br/>
              <w:t>Historical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3" w:type="dxa"/>
            <w:gridSpan w:val="2"/>
            <w:tcBorders>
              <w:bottom w:val="single" w:sz="12" w:space="0" w:color="000000"/>
            </w:tcBorders>
            <w:vAlign w:val="center"/>
          </w:tcPr>
          <w:p>
            <w:pPr>
              <w:pStyle w:val="TableContents"/>
              <w:bidi w:val="0"/>
              <w:spacing w:before="0" w:after="283"/>
              <w:jc w:val="center"/>
              <w:rPr>
                <w:b/>
              </w:rPr>
            </w:pPr>
            <w:r>
              <w:rPr>
                <w:b/>
              </w:rPr>
              <w:t xml:space="preserve">Reclassification </w:t>
              <w:br/>
              <w:t>Adjustments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tcBorders>
              <w:bottom w:val="single" w:sz="12" w:space="0" w:color="000000"/>
            </w:tcBorders>
            <w:vAlign w:val="center"/>
          </w:tcPr>
          <w:p>
            <w:pPr>
              <w:pStyle w:val="TableContents"/>
              <w:bidi w:val="0"/>
              <w:spacing w:before="0" w:after="283"/>
              <w:jc w:val="center"/>
              <w:rPr>
                <w:b/>
              </w:rPr>
            </w:pPr>
            <w:r>
              <w:rPr>
                <w:b/>
              </w:rPr>
              <w:t>Note</w:t>
            </w:r>
          </w:p>
        </w:tc>
        <w:tc>
          <w:tcPr>
            <w:tcW w:w="60" w:type="dxa"/>
            <w:tcBorders/>
            <w:tcMar>
              <w:bottom w:w="0" w:type="dxa"/>
            </w:tcMar>
            <w:vAlign w:val="center"/>
          </w:tcPr>
          <w:p>
            <w:pPr>
              <w:pStyle w:val="TableContents"/>
              <w:bidi w:val="0"/>
              <w:spacing w:before="0" w:after="283"/>
              <w:jc w:val="left"/>
              <w:rPr/>
            </w:pPr>
            <w:r>
              <w:rPr/>
              <w:t> </w:t>
            </w:r>
          </w:p>
        </w:tc>
        <w:tc>
          <w:tcPr>
            <w:tcW w:w="1175" w:type="dxa"/>
            <w:gridSpan w:val="2"/>
            <w:tcBorders>
              <w:bottom w:val="single" w:sz="12" w:space="0" w:color="000000"/>
            </w:tcBorders>
            <w:vAlign w:val="center"/>
          </w:tcPr>
          <w:p>
            <w:pPr>
              <w:pStyle w:val="TableContents"/>
              <w:bidi w:val="0"/>
              <w:spacing w:before="0" w:after="283"/>
              <w:jc w:val="center"/>
              <w:rPr>
                <w:b/>
              </w:rPr>
            </w:pPr>
            <w:r>
              <w:rPr>
                <w:b/>
              </w:rPr>
              <w:t>LivePerson</w:t>
              <w:br/>
              <w:t>Historical</w:t>
              <w:br/>
              <w:t>(Adjusted)</w:t>
            </w:r>
          </w:p>
        </w:tc>
        <w:tc>
          <w:tcPr>
            <w:tcW w:w="113" w:type="dxa"/>
            <w:tcBorders/>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pPr>
            <w:r>
              <w:rPr/>
              <w:t>Revenue</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978" w:type="dxa"/>
            <w:tcBorders/>
            <w:shd w:fill="CCEEFF" w:val="clear"/>
            <w:tcMar>
              <w:bottom w:w="0" w:type="dxa"/>
            </w:tcMar>
            <w:vAlign w:val="center"/>
          </w:tcPr>
          <w:p>
            <w:pPr>
              <w:pStyle w:val="TableContents"/>
              <w:bidi w:val="0"/>
              <w:spacing w:before="0" w:after="283"/>
              <w:jc w:val="right"/>
              <w:rPr/>
            </w:pPr>
            <w:r>
              <w:rPr/>
              <w:t>56,956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975" w:type="dxa"/>
            <w:tcBorders/>
            <w:shd w:fill="CCEEFF" w:val="clear"/>
            <w:tcMar>
              <w:bottom w:w="0" w:type="dxa"/>
            </w:tcMar>
            <w:vAlign w:val="center"/>
          </w:tcPr>
          <w:p>
            <w:pPr>
              <w:pStyle w:val="TableContents"/>
              <w:bidi w:val="0"/>
              <w:spacing w:before="0" w:after="283"/>
              <w:jc w:val="right"/>
              <w:rPr/>
            </w:pPr>
            <w:r>
              <w:rPr/>
              <w:t>56,956</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pPr>
            <w:r>
              <w:rPr/>
              <w:t>Costs, expenses and other:</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pPr>
            <w:r>
              <w:rPr/>
              <w:t>Cost of revenue (exclusive of depreciation and amortization shown separately below)</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Cost of 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8" w:type="dxa"/>
            <w:tcBorders/>
            <w:shd w:fill="CCEEFF" w:val="clear"/>
            <w:tcMar>
              <w:bottom w:w="0" w:type="dxa"/>
            </w:tcMar>
            <w:vAlign w:val="center"/>
          </w:tcPr>
          <w:p>
            <w:pPr>
              <w:pStyle w:val="TableContents"/>
              <w:bidi w:val="0"/>
              <w:spacing w:before="0" w:after="283"/>
              <w:jc w:val="right"/>
              <w:rPr/>
            </w:pPr>
            <w:r>
              <w:rPr/>
              <w:t>15,525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1,074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16,599</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13,770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pPr>
            <w:r>
              <w:rPr/>
              <w:t>430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14,200</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pPr>
            <w:r>
              <w:rPr/>
              <w:t>Product development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8" w:type="dxa"/>
            <w:tcBorders/>
            <w:shd w:fill="CCEEFF" w:val="clear"/>
            <w:tcMar>
              <w:bottom w:w="0" w:type="dxa"/>
            </w:tcMar>
            <w:vAlign w:val="center"/>
          </w:tcPr>
          <w:p>
            <w:pPr>
              <w:pStyle w:val="TableContents"/>
              <w:bidi w:val="0"/>
              <w:spacing w:before="0" w:after="283"/>
              <w:jc w:val="right"/>
              <w:rPr/>
            </w:pPr>
            <w:r>
              <w:rPr/>
              <w:t>12,180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3,256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15,436</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12,120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pPr>
            <w:r>
              <w:rPr/>
              <w:t>180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12,300</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Amortization of intangible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172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(a)</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172</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pPr>
            <w:r>
              <w:rPr/>
              <w:t>Depreciation and amortization expense</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8" w:type="dxa"/>
            <w:tcBorders>
              <w:bottom w:val="single" w:sz="12" w:space="0" w:color="000000"/>
            </w:tcBorders>
            <w:shd w:fill="FFFFFF" w:val="clear"/>
            <w:vAlign w:val="center"/>
          </w:tcPr>
          <w:p>
            <w:pPr>
              <w:pStyle w:val="TableContents"/>
              <w:bidi w:val="0"/>
              <w:spacing w:before="0" w:after="283"/>
              <w:jc w:val="right"/>
              <w:rPr/>
            </w:pPr>
            <w:r>
              <w:rPr/>
              <w:t>5,112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298" w:type="dxa"/>
            <w:tcBorders>
              <w:bottom w:val="single" w:sz="12" w:space="0" w:color="000000"/>
            </w:tcBorders>
            <w:shd w:fill="FFFFFF" w:val="clear"/>
            <w:vAlign w:val="center"/>
          </w:tcPr>
          <w:p>
            <w:pPr>
              <w:pStyle w:val="TableContents"/>
              <w:bidi w:val="0"/>
              <w:spacing w:before="0" w:after="283"/>
              <w:jc w:val="right"/>
              <w:rPr/>
            </w:pPr>
            <w:r>
              <w:rPr/>
              <w:t>(5,112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(a)</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5" w:type="dxa"/>
            <w:tcBorders>
              <w:bottom w:val="single" w:sz="12" w:space="0" w:color="000000"/>
            </w:tcBorders>
            <w:shd w:fill="FFFFFF" w:val="cle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b/>
              </w:rPr>
            </w:pPr>
            <w:r>
              <w:rPr>
                <w:b/>
              </w:rPr>
              <w:t>Total operating 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978" w:type="dxa"/>
            <w:tcBorders>
              <w:bottom w:val="single" w:sz="12" w:space="0" w:color="000000"/>
            </w:tcBorders>
            <w:shd w:fill="CCEEFF" w:val="clear"/>
            <w:vAlign w:val="center"/>
          </w:tcPr>
          <w:p>
            <w:pPr>
              <w:pStyle w:val="TableContents"/>
              <w:bidi w:val="0"/>
              <w:spacing w:before="0" w:after="283"/>
              <w:jc w:val="right"/>
              <w:rPr/>
            </w:pPr>
            <w:r>
              <w:rPr/>
              <w:t>58,707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298" w:type="dxa"/>
            <w:tcBorders>
              <w:bottom w:val="single" w:sz="12"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pPr>
            <w:r>
              <w:rPr/>
              <w:t>58,707</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b/>
              </w:rPr>
            </w:pPr>
            <w:r>
              <w:rPr>
                <w:b/>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8" w:type="dxa"/>
            <w:tcBorders>
              <w:bottom w:val="single" w:sz="12" w:space="0" w:color="000000"/>
            </w:tcBorders>
            <w:shd w:fill="FFFFFF" w:val="clear"/>
            <w:vAlign w:val="center"/>
          </w:tcPr>
          <w:p>
            <w:pPr>
              <w:pStyle w:val="TableContents"/>
              <w:bidi w:val="0"/>
              <w:spacing w:before="0" w:after="283"/>
              <w:jc w:val="right"/>
              <w:rPr/>
            </w:pPr>
            <w:r>
              <w:rPr/>
              <w:t>(1,751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298"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5" w:type="dxa"/>
            <w:tcBorders>
              <w:bottom w:val="single" w:sz="12" w:space="0" w:color="000000"/>
            </w:tcBorders>
            <w:shd w:fill="FFFFFF" w:val="clear"/>
            <w:vAlign w:val="center"/>
          </w:tcPr>
          <w:p>
            <w:pPr>
              <w:pStyle w:val="TableContents"/>
              <w:bidi w:val="0"/>
              <w:spacing w:before="0" w:after="283"/>
              <w:jc w:val="right"/>
              <w:rPr/>
            </w:pPr>
            <w:r>
              <w:rPr/>
              <w:t>(1,751</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5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 </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pPr>
            <w:r>
              <w:rPr/>
              <w:t>Other income (expense), net: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 </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Interest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8" w:type="dxa"/>
            <w:tcBorders/>
            <w:shd w:fill="CCEEFF" w:val="clear"/>
            <w:tcMar>
              <w:bottom w:w="0" w:type="dxa"/>
            </w:tcMar>
            <w:vAlign w:val="center"/>
          </w:tcPr>
          <w:p>
            <w:pPr>
              <w:pStyle w:val="TableContents"/>
              <w:bidi w:val="0"/>
              <w:spacing w:before="0" w:after="283"/>
              <w:jc w:val="right"/>
              <w:rPr/>
            </w:pPr>
            <w:r>
              <w:rPr/>
              <w:t>(8,252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(8,252</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547" w:type="dxa"/>
            <w:tcBorders/>
            <w:shd w:fill="FFFFFF" w:val="clear"/>
            <w:tcMar>
              <w:bottom w:w="0" w:type="dxa"/>
            </w:tcMar>
            <w:vAlign w:val="center"/>
          </w:tcPr>
          <w:p>
            <w:pPr>
              <w:pStyle w:val="TableContents"/>
              <w:bidi w:val="0"/>
              <w:spacing w:before="0" w:after="283"/>
              <w:jc w:val="left"/>
              <w:rPr/>
            </w:pPr>
            <w:r>
              <w:rPr/>
              <w:t>Interest income</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8" w:type="dxa"/>
            <w:tcBorders/>
            <w:shd w:fill="FFFFFF" w:val="clear"/>
            <w:tcMar>
              <w:bottom w:w="0" w:type="dxa"/>
            </w:tcMar>
            <w:vAlign w:val="center"/>
          </w:tcPr>
          <w:p>
            <w:pPr>
              <w:pStyle w:val="TableContents"/>
              <w:bidi w:val="0"/>
              <w:spacing w:before="0" w:after="283"/>
              <w:jc w:val="right"/>
              <w:rPr/>
            </w:pPr>
            <w:r>
              <w:rPr/>
              <w:t>503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shd w:fill="FFFFFF" w:val="clear"/>
            <w:tcMar>
              <w:bottom w:w="0" w:type="dxa"/>
            </w:tcMar>
            <w:vAlign w:val="center"/>
          </w:tcPr>
          <w:p>
            <w:pPr>
              <w:pStyle w:val="TableContents"/>
              <w:bidi w:val="0"/>
              <w:spacing w:before="0" w:after="283"/>
              <w:jc w:val="left"/>
              <w:rPr/>
            </w:pPr>
            <w:r>
              <w:rPr/>
              <w:t> </w:t>
            </w:r>
          </w:p>
        </w:tc>
        <w:tc>
          <w:tcPr>
            <w:tcW w:w="1298" w:type="dxa"/>
            <w:tcBorders/>
            <w:shd w:fill="FFFFFF" w:val="clear"/>
            <w:tcMar>
              <w:bottom w:w="0" w:type="dxa"/>
            </w:tcMar>
            <w:vAlign w:val="center"/>
          </w:tcPr>
          <w:p>
            <w:pPr>
              <w:pStyle w:val="TableContents"/>
              <w:bidi w:val="0"/>
              <w:spacing w:before="0" w:after="283"/>
              <w:jc w:val="right"/>
              <w:rPr/>
            </w:pPr>
            <w:r>
              <w:rPr/>
              <w:t>(503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center"/>
              <w:rPr/>
            </w:pPr>
            <w:r>
              <w:rPr/>
              <w:t>(b)</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pPr>
            <w:r>
              <w:rPr/>
              <w:t>Other income (expense),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978" w:type="dxa"/>
            <w:tcBorders>
              <w:bottom w:val="single" w:sz="12" w:space="0" w:color="000000"/>
            </w:tcBorders>
            <w:shd w:fill="CCEEFF" w:val="clear"/>
            <w:vAlign w:val="center"/>
          </w:tcPr>
          <w:p>
            <w:pPr>
              <w:pStyle w:val="TableContents"/>
              <w:bidi w:val="0"/>
              <w:spacing w:before="0" w:after="283"/>
              <w:jc w:val="right"/>
              <w:rPr/>
            </w:pPr>
            <w:r>
              <w:rPr/>
              <w:t>998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CCEEFF" w:val="clear"/>
            <w:vAlign w:val="center"/>
          </w:tcPr>
          <w:p>
            <w:pPr>
              <w:pStyle w:val="TableContents"/>
              <w:bidi w:val="0"/>
              <w:spacing w:before="0" w:after="283"/>
              <w:jc w:val="left"/>
              <w:rPr/>
            </w:pPr>
            <w:r>
              <w:rPr/>
              <w:t> </w:t>
            </w:r>
          </w:p>
        </w:tc>
        <w:tc>
          <w:tcPr>
            <w:tcW w:w="1298" w:type="dxa"/>
            <w:tcBorders>
              <w:bottom w:val="single" w:sz="12" w:space="0" w:color="000000"/>
            </w:tcBorders>
            <w:shd w:fill="CCEEFF" w:val="clear"/>
            <w:vAlign w:val="center"/>
          </w:tcPr>
          <w:p>
            <w:pPr>
              <w:pStyle w:val="TableContents"/>
              <w:bidi w:val="0"/>
              <w:spacing w:before="0" w:after="283"/>
              <w:jc w:val="right"/>
              <w:rPr/>
            </w:pPr>
            <w:r>
              <w:rPr/>
              <w:t>503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center"/>
              <w:rPr/>
            </w:pPr>
            <w:r>
              <w:rPr/>
              <w:t>(b)</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975" w:type="dxa"/>
            <w:tcBorders>
              <w:bottom w:val="single" w:sz="12" w:space="0" w:color="000000"/>
            </w:tcBorders>
            <w:shd w:fill="CCEEFF" w:val="clear"/>
            <w:vAlign w:val="center"/>
          </w:tcPr>
          <w:p>
            <w:pPr>
              <w:pStyle w:val="TableContents"/>
              <w:bidi w:val="0"/>
              <w:spacing w:before="0" w:after="283"/>
              <w:jc w:val="right"/>
              <w:rPr/>
            </w:pPr>
            <w:r>
              <w:rPr/>
              <w:t>1,501</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FFFF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b/>
              </w:rPr>
            </w:pPr>
            <w:r>
              <w:rPr>
                <w:b/>
              </w:rPr>
              <w:t>Total other income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8" w:type="dxa"/>
            <w:tcBorders>
              <w:bottom w:val="single" w:sz="12" w:space="0" w:color="000000"/>
            </w:tcBorders>
            <w:shd w:fill="FFFFFF" w:val="clear"/>
            <w:vAlign w:val="center"/>
          </w:tcPr>
          <w:p>
            <w:pPr>
              <w:pStyle w:val="TableContents"/>
              <w:bidi w:val="0"/>
              <w:spacing w:before="0" w:after="283"/>
              <w:jc w:val="right"/>
              <w:rPr/>
            </w:pPr>
            <w:r>
              <w:rPr/>
              <w:t>(6,751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298" w:type="dxa"/>
            <w:tcBorders>
              <w:bottom w:val="single" w:sz="12"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5" w:type="dxa"/>
            <w:tcBorders>
              <w:bottom w:val="single" w:sz="12" w:space="0" w:color="000000"/>
            </w:tcBorders>
            <w:shd w:fill="FFFFFF" w:val="clear"/>
            <w:vAlign w:val="center"/>
          </w:tcPr>
          <w:p>
            <w:pPr>
              <w:pStyle w:val="TableContents"/>
              <w:bidi w:val="0"/>
              <w:spacing w:before="0" w:after="283"/>
              <w:jc w:val="right"/>
              <w:rPr/>
            </w:pPr>
            <w:r>
              <w:rPr/>
              <w:t>(6,751</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3547" w:type="dxa"/>
            <w:tcBorders/>
            <w:shd w:fill="CCEEFF" w:val="clear"/>
            <w:tcMar>
              <w:bottom w:w="0" w:type="dxa"/>
            </w:tcMar>
            <w:vAlign w:val="center"/>
          </w:tcPr>
          <w:p>
            <w:pPr>
              <w:pStyle w:val="TableContents"/>
              <w:bidi w:val="0"/>
              <w:spacing w:before="0" w:after="283"/>
              <w:jc w:val="left"/>
              <w:rPr>
                <w:b/>
              </w:rPr>
            </w:pPr>
            <w:r>
              <w:rPr>
                <w:b/>
              </w:rPr>
              <w:t>Loss before provision (benefit) for income taxes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b/>
              </w:rPr>
            </w:pPr>
            <w:r>
              <w:rPr>
                <w:b/>
              </w:rPr>
              <w:t>Loss before provision (benefit) for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8" w:type="dxa"/>
            <w:tcBorders/>
            <w:shd w:fill="CCEEFF" w:val="clear"/>
            <w:tcMar>
              <w:bottom w:w="0" w:type="dxa"/>
            </w:tcMar>
            <w:vAlign w:val="center"/>
          </w:tcPr>
          <w:p>
            <w:pPr>
              <w:pStyle w:val="TableContents"/>
              <w:bidi w:val="0"/>
              <w:spacing w:before="0" w:after="283"/>
              <w:jc w:val="right"/>
              <w:rPr/>
            </w:pPr>
            <w:r>
              <w:rPr/>
              <w:t>(8,502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shd w:fill="CCEEFF" w:val="clear"/>
            <w:tcMar>
              <w:bottom w:w="0" w:type="dxa"/>
            </w:tcMar>
            <w:vAlign w:val="center"/>
          </w:tcPr>
          <w:p>
            <w:pPr>
              <w:pStyle w:val="TableContents"/>
              <w:bidi w:val="0"/>
              <w:spacing w:before="0" w:after="283"/>
              <w:jc w:val="left"/>
              <w:rPr/>
            </w:pPr>
            <w:r>
              <w:rPr/>
              <w:t> </w:t>
            </w:r>
          </w:p>
        </w:tc>
        <w:tc>
          <w:tcPr>
            <w:tcW w:w="129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(8,502</w:t>
            </w:r>
          </w:p>
        </w:tc>
        <w:tc>
          <w:tcPr>
            <w:tcW w:w="113"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3547" w:type="dxa"/>
            <w:tcBorders/>
            <w:shd w:fill="FFFFFF" w:val="clear"/>
            <w:tcMar>
              <w:bottom w:w="0" w:type="dxa"/>
            </w:tcMar>
            <w:vAlign w:val="center"/>
          </w:tcPr>
          <w:p>
            <w:pPr>
              <w:pStyle w:val="TableContents"/>
              <w:bidi w:val="0"/>
              <w:spacing w:before="0" w:after="283"/>
              <w:jc w:val="left"/>
              <w:rPr/>
            </w:pPr>
            <w:r>
              <w:rPr/>
              <w:t>Provision for income taxes</w:t>
            </w:r>
          </w:p>
        </w:tc>
        <w:tc>
          <w:tcPr>
            <w:tcW w:w="60" w:type="dxa"/>
            <w:tcBorders/>
            <w:shd w:fill="FFFFFF" w:val="clear"/>
            <w:tcMar>
              <w:bottom w:w="0" w:type="dxa"/>
            </w:tcMar>
            <w:vAlign w:val="center"/>
          </w:tcPr>
          <w:p>
            <w:pPr>
              <w:pStyle w:val="TableContents"/>
              <w:bidi w:val="0"/>
              <w:spacing w:before="0" w:after="283"/>
              <w:ind w:left="0" w:right="0" w:hanging="180"/>
              <w:jc w:val="left"/>
              <w:rPr/>
            </w:pPr>
            <w:r>
              <w:rPr/>
              <w:t> </w:t>
            </w:r>
          </w:p>
        </w:tc>
        <w:tc>
          <w:tcPr>
            <w:tcW w:w="1619" w:type="dxa"/>
            <w:tcBorders/>
            <w:shd w:fill="FFFFFF" w:val="clear"/>
            <w:tcMar>
              <w:bottom w:w="0" w:type="dxa"/>
            </w:tcMar>
            <w:vAlign w:val="center"/>
          </w:tcPr>
          <w:p>
            <w:pPr>
              <w:pStyle w:val="TableContents"/>
              <w:bidi w:val="0"/>
              <w:spacing w:before="0" w:after="283"/>
              <w:jc w:val="left"/>
              <w:rPr/>
            </w:pPr>
            <w:r>
              <w:rPr/>
              <w:t>Provision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8" w:type="dxa"/>
            <w:tcBorders>
              <w:bottom w:val="single" w:sz="12" w:space="0" w:color="000000"/>
            </w:tcBorders>
            <w:shd w:fill="FFFFFF" w:val="clear"/>
            <w:vAlign w:val="center"/>
          </w:tcPr>
          <w:p>
            <w:pPr>
              <w:pStyle w:val="TableContents"/>
              <w:bidi w:val="0"/>
              <w:spacing w:before="0" w:after="283"/>
              <w:jc w:val="right"/>
              <w:rPr/>
            </w:pPr>
            <w:r>
              <w:rPr/>
              <w:t>325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5" w:type="dxa"/>
            <w:tcBorders>
              <w:bottom w:val="single" w:sz="12" w:space="0" w:color="000000"/>
            </w:tcBorders>
            <w:shd w:fill="FFFFFF" w:val="clear"/>
            <w:vAlign w:val="center"/>
          </w:tcPr>
          <w:p>
            <w:pPr>
              <w:pStyle w:val="TableContents"/>
              <w:bidi w:val="0"/>
              <w:spacing w:before="0" w:after="283"/>
              <w:jc w:val="left"/>
              <w:rPr/>
            </w:pPr>
            <w:r>
              <w:rPr/>
              <w:t> </w:t>
            </w:r>
          </w:p>
        </w:tc>
        <w:tc>
          <w:tcPr>
            <w:tcW w:w="1298" w:type="dxa"/>
            <w:tcBorders>
              <w:bottom w:val="single" w:sz="12" w:space="0" w:color="000000"/>
            </w:tcBorders>
            <w:shd w:fill="FFFFFF" w:val="cle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0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FFFFFF" w:val="clear"/>
            <w:vAlign w:val="center"/>
          </w:tcPr>
          <w:p>
            <w:pPr>
              <w:pStyle w:val="TableContents"/>
              <w:bidi w:val="0"/>
              <w:spacing w:before="0" w:after="283"/>
              <w:jc w:val="left"/>
              <w:rPr/>
            </w:pPr>
            <w:r>
              <w:rPr/>
              <w:t> </w:t>
            </w:r>
          </w:p>
        </w:tc>
        <w:tc>
          <w:tcPr>
            <w:tcW w:w="975" w:type="dxa"/>
            <w:tcBorders>
              <w:bottom w:val="single" w:sz="12" w:space="0" w:color="000000"/>
            </w:tcBorders>
            <w:shd w:fill="FFFFFF" w:val="clear"/>
            <w:vAlign w:val="center"/>
          </w:tcPr>
          <w:p>
            <w:pPr>
              <w:pStyle w:val="TableContents"/>
              <w:bidi w:val="0"/>
              <w:spacing w:before="0" w:after="283"/>
              <w:jc w:val="right"/>
              <w:rPr/>
            </w:pPr>
            <w:r>
              <w:rPr/>
              <w:t>325</w:t>
            </w:r>
          </w:p>
        </w:tc>
        <w:tc>
          <w:tcPr>
            <w:tcW w:w="113"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3547" w:type="dxa"/>
            <w:tcBorders/>
            <w:shd w:fill="CCEEFF" w:val="clear"/>
            <w:tcMar>
              <w:bottom w:w="0" w:type="dxa"/>
            </w:tcMar>
            <w:vAlign w:val="center"/>
          </w:tcPr>
          <w:p>
            <w:pPr>
              <w:pStyle w:val="TableContents"/>
              <w:bidi w:val="0"/>
              <w:spacing w:before="0" w:after="283"/>
              <w:jc w:val="left"/>
              <w:rPr>
                <w:b/>
              </w:rPr>
            </w:pPr>
            <w:r>
              <w:rPr>
                <w:b/>
              </w:rPr>
              <w:t>Net loss</w:t>
            </w:r>
          </w:p>
        </w:tc>
        <w:tc>
          <w:tcPr>
            <w:tcW w:w="60" w:type="dxa"/>
            <w:tcBorders/>
            <w:shd w:fill="CCEEFF" w:val="clear"/>
            <w:tcMar>
              <w:bottom w:w="0" w:type="dxa"/>
            </w:tcMar>
            <w:vAlign w:val="center"/>
          </w:tcPr>
          <w:p>
            <w:pPr>
              <w:pStyle w:val="TableContents"/>
              <w:bidi w:val="0"/>
              <w:spacing w:before="0" w:after="283"/>
              <w:ind w:left="0" w:right="0" w:hanging="180"/>
              <w:jc w:val="left"/>
              <w:rPr/>
            </w:pPr>
            <w:r>
              <w:rPr/>
              <w:t> </w:t>
            </w:r>
          </w:p>
        </w:tc>
        <w:tc>
          <w:tcPr>
            <w:tcW w:w="1619" w:type="dxa"/>
            <w:tcBorders/>
            <w:shd w:fill="CCEEFF" w:val="clear"/>
            <w:tcMar>
              <w:bottom w:w="0" w:type="dxa"/>
            </w:tcMar>
            <w:vAlign w:val="center"/>
          </w:tcPr>
          <w:p>
            <w:pPr>
              <w:pStyle w:val="TableContents"/>
              <w:bidi w:val="0"/>
              <w:spacing w:before="0" w:after="283"/>
              <w:jc w:val="left"/>
              <w:rPr>
                <w:b/>
              </w:rPr>
            </w:pPr>
            <w:r>
              <w:rPr>
                <w:b/>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10" w:space="0" w:color="000000"/>
            </w:tcBorders>
            <w:shd w:fill="CCEEFF" w:val="clear"/>
            <w:vAlign w:val="center"/>
          </w:tcPr>
          <w:p>
            <w:pPr>
              <w:pStyle w:val="TableContents"/>
              <w:bidi w:val="0"/>
              <w:spacing w:before="0" w:after="283"/>
              <w:jc w:val="left"/>
              <w:rPr/>
            </w:pPr>
            <w:r>
              <w:rPr/>
              <w:t>$</w:t>
            </w:r>
          </w:p>
        </w:tc>
        <w:tc>
          <w:tcPr>
            <w:tcW w:w="978" w:type="dxa"/>
            <w:tcBorders>
              <w:bottom w:val="double" w:sz="10" w:space="0" w:color="000000"/>
            </w:tcBorders>
            <w:shd w:fill="CCEEFF" w:val="clear"/>
            <w:vAlign w:val="center"/>
          </w:tcPr>
          <w:p>
            <w:pPr>
              <w:pStyle w:val="TableContents"/>
              <w:bidi w:val="0"/>
              <w:spacing w:before="0" w:after="283"/>
              <w:jc w:val="right"/>
              <w:rPr/>
            </w:pPr>
            <w:r>
              <w:rPr/>
              <w:t>(8,827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 w:type="dxa"/>
            <w:tcBorders>
              <w:bottom w:val="double" w:sz="10" w:space="0" w:color="000000"/>
            </w:tcBorders>
            <w:shd w:fill="CCEEFF" w:val="clear"/>
            <w:vAlign w:val="center"/>
          </w:tcPr>
          <w:p>
            <w:pPr>
              <w:pStyle w:val="TableContents"/>
              <w:bidi w:val="0"/>
              <w:spacing w:before="0" w:after="283"/>
              <w:jc w:val="left"/>
              <w:rPr/>
            </w:pPr>
            <w:r>
              <w:rPr/>
              <w:t>$</w:t>
            </w:r>
          </w:p>
        </w:tc>
        <w:tc>
          <w:tcPr>
            <w:tcW w:w="1298" w:type="dxa"/>
            <w:tcBorders>
              <w:bottom w:val="double" w:sz="10"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0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double" w:sz="10" w:space="0" w:color="000000"/>
            </w:tcBorders>
            <w:shd w:fill="CCEEFF" w:val="clear"/>
            <w:vAlign w:val="center"/>
          </w:tcPr>
          <w:p>
            <w:pPr>
              <w:pStyle w:val="TableContents"/>
              <w:bidi w:val="0"/>
              <w:spacing w:before="0" w:after="283"/>
              <w:jc w:val="left"/>
              <w:rPr/>
            </w:pPr>
            <w:r>
              <w:rPr/>
              <w:t>$</w:t>
            </w:r>
          </w:p>
        </w:tc>
        <w:tc>
          <w:tcPr>
            <w:tcW w:w="975" w:type="dxa"/>
            <w:tcBorders>
              <w:bottom w:val="double" w:sz="10" w:space="0" w:color="000000"/>
            </w:tcBorders>
            <w:shd w:fill="CCEEFF" w:val="clear"/>
            <w:vAlign w:val="center"/>
          </w:tcPr>
          <w:p>
            <w:pPr>
              <w:pStyle w:val="TableContents"/>
              <w:bidi w:val="0"/>
              <w:spacing w:before="0" w:after="283"/>
              <w:jc w:val="right"/>
              <w:rPr/>
            </w:pPr>
            <w:r>
              <w:rPr/>
              <w:t>(8,827</w:t>
            </w:r>
          </w:p>
        </w:tc>
        <w:tc>
          <w:tcPr>
            <w:tcW w:w="11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(a)</w:t>
            </w:r>
          </w:p>
        </w:tc>
        <w:tc>
          <w:tcPr>
            <w:tcW w:w="9965" w:type="dxa"/>
            <w:tcBorders/>
            <w:vAlign w:val="center"/>
          </w:tcPr>
          <w:p>
            <w:pPr>
              <w:pStyle w:val="TableContents"/>
              <w:bidi w:val="0"/>
              <w:spacing w:before="0" w:after="283"/>
              <w:jc w:val="both"/>
              <w:rPr/>
            </w:pPr>
            <w:r>
              <w:rPr/>
              <w:t>Reclassification of LivePerson’s historical depreciation and amortization of $5.1 million to cost of revenues, sales and marketing, general and administrative, research and development, and amortization of intangible assets within SoundHound’s statement of operations line items.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Reclassification of LivePerson’s historical interest income of $0.5 million from interest income to other income, net within SoundHound’s statement of operations line item.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Transaction Accounting Adjustments to Unaudited Pro Forma Condensed Combined Statement of Operations for the year ended December 31, 2025, pertaining to the Interactions Acquisition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 of operations information for Interactions from September 3, 2025 to December 31, 2025, is already included in SoundHound’s historical fiscal year 2025 results. The transaction accounting adjustments for the Interactions Acquisition in the unaudited pro forma condensed combined statement of operations for the year ended December 31, 2025, are intended to derive pro forma financial information from January 1, 2025 to September 2, 2025, as if the Interactions Acquisition closed on January 1, 2025, as follows:</w:t>
      </w:r>
    </w:p>
    <w:p>
      <w:pPr>
        <w:pStyle w:val="TextBody"/>
        <w:bidi w:val="0"/>
        <w:spacing w:before="0" w:after="0"/>
        <w:ind w:left="0" w:right="0" w:firstLine="360"/>
        <w:jc w:val="both"/>
        <w:rPr>
          <w:caps w:val="false"/>
          <w:smallCaps w:val="false"/>
        </w:rPr>
      </w:pPr>
      <w:r>
        <w:rPr>
          <w:caps w:val="false"/>
          <w:smallCaps w:val="false"/>
        </w:rPr>
        <w:t>  </w:t>
      </w:r>
    </w:p>
    <w:tbl>
      <w:tblPr>
        <w:tblW w:w="9939" w:type="dxa"/>
        <w:jc w:val="left"/>
        <w:tblInd w:w="0" w:type="dxa"/>
        <w:tblLayout w:type="fixed"/>
        <w:tblCellMar>
          <w:top w:w="0" w:type="dxa"/>
          <w:left w:w="0" w:type="dxa"/>
          <w:bottom w:w="0" w:type="dxa"/>
          <w:right w:w="0" w:type="dxa"/>
        </w:tblCellMar>
      </w:tblPr>
      <w:tblGrid>
        <w:gridCol w:w="4565"/>
        <w:gridCol w:w="60"/>
        <w:gridCol w:w="220"/>
        <w:gridCol w:w="1074"/>
        <w:gridCol w:w="98"/>
        <w:gridCol w:w="62"/>
        <w:gridCol w:w="236"/>
        <w:gridCol w:w="1074"/>
        <w:gridCol w:w="98"/>
        <w:gridCol w:w="62"/>
        <w:gridCol w:w="943"/>
        <w:gridCol w:w="62"/>
        <w:gridCol w:w="223"/>
        <w:gridCol w:w="1087"/>
        <w:gridCol w:w="75"/>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9" w:type="dxa"/>
            <w:gridSpan w:val="12"/>
            <w:tcBorders>
              <w:bottom w:val="single" w:sz="12" w:space="0" w:color="000000"/>
            </w:tcBorders>
            <w:tcMar>
              <w:bottom w:w="28" w:type="dxa"/>
            </w:tcMar>
            <w:vAlign w:val="center"/>
          </w:tcPr>
          <w:p>
            <w:pPr>
              <w:pStyle w:val="TableContents"/>
              <w:bidi w:val="0"/>
              <w:spacing w:before="0" w:after="283"/>
              <w:jc w:val="center"/>
              <w:rPr>
                <w:b/>
              </w:rPr>
            </w:pPr>
            <w:r>
              <w:rPr>
                <w:b/>
              </w:rPr>
              <w:t>January 1, 2025 to September 2, 2025</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9" w:type="dxa"/>
            <w:gridSpan w:val="12"/>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Interactions </w:t>
              <w:br/>
              <w:t xml:space="preserve">Historical </w:t>
              <w:br/>
              <w:t>(unaudited)</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Interactions </w:t>
              <w:br/>
              <w:t xml:space="preserve">Transaction </w:t>
              <w:br/>
              <w:t xml:space="preserve">Accounting </w:t>
              <w:br/>
              <w:t>Adjustments</w:t>
            </w:r>
          </w:p>
        </w:tc>
        <w:tc>
          <w:tcPr>
            <w:tcW w:w="98"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943" w:type="dxa"/>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62" w:type="dxa"/>
            <w:tcBorders/>
            <w:vAlign w:val="center"/>
          </w:tcPr>
          <w:p>
            <w:pPr>
              <w:pStyle w:val="TableContents"/>
              <w:bidi w:val="0"/>
              <w:spacing w:before="0" w:after="283"/>
              <w:jc w:val="left"/>
              <w:rPr/>
            </w:pPr>
            <w:r>
              <w:rPr/>
              <w:t> </w:t>
            </w:r>
          </w:p>
        </w:tc>
        <w:tc>
          <w:tcPr>
            <w:tcW w:w="13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Interactions </w:t>
              <w:br/>
              <w:t xml:space="preserve">Historical &amp; </w:t>
              <w:br/>
              <w:t xml:space="preserve">Transaction </w:t>
              <w:br/>
              <w:t xml:space="preserve">Accounting </w:t>
              <w:br/>
              <w:t>Adjustments</w:t>
            </w:r>
          </w:p>
        </w:tc>
        <w:tc>
          <w:tcPr>
            <w:tcW w:w="75"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42,781</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42,781</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Cost of revenues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20,323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(4,932</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pPr>
            <w:r>
              <w:rPr/>
              <w:t>3(a), 3(b)</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15,391</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6,426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(323</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3(b)</w:t>
            </w:r>
          </w:p>
        </w:tc>
        <w:tc>
          <w:tcPr>
            <w:tcW w:w="62"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6,103</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2,416</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2,416</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12,912</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12,912</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37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3,790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pPr>
            <w:r>
              <w:rPr/>
              <w:t>3(a)</w:t>
            </w:r>
          </w:p>
        </w:tc>
        <w:tc>
          <w:tcPr>
            <w:tcW w:w="62"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3,827</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42,114</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(1,465</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40,649</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Income from operations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667</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1,465</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2,132</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(4,060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4,060</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3(c)</w:t>
            </w:r>
          </w:p>
        </w:tc>
        <w:tc>
          <w:tcPr>
            <w:tcW w:w="62"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87"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1,380</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3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CCEEFF" w:val="clear"/>
            <w:tcMar>
              <w:bottom w:w="28" w:type="dxa"/>
            </w:tcMar>
            <w:vAlign w:val="center"/>
          </w:tcPr>
          <w:p>
            <w:pPr>
              <w:pStyle w:val="TableContents"/>
              <w:bidi w:val="0"/>
              <w:spacing w:before="0" w:after="283"/>
              <w:jc w:val="right"/>
              <w:rPr/>
            </w:pPr>
            <w:r>
              <w:rPr/>
              <w:t>(1,092</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pPr>
            <w:r>
              <w:rPr/>
              <w:t>3(d)</w:t>
            </w:r>
          </w:p>
        </w:tc>
        <w:tc>
          <w:tcPr>
            <w:tcW w:w="62" w:type="dxa"/>
            <w:tcBorders/>
            <w:shd w:fill="CCEEFF" w:val="clear"/>
            <w:vAlign w:val="center"/>
          </w:tcPr>
          <w:p>
            <w:pPr>
              <w:pStyle w:val="TableContents"/>
              <w:bidi w:val="0"/>
              <w:spacing w:before="0" w:after="283"/>
              <w:jc w:val="left"/>
              <w:rPr/>
            </w:pPr>
            <w:r>
              <w:rPr/>
              <w:t> </w:t>
            </w:r>
          </w:p>
        </w:tc>
        <w:tc>
          <w:tcPr>
            <w:tcW w:w="22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CCEEFF" w:val="clear"/>
            <w:tcMar>
              <w:bottom w:w="28" w:type="dxa"/>
            </w:tcMar>
            <w:vAlign w:val="center"/>
          </w:tcPr>
          <w:p>
            <w:pPr>
              <w:pStyle w:val="TableContents"/>
              <w:bidi w:val="0"/>
              <w:spacing w:before="0" w:after="283"/>
              <w:jc w:val="right"/>
              <w:rPr/>
            </w:pPr>
            <w:r>
              <w:rPr/>
              <w:t>288</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(2,680</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2,968</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Loss before provision (benefit) for income taxes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(2,013</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4,433</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2,420</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(629</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629</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3(e)</w:t>
            </w:r>
          </w:p>
        </w:tc>
        <w:tc>
          <w:tcPr>
            <w:tcW w:w="62"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(1,384</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074" w:type="dxa"/>
            <w:tcBorders/>
            <w:shd w:fill="CCEEFF" w:val="clear"/>
            <w:vAlign w:val="center"/>
          </w:tcPr>
          <w:p>
            <w:pPr>
              <w:pStyle w:val="TableContents"/>
              <w:bidi w:val="0"/>
              <w:spacing w:before="0" w:after="283"/>
              <w:jc w:val="right"/>
              <w:rPr/>
            </w:pPr>
            <w:r>
              <w:rPr/>
              <w:t>3,804</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2,420</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left"/>
              <w:rPr/>
            </w:pPr>
            <w:r>
              <w:rPr/>
              <w:t>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(276</w:t>
            </w:r>
          </w:p>
        </w:tc>
        <w:tc>
          <w:tcPr>
            <w:tcW w:w="98"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23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74" w:type="dxa"/>
            <w:tcBorders>
              <w:bottom w:val="single" w:sz="12" w:space="0" w:color="000000"/>
            </w:tcBorders>
            <w:shd w:fill="FFFFFF" w:val="clear"/>
            <w:tcMar>
              <w:bottom w:w="28" w:type="dxa"/>
            </w:tcMar>
            <w:vAlign w:val="center"/>
          </w:tcPr>
          <w:p>
            <w:pPr>
              <w:pStyle w:val="TableContents"/>
              <w:bidi w:val="0"/>
              <w:spacing w:before="0" w:after="283"/>
              <w:jc w:val="right"/>
              <w:rPr/>
            </w:pPr>
            <w:r>
              <w:rPr/>
              <w:t>276</w:t>
            </w:r>
          </w:p>
        </w:tc>
        <w:tc>
          <w:tcPr>
            <w:tcW w:w="98"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43" w:type="dxa"/>
            <w:tcBorders/>
            <w:shd w:fill="FFFFFF" w:val="clear"/>
            <w:vAlign w:val="center"/>
          </w:tcPr>
          <w:p>
            <w:pPr>
              <w:pStyle w:val="TableContents"/>
              <w:bidi w:val="0"/>
              <w:spacing w:before="0" w:after="283"/>
              <w:jc w:val="center"/>
              <w:rPr/>
            </w:pPr>
            <w:r>
              <w:rPr/>
              <w:t>3(f)</w:t>
            </w:r>
          </w:p>
        </w:tc>
        <w:tc>
          <w:tcPr>
            <w:tcW w:w="62" w:type="dxa"/>
            <w:tcBorders/>
            <w:shd w:fill="FFFFFF" w:val="clear"/>
            <w:vAlign w:val="center"/>
          </w:tcPr>
          <w:p>
            <w:pPr>
              <w:pStyle w:val="TableContents"/>
              <w:bidi w:val="0"/>
              <w:spacing w:before="0" w:after="283"/>
              <w:jc w:val="left"/>
              <w:rPr/>
            </w:pPr>
            <w:r>
              <w:rPr/>
              <w:t> </w:t>
            </w:r>
          </w:p>
        </w:tc>
        <w:tc>
          <w:tcPr>
            <w:tcW w:w="22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7"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Net loss attributable to Interactions</w:t>
            </w:r>
          </w:p>
        </w:tc>
        <w:tc>
          <w:tcPr>
            <w:tcW w:w="60" w:type="dxa"/>
            <w:tcBorders/>
            <w:shd w:fill="CCEEFF" w:val="clear"/>
            <w:vAlign w:val="center"/>
          </w:tcPr>
          <w:p>
            <w:pPr>
              <w:pStyle w:val="TableContents"/>
              <w:bidi w:val="0"/>
              <w:spacing w:before="0" w:after="283"/>
              <w:jc w:val="left"/>
              <w:rPr/>
            </w:pPr>
            <w:r>
              <w:rPr/>
              <w:t> </w:t>
            </w:r>
          </w:p>
        </w:tc>
        <w:tc>
          <w:tcPr>
            <w:tcW w:w="22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CCEEFF" w:val="clear"/>
            <w:tcMar>
              <w:bottom w:w="28" w:type="dxa"/>
            </w:tcMar>
            <w:vAlign w:val="center"/>
          </w:tcPr>
          <w:p>
            <w:pPr>
              <w:pStyle w:val="TableContents"/>
              <w:bidi w:val="0"/>
              <w:spacing w:before="0" w:after="283"/>
              <w:jc w:val="right"/>
              <w:rPr/>
            </w:pPr>
            <w:r>
              <w:rPr/>
              <w:t>(1,108</w:t>
            </w:r>
          </w:p>
        </w:tc>
        <w:tc>
          <w:tcPr>
            <w:tcW w:w="98"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236"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74" w:type="dxa"/>
            <w:tcBorders>
              <w:bottom w:val="double" w:sz="10" w:space="0" w:color="000000"/>
            </w:tcBorders>
            <w:shd w:fill="CCEEFF" w:val="clear"/>
            <w:tcMar>
              <w:bottom w:w="28" w:type="dxa"/>
            </w:tcMar>
            <w:vAlign w:val="center"/>
          </w:tcPr>
          <w:p>
            <w:pPr>
              <w:pStyle w:val="TableContents"/>
              <w:bidi w:val="0"/>
              <w:spacing w:before="0" w:after="283"/>
              <w:jc w:val="right"/>
              <w:rPr/>
            </w:pPr>
            <w:r>
              <w:rPr/>
              <w:t>3,528</w:t>
            </w:r>
          </w:p>
        </w:tc>
        <w:tc>
          <w:tcPr>
            <w:tcW w:w="98"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43" w:type="dxa"/>
            <w:tcBorders/>
            <w:shd w:fill="CCEEFF" w:val="clear"/>
            <w:vAlign w:val="center"/>
          </w:tcPr>
          <w:p>
            <w:pPr>
              <w:pStyle w:val="TableContents"/>
              <w:bidi w:val="0"/>
              <w:spacing w:before="0" w:after="283"/>
              <w:jc w:val="center"/>
              <w:rPr/>
            </w:pPr>
            <w:r>
              <w:rPr/>
              <w:t> </w:t>
            </w:r>
          </w:p>
        </w:tc>
        <w:tc>
          <w:tcPr>
            <w:tcW w:w="62" w:type="dxa"/>
            <w:tcBorders/>
            <w:shd w:fill="CCEEFF" w:val="clear"/>
            <w:vAlign w:val="center"/>
          </w:tcPr>
          <w:p>
            <w:pPr>
              <w:pStyle w:val="TableContents"/>
              <w:bidi w:val="0"/>
              <w:spacing w:before="0" w:after="283"/>
              <w:jc w:val="left"/>
              <w:rPr/>
            </w:pPr>
            <w:r>
              <w:rPr/>
              <w:t> </w:t>
            </w:r>
          </w:p>
        </w:tc>
        <w:tc>
          <w:tcPr>
            <w:tcW w:w="22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7" w:type="dxa"/>
            <w:tcBorders>
              <w:bottom w:val="double" w:sz="10" w:space="0" w:color="000000"/>
            </w:tcBorders>
            <w:shd w:fill="CCEEFF" w:val="clear"/>
            <w:tcMar>
              <w:bottom w:w="28" w:type="dxa"/>
            </w:tcMar>
            <w:vAlign w:val="center"/>
          </w:tcPr>
          <w:p>
            <w:pPr>
              <w:pStyle w:val="TableContents"/>
              <w:bidi w:val="0"/>
              <w:spacing w:before="0" w:after="283"/>
              <w:jc w:val="right"/>
              <w:rPr/>
            </w:pPr>
            <w:r>
              <w:rPr/>
              <w:t>2,420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(a)</w:t>
            </w:r>
          </w:p>
        </w:tc>
        <w:tc>
          <w:tcPr>
            <w:tcW w:w="9970" w:type="dxa"/>
            <w:tcBorders/>
            <w:vAlign w:val="center"/>
          </w:tcPr>
          <w:p>
            <w:pPr>
              <w:pStyle w:val="TableContents"/>
              <w:bidi w:val="0"/>
              <w:spacing w:before="0" w:after="283"/>
              <w:jc w:val="both"/>
              <w:rPr/>
            </w:pPr>
            <w:r>
              <w:rPr/>
              <w:t>Reflects the elimination of Interactions’ historical amortization expense and the recognition of new amortization expense related to the acquired identifiable intangible assets based on the fair value as of the acquisition date. Amortization expense is calculated based on the fair value of each of the identifiable intangible assets and the associated useful lives.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intangible assets have been amortized using a straight-line method based on their estimated useful lives as if the Acquisition had been completed on January 1, 2025.</w:t>
      </w:r>
    </w:p>
    <w:p>
      <w:pPr>
        <w:pStyle w:val="TextBody"/>
        <w:bidi w:val="0"/>
        <w:spacing w:before="0" w:after="0"/>
        <w:ind w:left="0" w:right="0" w:firstLine="360"/>
        <w:jc w:val="both"/>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5795"/>
        <w:gridCol w:w="60"/>
        <w:gridCol w:w="292"/>
        <w:gridCol w:w="1168"/>
        <w:gridCol w:w="60"/>
        <w:gridCol w:w="60"/>
        <w:gridCol w:w="980"/>
      </w:tblGrid>
      <w:tr>
        <w:trPr/>
        <w:tc>
          <w:tcPr>
            <w:tcW w:w="5795" w:type="dxa"/>
            <w:tcBorders>
              <w:bottom w:val="single" w:sz="12" w:space="0" w:color="000000"/>
            </w:tcBorders>
            <w:vAlign w:val="center"/>
          </w:tcPr>
          <w:p>
            <w:pPr>
              <w:pStyle w:val="TableContents"/>
              <w:bidi w:val="0"/>
              <w:spacing w:before="0" w:after="283"/>
              <w:jc w:val="left"/>
              <w:rPr>
                <w:b/>
              </w:rPr>
            </w:pPr>
            <w:r>
              <w:rPr>
                <w:b/>
              </w:rPr>
              <w:t>Intangible assets acquired</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period from </w:t>
              <w:br/>
              <w:t xml:space="preserve">January 1, </w:t>
              <w:br/>
              <w:t xml:space="preserve">2025 to </w:t>
              <w:br/>
              <w:t xml:space="preserve">September 2,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r>
            <w:r>
              <w:rPr>
                <w:rFonts w:ascii="Times New Roman;Times;Serif" w:hAnsi="Times New Roman;Times;Serif"/>
                <w:b/>
                <w:sz w:val="20"/>
                <w:u w:val="single"/>
              </w:rPr>
              <w:br/>
            </w:r>
            <w:r>
              <w:rPr>
                <w:rFonts w:ascii="Times New Roman;Times;Serif" w:hAnsi="Times New Roman;Times;Serif"/>
                <w:b/>
                <w:sz w:val="20"/>
              </w:rPr>
              <w:t>useful life</w:t>
            </w:r>
          </w:p>
        </w:tc>
      </w:tr>
      <w:tr>
        <w:trPr/>
        <w:tc>
          <w:tcPr>
            <w:tcW w:w="57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tcMar>
              <w:bottom w:w="0" w:type="dxa"/>
            </w:tcMar>
            <w:vAlign w:val="center"/>
          </w:tcPr>
          <w:p>
            <w:pPr>
              <w:pStyle w:val="TableContents"/>
              <w:bidi w:val="0"/>
              <w:spacing w:before="0" w:after="283"/>
              <w:jc w:val="center"/>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tcBorders/>
            <w:tcMar>
              <w:bottom w:w="0" w:type="dxa"/>
            </w:tcMar>
            <w:vAlign w:val="center"/>
          </w:tcPr>
          <w:p>
            <w:pPr>
              <w:pStyle w:val="TableContents"/>
              <w:bidi w:val="0"/>
              <w:spacing w:before="0" w:after="283"/>
              <w:jc w:val="center"/>
              <w:rPr>
                <w:b/>
              </w:rPr>
            </w:pPr>
            <w:r>
              <w:rPr>
                <w:b/>
              </w:rPr>
              <w:t>(in years)</w:t>
            </w:r>
          </w:p>
        </w:tc>
      </w:tr>
      <w:tr>
        <w:trPr/>
        <w:tc>
          <w:tcPr>
            <w:tcW w:w="5795" w:type="dxa"/>
            <w:tcBorders/>
            <w:shd w:fill="CCEEFF" w:val="clear"/>
            <w:tcMar>
              <w:bottom w:w="0" w:type="dxa"/>
            </w:tcMar>
            <w:vAlign w:val="center"/>
          </w:tcPr>
          <w:p>
            <w:pPr>
              <w:pStyle w:val="TableContents"/>
              <w:bidi w:val="0"/>
              <w:spacing w:before="0" w:after="283"/>
              <w:jc w:val="left"/>
              <w:rPr/>
            </w:pPr>
            <w:r>
              <w:rPr/>
              <w:t>Trademark/Trade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267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2</w:t>
            </w:r>
          </w:p>
        </w:tc>
      </w:tr>
      <w:tr>
        <w:trPr/>
        <w:tc>
          <w:tcPr>
            <w:tcW w:w="5795" w:type="dxa"/>
            <w:tcBorders/>
            <w:shd w:fill="FFFFFF" w:val="clear"/>
            <w:tcMar>
              <w:bottom w:w="0" w:type="dxa"/>
            </w:tcMar>
            <w:vAlign w:val="center"/>
          </w:tcPr>
          <w:p>
            <w:pPr>
              <w:pStyle w:val="TableContents"/>
              <w:bidi w:val="0"/>
              <w:spacing w:before="0" w:after="283"/>
              <w:jc w:val="left"/>
              <w:rPr/>
            </w:pPr>
            <w:r>
              <w:rPr/>
              <w:t>Customer relationships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3,560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center"/>
              <w:rPr/>
            </w:pPr>
            <w:r>
              <w:rPr/>
              <w:t>5</w:t>
            </w:r>
          </w:p>
        </w:tc>
      </w:tr>
      <w:tr>
        <w:trPr/>
        <w:tc>
          <w:tcPr>
            <w:tcW w:w="5795" w:type="dxa"/>
            <w:tcBorders/>
            <w:shd w:fill="CCEEFF" w:val="clear"/>
            <w:tcMar>
              <w:bottom w:w="0" w:type="dxa"/>
            </w:tcMar>
            <w:vAlign w:val="center"/>
          </w:tcPr>
          <w:p>
            <w:pPr>
              <w:pStyle w:val="TableContents"/>
              <w:bidi w:val="0"/>
              <w:spacing w:before="0" w:after="283"/>
              <w:jc w:val="left"/>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bottom w:val="single" w:sz="12" w:space="0" w:color="000000"/>
            </w:tcBorders>
            <w:shd w:fill="CCEEFF" w:val="clear"/>
            <w:vAlign w:val="center"/>
          </w:tcPr>
          <w:p>
            <w:pPr>
              <w:pStyle w:val="TableContents"/>
              <w:bidi w:val="0"/>
              <w:spacing w:before="0" w:after="283"/>
              <w:jc w:val="left"/>
              <w:rPr/>
            </w:pPr>
            <w:r>
              <w:rPr/>
              <w:t> </w:t>
            </w:r>
          </w:p>
        </w:tc>
        <w:tc>
          <w:tcPr>
            <w:tcW w:w="1168" w:type="dxa"/>
            <w:tcBorders>
              <w:bottom w:val="single" w:sz="12" w:space="0" w:color="000000"/>
            </w:tcBorders>
            <w:shd w:fill="CCEEFF" w:val="clear"/>
            <w:vAlign w:val="center"/>
          </w:tcPr>
          <w:p>
            <w:pPr>
              <w:pStyle w:val="TableContents"/>
              <w:bidi w:val="0"/>
              <w:spacing w:before="0" w:after="283"/>
              <w:jc w:val="right"/>
              <w:rPr/>
            </w:pPr>
            <w:r>
              <w:rPr/>
              <w:t>1,600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5</w:t>
            </w:r>
          </w:p>
        </w:tc>
      </w:tr>
      <w:tr>
        <w:trPr/>
        <w:tc>
          <w:tcPr>
            <w:tcW w:w="5795" w:type="dxa"/>
            <w:tcBorders/>
            <w:shd w:fill="FFFFFF" w:val="clear"/>
            <w:tcMar>
              <w:bottom w:w="0" w:type="dxa"/>
            </w:tcMar>
            <w:vAlign w:val="center"/>
          </w:tcPr>
          <w:p>
            <w:pPr>
              <w:pStyle w:val="TableContents"/>
              <w:bidi w:val="0"/>
              <w:spacing w:before="0" w:after="283"/>
              <w:jc w:val="left"/>
              <w:rPr>
                <w:b/>
              </w:rPr>
            </w:pPr>
            <w:r>
              <w:rPr>
                <w:b/>
              </w:rPr>
              <w:t>Total amortization expense for acquired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10" w:space="0" w:color="000000"/>
            </w:tcBorders>
            <w:shd w:fill="FFFFFF" w:val="clear"/>
            <w:vAlign w:val="center"/>
          </w:tcPr>
          <w:p>
            <w:pPr>
              <w:pStyle w:val="TableContents"/>
              <w:bidi w:val="0"/>
              <w:spacing w:before="0" w:after="283"/>
              <w:jc w:val="left"/>
              <w:rPr/>
            </w:pPr>
            <w:r>
              <w:rPr/>
              <w:t>$</w:t>
            </w:r>
          </w:p>
        </w:tc>
        <w:tc>
          <w:tcPr>
            <w:tcW w:w="1168" w:type="dxa"/>
            <w:tcBorders>
              <w:bottom w:val="double" w:sz="10" w:space="0" w:color="000000"/>
            </w:tcBorders>
            <w:shd w:fill="FFFFFF" w:val="clear"/>
            <w:vAlign w:val="center"/>
          </w:tcPr>
          <w:p>
            <w:pPr>
              <w:pStyle w:val="TableContents"/>
              <w:bidi w:val="0"/>
              <w:spacing w:before="0" w:after="283"/>
              <w:jc w:val="right"/>
              <w:rPr/>
            </w:pPr>
            <w:r>
              <w:rPr/>
              <w:t>5,427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Cost of revenues —</w:t>
      </w:r>
    </w:p>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7190"/>
        <w:gridCol w:w="60"/>
        <w:gridCol w:w="292"/>
        <w:gridCol w:w="1168"/>
        <w:gridCol w:w="75"/>
      </w:tblGrid>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period from </w:t>
              <w:br/>
              <w:t xml:space="preserve">January 1, </w:t>
              <w:br/>
              <w:t xml:space="preserve">2025 to </w:t>
              <w:br/>
              <w:t xml:space="preserve">September 2, </w:t>
              <w:br/>
              <w:t>2025</w:t>
            </w:r>
          </w:p>
        </w:tc>
        <w:tc>
          <w:tcPr>
            <w:tcW w:w="75" w:type="dxa"/>
            <w:tcBorders/>
            <w:vAlign w:val="center"/>
          </w:tcPr>
          <w:p>
            <w:pPr>
              <w:pStyle w:val="TableContents"/>
              <w:bidi w:val="0"/>
              <w:spacing w:before="0" w:after="283"/>
              <w:jc w:val="left"/>
              <w:rPr/>
            </w:pPr>
            <w:r>
              <w:rPr/>
              <w:t> </w:t>
            </w:r>
          </w:p>
        </w:tc>
      </w:tr>
      <w:tr>
        <w:trPr/>
        <w:tc>
          <w:tcPr>
            <w:tcW w:w="7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pPr>
            <w:r>
              <w:rPr/>
              <w:t>Amortization expense for acquired intangible assets (developed technology)</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1,600</w:t>
            </w:r>
          </w:p>
        </w:tc>
        <w:tc>
          <w:tcPr>
            <w:tcW w:w="75" w:type="dxa"/>
            <w:tcBorders/>
            <w:shd w:fill="CCEEFF" w:val="clear"/>
            <w:vAlign w:val="center"/>
          </w:tcPr>
          <w:p>
            <w:pPr>
              <w:pStyle w:val="TableContents"/>
              <w:bidi w:val="0"/>
              <w:spacing w:before="0" w:after="283"/>
              <w:jc w:val="left"/>
              <w:rPr/>
            </w:pPr>
            <w:r>
              <w:rPr/>
              <w:t> </w:t>
            </w:r>
          </w:p>
        </w:tc>
      </w:tr>
      <w:tr>
        <w:trPr/>
        <w:tc>
          <w:tcPr>
            <w:tcW w:w="7190" w:type="dxa"/>
            <w:tcBorders/>
            <w:shd w:fill="FFFFFF" w:val="clear"/>
            <w:vAlign w:val="center"/>
          </w:tcPr>
          <w:p>
            <w:pPr>
              <w:pStyle w:val="TableContents"/>
              <w:bidi w:val="0"/>
              <w:spacing w:before="0" w:after="283"/>
              <w:jc w:val="left"/>
              <w:rPr/>
            </w:pPr>
            <w:r>
              <w:rPr/>
              <w:t>Elimination of historical Interactions’ intangible asset amortization expense</w:t>
            </w:r>
          </w:p>
        </w:tc>
        <w:tc>
          <w:tcPr>
            <w:tcW w:w="60" w:type="dxa"/>
            <w:tcBorders/>
            <w:shd w:fill="FFFFFF" w:val="clear"/>
            <w:vAlign w:val="center"/>
          </w:tcPr>
          <w:p>
            <w:pPr>
              <w:pStyle w:val="TableContents"/>
              <w:bidi w:val="0"/>
              <w:spacing w:before="0" w:after="283"/>
              <w:jc w:val="left"/>
              <w:rPr/>
            </w:pPr>
            <w:r>
              <w:rPr/>
              <w:t> </w:t>
            </w:r>
          </w:p>
        </w:tc>
        <w:tc>
          <w:tcPr>
            <w:tcW w:w="2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7190" w:type="dxa"/>
            <w:tcBorders/>
            <w:shd w:fill="CCEEFF" w:val="clear"/>
            <w:vAlign w:val="center"/>
          </w:tcPr>
          <w:p>
            <w:pPr>
              <w:pStyle w:val="TableContents"/>
              <w:bidi w:val="0"/>
              <w:spacing w:before="0" w:after="283"/>
              <w:jc w:val="left"/>
              <w:rPr>
                <w:b/>
              </w:rPr>
            </w:pPr>
            <w:r>
              <w:rPr>
                <w:b/>
              </w:rPr>
              <w:t>Net adjustment to cost of revenues</w:t>
            </w:r>
          </w:p>
        </w:tc>
        <w:tc>
          <w:tcPr>
            <w:tcW w:w="60" w:type="dxa"/>
            <w:tcBorders/>
            <w:shd w:fill="CCEEFF" w:val="clear"/>
            <w:vAlign w:val="center"/>
          </w:tcPr>
          <w:p>
            <w:pPr>
              <w:pStyle w:val="TableContents"/>
              <w:bidi w:val="0"/>
              <w:spacing w:before="0" w:after="283"/>
              <w:jc w:val="left"/>
              <w:rPr/>
            </w:pPr>
            <w:r>
              <w:rPr/>
              <w:t> </w:t>
            </w:r>
          </w:p>
        </w:tc>
        <w:tc>
          <w:tcPr>
            <w:tcW w:w="292"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10" w:space="0" w:color="000000"/>
            </w:tcBorders>
            <w:shd w:fill="CCEEFF" w:val="clear"/>
            <w:tcMar>
              <w:bottom w:w="28" w:type="dxa"/>
            </w:tcMar>
            <w:vAlign w:val="center"/>
          </w:tcPr>
          <w:p>
            <w:pPr>
              <w:pStyle w:val="TableContents"/>
              <w:bidi w:val="0"/>
              <w:spacing w:before="0" w:after="283"/>
              <w:jc w:val="right"/>
              <w:rPr/>
            </w:pPr>
            <w:r>
              <w:rPr/>
              <w:t>1,600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Amortization of intangible assets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85"/>
        <w:gridCol w:w="60"/>
        <w:gridCol w:w="290"/>
        <w:gridCol w:w="1159"/>
        <w:gridCol w:w="111"/>
      </w:tblGrid>
      <w:tr>
        <w:trPr/>
        <w:tc>
          <w:tcPr>
            <w:tcW w:w="8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period from</w:t>
              <w:br/>
              <w:t xml:space="preserve">January 1, </w:t>
              <w:br/>
              <w:t xml:space="preserve">2025 to </w:t>
              <w:br/>
              <w:t xml:space="preserve">September 2, </w:t>
              <w:br/>
              <w:t>2025</w:t>
            </w:r>
          </w:p>
        </w:tc>
        <w:tc>
          <w:tcPr>
            <w:tcW w:w="111" w:type="dxa"/>
            <w:tcBorders/>
            <w:vAlign w:val="center"/>
          </w:tcPr>
          <w:p>
            <w:pPr>
              <w:pStyle w:val="TableContents"/>
              <w:bidi w:val="0"/>
              <w:spacing w:before="0" w:after="283"/>
              <w:jc w:val="left"/>
              <w:rPr/>
            </w:pPr>
            <w:r>
              <w:rPr/>
              <w:t> </w:t>
            </w:r>
          </w:p>
        </w:tc>
      </w:tr>
      <w:tr>
        <w:trPr/>
        <w:tc>
          <w:tcPr>
            <w:tcW w:w="8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9" w:type="dxa"/>
            <w:gridSpan w:val="2"/>
            <w:tcBorders/>
            <w:vAlign w:val="center"/>
          </w:tcPr>
          <w:p>
            <w:pPr>
              <w:pStyle w:val="TableContents"/>
              <w:bidi w:val="0"/>
              <w:spacing w:before="0" w:after="283"/>
              <w:jc w:val="center"/>
              <w:rPr>
                <w:b/>
              </w:rPr>
            </w:pPr>
            <w:r>
              <w:rPr>
                <w:b/>
              </w:rPr>
              <w:t>(in thousands)</w:t>
            </w:r>
          </w:p>
        </w:tc>
        <w:tc>
          <w:tcPr>
            <w:tcW w:w="111" w:type="dxa"/>
            <w:tcBorders/>
            <w:vAlign w:val="center"/>
          </w:tcPr>
          <w:p>
            <w:pPr>
              <w:pStyle w:val="TableContents"/>
              <w:bidi w:val="0"/>
              <w:spacing w:before="0" w:after="283"/>
              <w:jc w:val="left"/>
              <w:rPr/>
            </w:pPr>
            <w:r>
              <w:rPr/>
              <w:t> </w:t>
            </w:r>
          </w:p>
        </w:tc>
      </w:tr>
      <w:tr>
        <w:trPr/>
        <w:tc>
          <w:tcPr>
            <w:tcW w:w="8585" w:type="dxa"/>
            <w:tcBorders/>
            <w:shd w:fill="CCEEFF" w:val="clear"/>
            <w:vAlign w:val="center"/>
          </w:tcPr>
          <w:p>
            <w:pPr>
              <w:pStyle w:val="TableContents"/>
              <w:bidi w:val="0"/>
              <w:spacing w:before="0" w:after="283"/>
              <w:jc w:val="left"/>
              <w:rPr/>
            </w:pPr>
            <w:r>
              <w:rPr/>
              <w:t>Amortization expense for acquired intangible assets (customer relationships and trademark/trade name)</w:t>
            </w:r>
          </w:p>
        </w:tc>
        <w:tc>
          <w:tcPr>
            <w:tcW w:w="6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w:t>
            </w:r>
          </w:p>
        </w:tc>
        <w:tc>
          <w:tcPr>
            <w:tcW w:w="1159" w:type="dxa"/>
            <w:tcBorders/>
            <w:shd w:fill="CCEEFF" w:val="clear"/>
            <w:vAlign w:val="center"/>
          </w:tcPr>
          <w:p>
            <w:pPr>
              <w:pStyle w:val="TableContents"/>
              <w:bidi w:val="0"/>
              <w:spacing w:before="0" w:after="283"/>
              <w:jc w:val="right"/>
              <w:rPr/>
            </w:pPr>
            <w:r>
              <w:rPr/>
              <w:t>3,827</w:t>
            </w:r>
          </w:p>
        </w:tc>
        <w:tc>
          <w:tcPr>
            <w:tcW w:w="111" w:type="dxa"/>
            <w:tcBorders/>
            <w:shd w:fill="CCEEFF" w:val="clear"/>
            <w:vAlign w:val="center"/>
          </w:tcPr>
          <w:p>
            <w:pPr>
              <w:pStyle w:val="TableContents"/>
              <w:bidi w:val="0"/>
              <w:spacing w:before="0" w:after="283"/>
              <w:jc w:val="left"/>
              <w:rPr/>
            </w:pPr>
            <w:r>
              <w:rPr/>
              <w:t> </w:t>
            </w:r>
          </w:p>
        </w:tc>
      </w:tr>
      <w:tr>
        <w:trPr/>
        <w:tc>
          <w:tcPr>
            <w:tcW w:w="8585" w:type="dxa"/>
            <w:tcBorders/>
            <w:shd w:fill="FFFFFF" w:val="clear"/>
            <w:vAlign w:val="center"/>
          </w:tcPr>
          <w:p>
            <w:pPr>
              <w:pStyle w:val="TableContents"/>
              <w:bidi w:val="0"/>
              <w:spacing w:before="0" w:after="283"/>
              <w:jc w:val="left"/>
              <w:rPr/>
            </w:pPr>
            <w:r>
              <w:rPr/>
              <w:t>Elimination of historical Interactions’ intangible asset amortization expense</w:t>
            </w:r>
          </w:p>
        </w:tc>
        <w:tc>
          <w:tcPr>
            <w:tcW w:w="60" w:type="dxa"/>
            <w:tcBorders/>
            <w:shd w:fill="FFFFFF" w:val="clear"/>
            <w:vAlign w:val="center"/>
          </w:tcPr>
          <w:p>
            <w:pPr>
              <w:pStyle w:val="TableContents"/>
              <w:bidi w:val="0"/>
              <w:spacing w:before="0" w:after="283"/>
              <w:jc w:val="left"/>
              <w:rPr/>
            </w:pPr>
            <w:r>
              <w:rPr/>
              <w:t> </w:t>
            </w:r>
          </w:p>
        </w:tc>
        <w:tc>
          <w:tcPr>
            <w:tcW w:w="2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9" w:type="dxa"/>
            <w:tcBorders>
              <w:bottom w:val="single" w:sz="12" w:space="0" w:color="000000"/>
            </w:tcBorders>
            <w:shd w:fill="FFFFFF" w:val="clear"/>
            <w:tcMar>
              <w:bottom w:w="28" w:type="dxa"/>
            </w:tcMar>
            <w:vAlign w:val="center"/>
          </w:tcPr>
          <w:p>
            <w:pPr>
              <w:pStyle w:val="TableContents"/>
              <w:bidi w:val="0"/>
              <w:spacing w:before="0" w:after="283"/>
              <w:jc w:val="right"/>
              <w:rPr/>
            </w:pPr>
            <w:r>
              <w:rPr/>
              <w:t>(37</w:t>
            </w:r>
          </w:p>
        </w:tc>
        <w:tc>
          <w:tcPr>
            <w:tcW w:w="111" w:type="dxa"/>
            <w:tcBorders/>
            <w:shd w:fill="FFFFFF" w:val="clear"/>
            <w:vAlign w:val="center"/>
          </w:tcPr>
          <w:p>
            <w:pPr>
              <w:pStyle w:val="TableContents"/>
              <w:bidi w:val="0"/>
              <w:spacing w:before="0" w:after="283"/>
              <w:jc w:val="left"/>
              <w:rPr/>
            </w:pPr>
            <w:r>
              <w:rPr/>
              <w:t>)</w:t>
            </w:r>
          </w:p>
        </w:tc>
      </w:tr>
      <w:tr>
        <w:trPr/>
        <w:tc>
          <w:tcPr>
            <w:tcW w:w="8585" w:type="dxa"/>
            <w:tcBorders/>
            <w:shd w:fill="CCEEFF" w:val="clear"/>
            <w:vAlign w:val="center"/>
          </w:tcPr>
          <w:p>
            <w:pPr>
              <w:pStyle w:val="TableContents"/>
              <w:bidi w:val="0"/>
              <w:spacing w:before="0" w:after="283"/>
              <w:jc w:val="left"/>
              <w:rPr>
                <w:b/>
              </w:rPr>
            </w:pPr>
            <w:r>
              <w:rPr>
                <w:b/>
              </w:rPr>
              <w:t>Net adjustment to amortization of intangible assets</w:t>
            </w:r>
          </w:p>
        </w:tc>
        <w:tc>
          <w:tcPr>
            <w:tcW w:w="60" w:type="dxa"/>
            <w:tcBorders/>
            <w:shd w:fill="CCEEFF" w:val="clear"/>
            <w:vAlign w:val="center"/>
          </w:tcPr>
          <w:p>
            <w:pPr>
              <w:pStyle w:val="TableContents"/>
              <w:bidi w:val="0"/>
              <w:spacing w:before="0" w:after="283"/>
              <w:jc w:val="left"/>
              <w:rPr/>
            </w:pPr>
            <w:r>
              <w:rPr/>
              <w:t> </w:t>
            </w:r>
          </w:p>
        </w:tc>
        <w:tc>
          <w:tcPr>
            <w:tcW w:w="29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59" w:type="dxa"/>
            <w:tcBorders>
              <w:bottom w:val="double" w:sz="10" w:space="0" w:color="000000"/>
            </w:tcBorders>
            <w:shd w:fill="CCEEFF" w:val="clear"/>
            <w:tcMar>
              <w:bottom w:w="28" w:type="dxa"/>
            </w:tcMar>
            <w:vAlign w:val="center"/>
          </w:tcPr>
          <w:p>
            <w:pPr>
              <w:pStyle w:val="TableContents"/>
              <w:bidi w:val="0"/>
              <w:spacing w:before="0" w:after="283"/>
              <w:jc w:val="right"/>
              <w:rPr/>
            </w:pPr>
            <w:r>
              <w:rPr/>
              <w:t>3,790</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(b)</w:t>
            </w:r>
          </w:p>
        </w:tc>
        <w:tc>
          <w:tcPr>
            <w:tcW w:w="9921" w:type="dxa"/>
            <w:tcBorders/>
            <w:vAlign w:val="center"/>
          </w:tcPr>
          <w:p>
            <w:pPr>
              <w:pStyle w:val="TableContents"/>
              <w:bidi w:val="0"/>
              <w:spacing w:before="0" w:after="283"/>
              <w:jc w:val="both"/>
              <w:rPr/>
            </w:pPr>
            <w:r>
              <w:rPr/>
              <w:t>Reflects the elimination of historical deferred commission amortization and capitalized contract expense from sales and marketing expenses, and historical amortization of capitalized software development costs from Cost of revenues.</w:t>
            </w:r>
          </w:p>
        </w:tc>
      </w:tr>
    </w:tbl>
    <w:p>
      <w:pPr>
        <w:pStyle w:val="TextBody"/>
        <w:bidi w:val="0"/>
        <w:spacing w:before="0" w:after="0"/>
        <w:ind w:left="360" w:right="0" w:hanging="360"/>
        <w:jc w:val="both"/>
        <w:rPr>
          <w:caps w:val="false"/>
          <w:smallCaps w:val="false"/>
        </w:rPr>
      </w:pPr>
      <w:r>
        <w:rPr>
          <w:caps w:val="false"/>
          <w:smallCaps w:val="false"/>
        </w:rPr>
        <w:t> </w:t>
      </w:r>
    </w:p>
    <w:tbl>
      <w:tblPr>
        <w:tblW w:w="3440" w:type="dxa"/>
        <w:jc w:val="left"/>
        <w:tblInd w:w="0" w:type="dxa"/>
        <w:tblLayout w:type="fixed"/>
        <w:tblCellMar>
          <w:top w:w="0" w:type="dxa"/>
          <w:left w:w="0" w:type="dxa"/>
          <w:bottom w:w="0" w:type="dxa"/>
          <w:right w:w="0" w:type="dxa"/>
        </w:tblCellMar>
      </w:tblPr>
      <w:tblGrid>
        <w:gridCol w:w="1940"/>
        <w:gridCol w:w="60"/>
        <w:gridCol w:w="140"/>
        <w:gridCol w:w="1190"/>
        <w:gridCol w:w="110"/>
      </w:tblGrid>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 xml:space="preserve">period from </w:t>
            </w:r>
            <w:r>
              <w:rPr>
                <w:rFonts w:ascii="Times New Roman;Times;Serif" w:hAnsi="Times New Roman;Times;Serif"/>
                <w:b/>
                <w:sz w:val="20"/>
                <w:u w:val="single"/>
              </w:rPr>
              <w:br/>
            </w:r>
            <w:r>
              <w:rPr>
                <w:rFonts w:ascii="Times New Roman;Times;Serif" w:hAnsi="Times New Roman;Times;Serif"/>
                <w:b/>
                <w:sz w:val="20"/>
              </w:rPr>
              <w:t xml:space="preserve">January 1, </w:t>
              <w:br/>
              <w:t xml:space="preserve">2025 to </w:t>
              <w:br/>
              <w:t xml:space="preserve">September 2, </w:t>
              <w:br/>
              <w:t>2025</w:t>
            </w:r>
          </w:p>
        </w:tc>
        <w:tc>
          <w:tcPr>
            <w:tcW w:w="110" w:type="dxa"/>
            <w:tcBorders/>
            <w:vAlign w:val="center"/>
          </w:tcPr>
          <w:p>
            <w:pPr>
              <w:pStyle w:val="TableContents"/>
              <w:bidi w:val="0"/>
              <w:spacing w:before="0" w:after="283"/>
              <w:jc w:val="left"/>
              <w:rPr/>
            </w:pPr>
            <w:r>
              <w:rPr/>
              <w:t> </w:t>
            </w:r>
          </w:p>
        </w:tc>
      </w:tr>
      <w:tr>
        <w:trPr/>
        <w:tc>
          <w:tcPr>
            <w:tcW w:w="1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94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(323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94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(6,532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(c)</w:t>
            </w:r>
          </w:p>
        </w:tc>
        <w:tc>
          <w:tcPr>
            <w:tcW w:w="9904" w:type="dxa"/>
            <w:tcBorders/>
            <w:vAlign w:val="center"/>
          </w:tcPr>
          <w:p>
            <w:pPr>
              <w:pStyle w:val="TableContents"/>
              <w:bidi w:val="0"/>
              <w:spacing w:before="0" w:after="283"/>
              <w:jc w:val="both"/>
              <w:rPr/>
            </w:pPr>
            <w:r>
              <w:rPr/>
              <w:t>Reflects the reduction of $4.1 million in historical interest expense related to the settlement of Interactions’ debt at closing.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(d)</w:t>
            </w:r>
          </w:p>
        </w:tc>
        <w:tc>
          <w:tcPr>
            <w:tcW w:w="9914" w:type="dxa"/>
            <w:tcBorders/>
            <w:vAlign w:val="center"/>
          </w:tcPr>
          <w:p>
            <w:pPr>
              <w:pStyle w:val="TableContents"/>
              <w:bidi w:val="0"/>
              <w:spacing w:before="0" w:after="283"/>
              <w:jc w:val="both"/>
              <w:rPr/>
            </w:pPr>
            <w:r>
              <w:rPr/>
              <w:t>Reflects an adjustment to eliminate the historical fair value adjustments of warrant liabilities extinguished as a result of the Acquisition, resulting in a reduction of $1.1 million of historical gains.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pPr>
            <w:r>
              <w:rPr/>
              <w:t>(e)</w:t>
            </w:r>
          </w:p>
        </w:tc>
        <w:tc>
          <w:tcPr>
            <w:tcW w:w="9954" w:type="dxa"/>
            <w:tcBorders/>
            <w:vAlign w:val="center"/>
          </w:tcPr>
          <w:p>
            <w:pPr>
              <w:pStyle w:val="TableContents"/>
              <w:bidi w:val="0"/>
              <w:spacing w:before="0" w:after="283"/>
              <w:jc w:val="both"/>
              <w:rPr/>
            </w:pPr>
            <w:r>
              <w:rPr/>
              <w:t>Reflects the elimination of $0.6 million of tax benefit. Prior to the acquisition, Interactions held interest in a partnership and recorded a deferred tax liability associated with the outside basis difference and recorded the corresponding deferred tax expense/benefit as a result of changes to the deferred tax liability. However, upon the Acquisition, the partnership became a single member LLC and the deferred tax liability is no longer needed. Accordingly, no deferred tax expense/benefit would be recorded.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(f)</w:t>
            </w:r>
          </w:p>
        </w:tc>
        <w:tc>
          <w:tcPr>
            <w:tcW w:w="9948" w:type="dxa"/>
            <w:tcBorders/>
            <w:vAlign w:val="center"/>
          </w:tcPr>
          <w:p>
            <w:pPr>
              <w:pStyle w:val="TableContents"/>
              <w:bidi w:val="0"/>
              <w:spacing w:before="0" w:after="283"/>
              <w:jc w:val="both"/>
              <w:rPr/>
            </w:pPr>
            <w:r>
              <w:rPr/>
              <w:t>Reflects the elimination of $0.3 million of loss, from earnings attributable to non-controlling interest due to changes in Interactions’ ownership structure.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Transaction Accounting Adjustments to Unaudited Pro Forma Condensed Combined Balance Sheet and Statement of Operations — LivePerson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preliminary consideration of $271.8 million was determined by reference to the fair value of SoundHound’s common stock on June 25, 2026 of $6.21 per share. The calculation of estimated preliminary consideration is as follows: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Estimated Preliminary Consideration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5"/>
        <w:gridCol w:w="60"/>
        <w:gridCol w:w="87"/>
        <w:gridCol w:w="1613"/>
        <w:gridCol w:w="87"/>
        <w:gridCol w:w="87"/>
        <w:gridCol w:w="367"/>
        <w:gridCol w:w="1157"/>
        <w:gridCol w:w="87"/>
        <w:gridCol w:w="87"/>
        <w:gridCol w:w="205"/>
        <w:gridCol w:w="1173"/>
        <w:gridCol w:w="80"/>
      </w:tblGrid>
      <w:tr>
        <w:trPr/>
        <w:tc>
          <w:tcPr>
            <w:tcW w:w="5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Shares</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2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87"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3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80" w:type="dxa"/>
            <w:tcBorders/>
            <w:vAlign w:val="center"/>
          </w:tcPr>
          <w:p>
            <w:pPr>
              <w:pStyle w:val="TableContents"/>
              <w:bidi w:val="0"/>
              <w:spacing w:before="0" w:after="283"/>
              <w:jc w:val="left"/>
              <w:rPr/>
            </w:pPr>
            <w:r>
              <w:rPr/>
              <w:t> </w:t>
            </w:r>
          </w:p>
        </w:tc>
      </w:tr>
      <w:tr>
        <w:trPr/>
        <w:tc>
          <w:tcPr>
            <w:tcW w:w="5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50" w:type="dxa"/>
            <w:gridSpan w:val="10"/>
            <w:tcBorders/>
            <w:vAlign w:val="center"/>
          </w:tcPr>
          <w:p>
            <w:pPr>
              <w:pStyle w:val="TableContents"/>
              <w:bidi w:val="0"/>
              <w:spacing w:before="0" w:after="283"/>
              <w:jc w:val="center"/>
              <w:rPr>
                <w:b/>
              </w:rPr>
            </w:pPr>
            <w:r>
              <w:rPr>
                <w:b/>
              </w:rPr>
              <w:t>(In thousands, except share and per share amounts)</w:t>
            </w:r>
          </w:p>
        </w:tc>
        <w:tc>
          <w:tcPr>
            <w:tcW w:w="80" w:type="dxa"/>
            <w:tcBorders/>
            <w:vAlign w:val="center"/>
          </w:tcPr>
          <w:p>
            <w:pPr>
              <w:pStyle w:val="TableContents"/>
              <w:bidi w:val="0"/>
              <w:spacing w:before="0" w:after="283"/>
              <w:ind w:left="0" w:right="0" w:hanging="200"/>
              <w:jc w:val="left"/>
              <w:rPr/>
            </w:pPr>
            <w:r>
              <w:rPr/>
              <w:t> </w:t>
            </w:r>
          </w:p>
        </w:tc>
      </w:tr>
      <w:tr>
        <w:trPr/>
        <w:tc>
          <w:tcPr>
            <w:tcW w:w="5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SoundHound shares issued for settlement of Secured Notes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37,316,495</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w:t>
            </w:r>
          </w:p>
        </w:tc>
        <w:tc>
          <w:tcPr>
            <w:tcW w:w="1157" w:type="dxa"/>
            <w:tcBorders/>
            <w:shd w:fill="CCEEFF" w:val="clear"/>
            <w:vAlign w:val="center"/>
          </w:tcPr>
          <w:p>
            <w:pPr>
              <w:pStyle w:val="TableContents"/>
              <w:bidi w:val="0"/>
              <w:spacing w:before="0" w:after="283"/>
              <w:jc w:val="right"/>
              <w:rPr/>
            </w:pPr>
            <w:r>
              <w:rPr/>
              <w:t>6.21</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231,735</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5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SoundHound shares issued to holders of non-TASE Shares</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pPr>
            <w:r>
              <w:rPr/>
              <w:t>5,086,246</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6.21</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31,586</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5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replacement equity awards for LivePerson’s equity awards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176,136</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6.21</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995</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5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equity consideration for LivePerson’s equity awards settled</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pPr>
            <w:r>
              <w:rPr/>
              <w:t>54,423</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6.21</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338</w:t>
            </w:r>
          </w:p>
        </w:tc>
        <w:tc>
          <w:tcPr>
            <w:tcW w:w="80" w:type="dxa"/>
            <w:tcBorders/>
            <w:shd w:fill="FFFFFF" w:val="clear"/>
            <w:vAlign w:val="center"/>
          </w:tcPr>
          <w:p>
            <w:pPr>
              <w:pStyle w:val="TableContents"/>
              <w:bidi w:val="0"/>
              <w:spacing w:before="0" w:after="283"/>
              <w:ind w:left="0" w:right="0" w:hanging="200"/>
              <w:jc w:val="left"/>
              <w:rPr/>
            </w:pPr>
            <w:r>
              <w:rPr/>
              <w:t> </w:t>
            </w:r>
          </w:p>
        </w:tc>
      </w:tr>
      <w:tr>
        <w:trPr/>
        <w:tc>
          <w:tcPr>
            <w:tcW w:w="5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Estimated cash consideration to holders of TASE Share</w:t>
            </w:r>
            <w:r>
              <w:rPr>
                <w:rFonts w:ascii="Times New Roman;Times;Serif" w:hAnsi="Times New Roman;Times;Serif"/>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13"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left"/>
              <w:rPr/>
            </w:pPr>
            <w:r>
              <w:rPr/>
              <w:t> </w:t>
            </w:r>
          </w:p>
        </w:tc>
        <w:tc>
          <w:tcPr>
            <w:tcW w:w="1157"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20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12" w:space="0" w:color="000000"/>
            </w:tcBorders>
            <w:shd w:fill="CCEEFF" w:val="clear"/>
            <w:tcMar>
              <w:bottom w:w="28" w:type="dxa"/>
            </w:tcMar>
            <w:vAlign w:val="center"/>
          </w:tcPr>
          <w:p>
            <w:pPr>
              <w:pStyle w:val="TableContents"/>
              <w:bidi w:val="0"/>
              <w:spacing w:before="0" w:after="283"/>
              <w:jc w:val="right"/>
              <w:rPr/>
            </w:pPr>
            <w:r>
              <w:rPr/>
              <w:t>7,181</w:t>
            </w:r>
          </w:p>
        </w:tc>
        <w:tc>
          <w:tcPr>
            <w:tcW w:w="80" w:type="dxa"/>
            <w:tcBorders/>
            <w:shd w:fill="CCEEFF" w:val="clear"/>
            <w:vAlign w:val="center"/>
          </w:tcPr>
          <w:p>
            <w:pPr>
              <w:pStyle w:val="TableContents"/>
              <w:bidi w:val="0"/>
              <w:spacing w:before="0" w:after="283"/>
              <w:ind w:left="0" w:right="0" w:hanging="200"/>
              <w:jc w:val="left"/>
              <w:rPr/>
            </w:pPr>
            <w:r>
              <w:rPr/>
              <w:t> </w:t>
            </w:r>
          </w:p>
        </w:tc>
      </w:tr>
      <w:tr>
        <w:trPr/>
        <w:tc>
          <w:tcPr>
            <w:tcW w:w="5115"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613"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left"/>
              <w:rPr/>
            </w:pPr>
            <w:r>
              <w:rPr/>
              <w:t> </w:t>
            </w:r>
          </w:p>
        </w:tc>
        <w:tc>
          <w:tcPr>
            <w:tcW w:w="1157"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205" w:type="dxa"/>
            <w:tcBorders>
              <w:bottom w:val="double" w:sz="10" w:space="0" w:color="000000"/>
            </w:tcBorders>
            <w:shd w:fill="FFFFFF" w:val="clear"/>
            <w:tcMar>
              <w:bottom w:w="28" w:type="dxa"/>
            </w:tcMar>
            <w:vAlign w:val="center"/>
          </w:tcPr>
          <w:p>
            <w:pPr>
              <w:pStyle w:val="TableContents"/>
              <w:bidi w:val="0"/>
              <w:spacing w:before="0" w:after="283"/>
              <w:jc w:val="left"/>
              <w:rPr>
                <w:b/>
              </w:rPr>
            </w:pPr>
            <w:r>
              <w:rPr>
                <w:b/>
              </w:rPr>
              <w:t>$</w:t>
            </w:r>
          </w:p>
        </w:tc>
        <w:tc>
          <w:tcPr>
            <w:tcW w:w="1173"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271,835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ind w:left="360" w:right="0" w:hanging="3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(1)</w:t>
            </w:r>
          </w:p>
        </w:tc>
        <w:tc>
          <w:tcPr>
            <w:tcW w:w="9932" w:type="dxa"/>
            <w:tcBorders/>
            <w:vAlign w:val="center"/>
          </w:tcPr>
          <w:p>
            <w:pPr>
              <w:pStyle w:val="TableContents"/>
              <w:bidi w:val="0"/>
              <w:spacing w:before="0" w:after="283"/>
              <w:jc w:val="both"/>
              <w:rPr/>
            </w:pPr>
            <w:r>
              <w:rPr/>
              <w:t>SoundHound expects the Secured Notes to be entirely settled in shares of Class A Common Stock. As such, estimated preliminary consideration is equal to the fair value of shares issued to holders of the Secured Notes based on the Total Consideration for the First and Second Lien Secured Notes each divided by the $7.00 floor price as follows:</w:t>
            </w:r>
          </w:p>
        </w:tc>
      </w:tr>
    </w:tbl>
    <w:p>
      <w:pPr>
        <w:pStyle w:val="TextBody"/>
        <w:bidi w:val="0"/>
        <w:spacing w:before="0" w:after="0"/>
        <w:ind w:left="360" w:right="0" w:hanging="360"/>
        <w:jc w:val="both"/>
        <w:rPr>
          <w:caps w:val="false"/>
          <w:smallCaps w:val="false"/>
        </w:rPr>
      </w:pPr>
      <w:r>
        <w:rPr>
          <w:caps w:val="false"/>
          <w:smallCaps w:val="false"/>
        </w:rPr>
        <w:t> </w:t>
      </w:r>
    </w:p>
    <w:tbl>
      <w:tblPr>
        <w:tblW w:w="7604" w:type="dxa"/>
        <w:jc w:val="left"/>
        <w:tblInd w:w="0" w:type="dxa"/>
        <w:tblLayout w:type="fixed"/>
        <w:tblCellMar>
          <w:top w:w="0" w:type="dxa"/>
          <w:left w:w="0" w:type="dxa"/>
          <w:bottom w:w="28" w:type="dxa"/>
          <w:right w:w="0" w:type="dxa"/>
        </w:tblCellMar>
      </w:tblPr>
      <w:tblGrid>
        <w:gridCol w:w="3230"/>
        <w:gridCol w:w="60"/>
        <w:gridCol w:w="140"/>
        <w:gridCol w:w="1220"/>
        <w:gridCol w:w="60"/>
        <w:gridCol w:w="60"/>
        <w:gridCol w:w="144"/>
        <w:gridCol w:w="1135"/>
        <w:gridCol w:w="60"/>
        <w:gridCol w:w="60"/>
        <w:gridCol w:w="140"/>
        <w:gridCol w:w="1220"/>
        <w:gridCol w:w="75"/>
      </w:tblGrid>
      <w:tr>
        <w:trPr/>
        <w:tc>
          <w:tcPr>
            <w:tcW w:w="3230" w:type="dxa"/>
            <w:tcBorders>
              <w:bottom w:val="single" w:sz="12"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First Lien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12" w:space="0" w:color="000000"/>
            </w:tcBorders>
            <w:vAlign w:val="center"/>
          </w:tcPr>
          <w:p>
            <w:pPr>
              <w:pStyle w:val="TableContents"/>
              <w:bidi w:val="0"/>
              <w:spacing w:before="0" w:after="283"/>
              <w:jc w:val="center"/>
              <w:rPr>
                <w:b/>
              </w:rPr>
            </w:pPr>
            <w:r>
              <w:rPr>
                <w:b/>
              </w:rPr>
              <w:t>Second Lien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6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3230" w:type="dxa"/>
            <w:tcBorders/>
            <w:shd w:fill="CCEEFF" w:val="clear"/>
            <w:tcMar>
              <w:bottom w:w="0" w:type="dxa"/>
            </w:tcMar>
            <w:vAlign w:val="center"/>
          </w:tcPr>
          <w:p>
            <w:pPr>
              <w:pStyle w:val="TableContents"/>
              <w:bidi w:val="0"/>
              <w:spacing w:before="0" w:after="283"/>
              <w:jc w:val="left"/>
              <w:rPr/>
            </w:pPr>
            <w:r>
              <w:rPr/>
              <w:t>Total Consideration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178,007,734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w:t>
            </w:r>
          </w:p>
        </w:tc>
        <w:tc>
          <w:tcPr>
            <w:tcW w:w="1135" w:type="dxa"/>
            <w:tcBorders/>
            <w:shd w:fill="CCEEFF" w:val="clear"/>
            <w:tcMar>
              <w:bottom w:w="0" w:type="dxa"/>
            </w:tcMar>
            <w:vAlign w:val="center"/>
          </w:tcPr>
          <w:p>
            <w:pPr>
              <w:pStyle w:val="TableContents"/>
              <w:bidi w:val="0"/>
              <w:spacing w:before="0" w:after="283"/>
              <w:jc w:val="right"/>
              <w:rPr/>
            </w:pPr>
            <w:r>
              <w:rPr/>
              <w:t>83,207,733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pPr>
            <w:r>
              <w:rPr/>
              <w:t>261,215,467</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230" w:type="dxa"/>
            <w:tcBorders/>
            <w:shd w:fill="FFFFFF" w:val="clear"/>
            <w:tcMar>
              <w:bottom w:w="0" w:type="dxa"/>
            </w:tcMar>
            <w:vAlign w:val="center"/>
          </w:tcPr>
          <w:p>
            <w:pPr>
              <w:pStyle w:val="TableContents"/>
              <w:bidi w:val="0"/>
              <w:spacing w:before="0" w:after="283"/>
              <w:jc w:val="left"/>
              <w:rPr>
                <w:i/>
              </w:rPr>
            </w:pPr>
            <w:r>
              <w:rPr>
                <w:i/>
              </w:rPr>
              <w:t>Divided by floor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i/>
              </w:rPr>
            </w:pPr>
            <w:r>
              <w:rPr>
                <w:i/>
              </w:rPr>
              <w:t>$</w:t>
            </w:r>
          </w:p>
        </w:tc>
        <w:tc>
          <w:tcPr>
            <w:tcW w:w="1220" w:type="dxa"/>
            <w:tcBorders/>
            <w:shd w:fill="FFFFFF" w:val="clear"/>
            <w:tcMar>
              <w:bottom w:w="0" w:type="dxa"/>
            </w:tcMar>
            <w:vAlign w:val="center"/>
          </w:tcPr>
          <w:p>
            <w:pPr>
              <w:pStyle w:val="TableContents"/>
              <w:bidi w:val="0"/>
              <w:spacing w:before="0" w:after="283"/>
              <w:jc w:val="right"/>
              <w:rPr>
                <w:i/>
              </w:rPr>
            </w:pPr>
            <w:r>
              <w:rPr>
                <w:i/>
              </w:rPr>
              <w:t>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shd w:fill="FFFFFF" w:val="clear"/>
            <w:tcMar>
              <w:bottom w:w="0" w:type="dxa"/>
            </w:tcMar>
            <w:vAlign w:val="center"/>
          </w:tcPr>
          <w:p>
            <w:pPr>
              <w:pStyle w:val="TableContents"/>
              <w:bidi w:val="0"/>
              <w:spacing w:before="0" w:after="283"/>
              <w:jc w:val="left"/>
              <w:rPr>
                <w:i/>
              </w:rPr>
            </w:pPr>
            <w:r>
              <w:rPr>
                <w:i/>
              </w:rPr>
              <w:t>$</w:t>
            </w:r>
          </w:p>
        </w:tc>
        <w:tc>
          <w:tcPr>
            <w:tcW w:w="1135" w:type="dxa"/>
            <w:tcBorders/>
            <w:shd w:fill="FFFFFF" w:val="clear"/>
            <w:tcMar>
              <w:bottom w:w="0" w:type="dxa"/>
            </w:tcMar>
            <w:vAlign w:val="center"/>
          </w:tcPr>
          <w:p>
            <w:pPr>
              <w:pStyle w:val="TableContents"/>
              <w:bidi w:val="0"/>
              <w:spacing w:before="0" w:after="283"/>
              <w:jc w:val="right"/>
              <w:rPr>
                <w:i/>
              </w:rPr>
            </w:pPr>
            <w:r>
              <w:rPr>
                <w:i/>
              </w:rPr>
              <w:t>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230" w:type="dxa"/>
            <w:tcBorders/>
            <w:shd w:fill="CCEEFF" w:val="clear"/>
            <w:tcMar>
              <w:bottom w:w="0" w:type="dxa"/>
            </w:tcMar>
            <w:vAlign w:val="center"/>
          </w:tcPr>
          <w:p>
            <w:pPr>
              <w:pStyle w:val="TableContents"/>
              <w:bidi w:val="0"/>
              <w:spacing w:before="0" w:after="283"/>
              <w:jc w:val="left"/>
              <w:rPr/>
            </w:pPr>
            <w:r>
              <w:rPr/>
              <w:t>Shares to be issued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25,429,676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shd w:fill="CCEEFF" w:val="clear"/>
            <w:tcMar>
              <w:bottom w:w="0" w:type="dxa"/>
            </w:tcMar>
            <w:vAlign w:val="center"/>
          </w:tcPr>
          <w:p>
            <w:pPr>
              <w:pStyle w:val="TableContents"/>
              <w:bidi w:val="0"/>
              <w:spacing w:before="0" w:after="283"/>
              <w:jc w:val="left"/>
              <w:rPr/>
            </w:pPr>
            <w:r>
              <w:rPr/>
              <w:t> </w:t>
            </w:r>
          </w:p>
        </w:tc>
        <w:tc>
          <w:tcPr>
            <w:tcW w:w="1135" w:type="dxa"/>
            <w:tcBorders/>
            <w:shd w:fill="CCEEFF" w:val="clear"/>
            <w:tcMar>
              <w:bottom w:w="0" w:type="dxa"/>
            </w:tcMar>
            <w:vAlign w:val="center"/>
          </w:tcPr>
          <w:p>
            <w:pPr>
              <w:pStyle w:val="TableContents"/>
              <w:bidi w:val="0"/>
              <w:spacing w:before="0" w:after="283"/>
              <w:jc w:val="right"/>
              <w:rPr/>
            </w:pPr>
            <w:r>
              <w:rPr/>
              <w:t>11,886,819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37,316,495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3230" w:type="dxa"/>
            <w:tcBorders/>
            <w:shd w:fill="FFFFFF" w:val="clear"/>
            <w:tcMar>
              <w:bottom w:w="0" w:type="dxa"/>
            </w:tcMar>
            <w:vAlign w:val="center"/>
          </w:tcPr>
          <w:p>
            <w:pPr>
              <w:pStyle w:val="TableContents"/>
              <w:bidi w:val="0"/>
              <w:spacing w:before="0" w:after="283"/>
              <w:jc w:val="left"/>
              <w:rPr>
                <w:i/>
              </w:rPr>
            </w:pPr>
            <w:r>
              <w:rPr>
                <w:i/>
              </w:rPr>
              <w:t>Multiplied by fair value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i/>
              </w:rPr>
            </w:pPr>
            <w:r>
              <w:rPr>
                <w:i/>
              </w:rPr>
              <w:t>$</w:t>
            </w:r>
          </w:p>
        </w:tc>
        <w:tc>
          <w:tcPr>
            <w:tcW w:w="1220" w:type="dxa"/>
            <w:tcBorders>
              <w:bottom w:val="single" w:sz="12" w:space="0" w:color="000000"/>
            </w:tcBorders>
            <w:shd w:fill="FFFFFF" w:val="clear"/>
            <w:vAlign w:val="center"/>
          </w:tcPr>
          <w:p>
            <w:pPr>
              <w:pStyle w:val="TableContents"/>
              <w:bidi w:val="0"/>
              <w:spacing w:before="0" w:after="283"/>
              <w:jc w:val="right"/>
              <w:rPr>
                <w:i/>
              </w:rPr>
            </w:pPr>
            <w:r>
              <w:rPr>
                <w:i/>
              </w:rPr>
              <w:t>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4" w:type="dxa"/>
            <w:tcBorders>
              <w:bottom w:val="single" w:sz="12" w:space="0" w:color="000000"/>
            </w:tcBorders>
            <w:shd w:fill="FFFFFF" w:val="clear"/>
            <w:vAlign w:val="center"/>
          </w:tcPr>
          <w:p>
            <w:pPr>
              <w:pStyle w:val="TableContents"/>
              <w:bidi w:val="0"/>
              <w:spacing w:before="0" w:after="283"/>
              <w:jc w:val="left"/>
              <w:rPr>
                <w:i/>
              </w:rPr>
            </w:pPr>
            <w:r>
              <w:rPr>
                <w:i/>
              </w:rPr>
              <w:t>$</w:t>
            </w:r>
          </w:p>
        </w:tc>
        <w:tc>
          <w:tcPr>
            <w:tcW w:w="1135" w:type="dxa"/>
            <w:tcBorders>
              <w:bottom w:val="single" w:sz="12" w:space="0" w:color="000000"/>
            </w:tcBorders>
            <w:shd w:fill="FFFFFF" w:val="clear"/>
            <w:vAlign w:val="center"/>
          </w:tcPr>
          <w:p>
            <w:pPr>
              <w:pStyle w:val="TableContents"/>
              <w:bidi w:val="0"/>
              <w:spacing w:before="0" w:after="283"/>
              <w:jc w:val="right"/>
              <w:rPr>
                <w:i/>
              </w:rPr>
            </w:pPr>
            <w:r>
              <w:rPr>
                <w:i/>
              </w:rPr>
              <w:t>6.21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3230" w:type="dxa"/>
            <w:tcBorders/>
            <w:shd w:fill="CCEEFF" w:val="clear"/>
            <w:tcMar>
              <w:bottom w:w="0" w:type="dxa"/>
            </w:tcMar>
            <w:vAlign w:val="center"/>
          </w:tcPr>
          <w:p>
            <w:pPr>
              <w:pStyle w:val="TableContents"/>
              <w:bidi w:val="0"/>
              <w:spacing w:before="0" w:after="283"/>
              <w:jc w:val="left"/>
              <w:rPr>
                <w:b/>
              </w:rPr>
            </w:pPr>
            <w:r>
              <w:rPr>
                <w:b/>
              </w:rPr>
              <w:t>Total fair value of shares issued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vAlign w:val="center"/>
          </w:tcPr>
          <w:p>
            <w:pPr>
              <w:pStyle w:val="TableContents"/>
              <w:bidi w:val="0"/>
              <w:spacing w:before="0" w:after="283"/>
              <w:jc w:val="right"/>
              <w:rPr>
                <w:b/>
              </w:rPr>
            </w:pPr>
            <w:r>
              <w:rPr>
                <w:b/>
              </w:rPr>
              <w:t>157,918,288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4"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135" w:type="dxa"/>
            <w:tcBorders>
              <w:bottom w:val="double" w:sz="10" w:space="0" w:color="000000"/>
            </w:tcBorders>
            <w:shd w:fill="CCEEFF" w:val="clear"/>
            <w:vAlign w:val="center"/>
          </w:tcPr>
          <w:p>
            <w:pPr>
              <w:pStyle w:val="TableContents"/>
              <w:bidi w:val="0"/>
              <w:spacing w:before="0" w:after="283"/>
              <w:jc w:val="right"/>
              <w:rPr>
                <w:b/>
              </w:rPr>
            </w:pPr>
            <w:r>
              <w:rPr>
                <w:b/>
              </w:rPr>
              <w:t>73,817,146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CCEEFF" w:val="clear"/>
            <w:vAlign w:val="center"/>
          </w:tcPr>
          <w:p>
            <w:pPr>
              <w:pStyle w:val="TableContents"/>
              <w:bidi w:val="0"/>
              <w:spacing w:before="0" w:after="283"/>
              <w:jc w:val="left"/>
              <w:rPr>
                <w:b/>
              </w:rPr>
            </w:pPr>
            <w:r>
              <w:rPr>
                <w:b/>
              </w:rPr>
              <w:t>$</w:t>
            </w:r>
          </w:p>
        </w:tc>
        <w:tc>
          <w:tcPr>
            <w:tcW w:w="1220" w:type="dxa"/>
            <w:tcBorders>
              <w:bottom w:val="double" w:sz="10" w:space="0" w:color="000000"/>
            </w:tcBorders>
            <w:shd w:fill="CCEEFF" w:val="clear"/>
            <w:vAlign w:val="center"/>
          </w:tcPr>
          <w:p>
            <w:pPr>
              <w:pStyle w:val="TableContents"/>
              <w:bidi w:val="0"/>
              <w:spacing w:before="0" w:after="283"/>
              <w:jc w:val="right"/>
              <w:rPr>
                <w:b/>
              </w:rPr>
            </w:pPr>
            <w:r>
              <w:rPr>
                <w:b/>
              </w:rPr>
              <w:t>231,735,434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1" w:type="dxa"/>
            <w:tcBorders/>
            <w:vAlign w:val="center"/>
          </w:tcPr>
          <w:p>
            <w:pPr>
              <w:pStyle w:val="TableContents"/>
              <w:bidi w:val="0"/>
              <w:spacing w:before="0" w:after="283"/>
              <w:jc w:val="both"/>
              <w:rPr/>
            </w:pPr>
            <w:r>
              <w:rPr/>
              <w:t>Common stock consideration is computed based on the Shareholder Consideration Amount of $42.8 million divided by the $7.00 floor multiplied by the quotient of the fully diluted non-TASE Shares divided by the fully diluted shares of LivePerson common stock issued and outstanding, rounded to the nearest whole share.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(3)</w:t>
            </w:r>
          </w:p>
        </w:tc>
        <w:tc>
          <w:tcPr>
            <w:tcW w:w="9939" w:type="dxa"/>
            <w:tcBorders/>
            <w:vAlign w:val="center"/>
          </w:tcPr>
          <w:p>
            <w:pPr>
              <w:pStyle w:val="TableContents"/>
              <w:bidi w:val="0"/>
              <w:spacing w:before="0" w:after="283"/>
              <w:jc w:val="both"/>
              <w:rPr/>
            </w:pPr>
            <w:r>
              <w:rPr/>
              <w:t>Certain equity awards of LivePerson will be replaced by SoundHound equity awards. The pre-combination portion of such equity awards represents estimated preliminary consideration. There was no incremental post-acquisition expense in excess of that recorded in the historical financial statements of SoundHound as a result of the replacement equity awards. We have adjusted replacement equity award consideration down by $0.1 million, but not shares, to reflect the fair value of estimated forfeitures.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0"/>
        <w:gridCol w:w="9917"/>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(4)</w:t>
            </w:r>
          </w:p>
        </w:tc>
        <w:tc>
          <w:tcPr>
            <w:tcW w:w="9917" w:type="dxa"/>
            <w:tcBorders/>
            <w:vAlign w:val="center"/>
          </w:tcPr>
          <w:p>
            <w:pPr>
              <w:pStyle w:val="TableContents"/>
              <w:bidi w:val="0"/>
              <w:spacing w:before="0" w:after="283"/>
              <w:jc w:val="both"/>
              <w:rPr/>
            </w:pPr>
            <w:r>
              <w:rPr/>
              <w:t>Certain Board of Directors’ and vested equity awards of LivePerson will be settled in shares of SoundHound common stock. Such settlement of equity awards represents estimated preliminary consideration.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(5)</w:t>
            </w:r>
          </w:p>
        </w:tc>
        <w:tc>
          <w:tcPr>
            <w:tcW w:w="9938" w:type="dxa"/>
            <w:tcBorders/>
            <w:vAlign w:val="center"/>
          </w:tcPr>
          <w:p>
            <w:pPr>
              <w:pStyle w:val="TableContents"/>
              <w:bidi w:val="0"/>
              <w:spacing w:before="0" w:after="283"/>
              <w:jc w:val="both"/>
              <w:rPr/>
            </w:pPr>
            <w:r>
              <w:rPr/>
              <w:t>Cash consideration to TASE shareholders amounting to $7.2 million is computed by the lower of (a) $7.5 million, and (b) the Closing Merger Consideration multiplied by the 10-day VWAP stock price of $6.84 estimated as of June 25, 2026, and further multiplied by the quotient of the fully diluted TASE Shares divided by the fully diluted shares of LivePerson common stock issued and outstanding. The maximum amount of cash that can be granted to TASE shareholders is $7.5 million.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shares and total estimated preliminary consideration could significantly differ from the amounts presented in the unaudited pro forma condensed combined financial information due to movements in the SoundHound common stock price up to the closing date of the LivePerson Merger.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assumed that the 2026 Notes will be settled by LivePerson in cash prior to close. There exists a remote possibility that the 2026 Notes may be assumed by the Company and in that case, there will be no impact on consideration transferred and goodwill.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SoundHound Closing Stock Price was determined based on the average of the daily volume-weighted average price of SoundHound Common stock for each of the ten consecutive trading days ending on and including the trading day that is three trading days prior to the closing date, subject to a collar of $7.00 (floor) and $12.00 (cap) per share. June 25, 2026 was determined to be the most recent practicable date prior to the effective date. As such, June 25, 2026 was the last day of this ten-day volume-weighted period, in which the stock price was determined.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sensitivity analysis on the SoundHound share price was performed to assess the impact on purchase consideration at each end of the collar, or $7 per share and $12 per share, and a change of 30% on the closing date share price of $6.21 estimated as of June 25, 2026, as this represents a reasonable range for share price based on recent volatility. Purchase consideration will not be impacted by stock price volatility within the collar when SoundHound Closing Stock Price and closing date share price match. If the closing share price falls below the floor, purchase consideration will decrease ratably by the shortfall of the share price against the floor. Likewise, if the share price exceeds the cap, purchase consideration will increase ratably by the excess of the share price over the cap. The impact to purchase consideration from LivePerson equity awards when considering a 30% range of outcomes, is immaterial, and has been excluded from the share price sensitivity analysis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change in stock price and estimated consideration when no cash is paid to TASE shareholders: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95"/>
        <w:gridCol w:w="60"/>
        <w:gridCol w:w="60"/>
        <w:gridCol w:w="1124"/>
        <w:gridCol w:w="60"/>
        <w:gridCol w:w="60"/>
        <w:gridCol w:w="320"/>
        <w:gridCol w:w="1014"/>
        <w:gridCol w:w="60"/>
        <w:gridCol w:w="60"/>
        <w:gridCol w:w="237"/>
        <w:gridCol w:w="1361"/>
        <w:gridCol w:w="60"/>
        <w:gridCol w:w="60"/>
        <w:gridCol w:w="201"/>
        <w:gridCol w:w="1259"/>
        <w:gridCol w:w="114"/>
      </w:tblGrid>
      <w:tr>
        <w:trPr/>
        <w:tc>
          <w:tcPr>
            <w:tcW w:w="4095" w:type="dxa"/>
            <w:tcBorders>
              <w:bottom w:val="single" w:sz="12" w:space="0" w:color="000000"/>
            </w:tcBorders>
            <w:vAlign w:val="center"/>
          </w:tcPr>
          <w:p>
            <w:pPr>
              <w:pStyle w:val="TableContents"/>
              <w:bidi w:val="0"/>
              <w:spacing w:before="0" w:after="283"/>
              <w:jc w:val="left"/>
              <w:rPr>
                <w:b/>
              </w:rPr>
            </w:pPr>
            <w:r>
              <w:rPr>
                <w:b/>
              </w:rPr>
              <w:t>SoundHound Closing Stock Price</w:t>
            </w:r>
          </w:p>
        </w:tc>
        <w:tc>
          <w:tcPr>
            <w:tcW w:w="60" w:type="dxa"/>
            <w:tcBorders/>
            <w:tcMar>
              <w:bottom w:w="0" w:type="dxa"/>
            </w:tcMar>
            <w:vAlign w:val="center"/>
          </w:tcPr>
          <w:p>
            <w:pPr>
              <w:pStyle w:val="TableContents"/>
              <w:bidi w:val="0"/>
              <w:spacing w:before="0" w:after="283"/>
              <w:jc w:val="left"/>
              <w:rPr/>
            </w:pPr>
            <w:r>
              <w:rPr/>
              <w:t> </w:t>
            </w:r>
          </w:p>
        </w:tc>
        <w:tc>
          <w:tcPr>
            <w:tcW w:w="1184" w:type="dxa"/>
            <w:gridSpan w:val="2"/>
            <w:tcBorders>
              <w:bottom w:val="single" w:sz="12" w:space="0" w:color="000000"/>
            </w:tcBorders>
            <w:vAlign w:val="center"/>
          </w:tcPr>
          <w:p>
            <w:pPr>
              <w:pStyle w:val="TableContents"/>
              <w:bidi w:val="0"/>
              <w:spacing w:before="0" w:after="283"/>
              <w:jc w:val="center"/>
              <w:rPr>
                <w:b/>
              </w:rPr>
            </w:pPr>
            <w:r>
              <w:rPr>
                <w:b/>
              </w:rPr>
              <w:t xml:space="preserve">Number of </w:t>
              <w:br/>
              <w:t>Shares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34" w:type="dxa"/>
            <w:gridSpan w:val="2"/>
            <w:tcBorders>
              <w:bottom w:val="single" w:sz="12" w:space="0" w:color="000000"/>
            </w:tcBorders>
            <w:vAlign w:val="center"/>
          </w:tcPr>
          <w:p>
            <w:pPr>
              <w:pStyle w:val="TableContents"/>
              <w:bidi w:val="0"/>
              <w:spacing w:before="0" w:after="283"/>
              <w:jc w:val="center"/>
              <w:rPr>
                <w:b/>
              </w:rPr>
            </w:pPr>
            <w:r>
              <w:rPr>
                <w:b/>
              </w:rPr>
              <w:t>Share Price</w:t>
              <w:br/>
              <w:t xml:space="preserve">(June 25, </w:t>
              <w:br/>
              <w:t>2026 +/- 30%)</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8" w:type="dxa"/>
            <w:gridSpan w:val="2"/>
            <w:tcBorders>
              <w:bottom w:val="single" w:sz="12" w:space="0" w:color="000000"/>
            </w:tcBorders>
            <w:vAlign w:val="center"/>
          </w:tcPr>
          <w:p>
            <w:pPr>
              <w:pStyle w:val="TableContents"/>
              <w:bidi w:val="0"/>
              <w:spacing w:before="0" w:after="283"/>
              <w:jc w:val="center"/>
              <w:rPr>
                <w:b/>
              </w:rPr>
            </w:pPr>
            <w:r>
              <w:rPr>
                <w:b/>
              </w:rPr>
              <w:t xml:space="preserve">Fair Value of </w:t>
              <w:br/>
              <w:t xml:space="preserve">Shares Issued </w:t>
              <w:br/>
              <w:t>(Consideration)</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 xml:space="preserve">Impact on </w:t>
              <w:br/>
              <w:t xml:space="preserve">Purchase </w:t>
              <w:br/>
              <w:t>Consideration</w:t>
            </w:r>
          </w:p>
        </w:tc>
        <w:tc>
          <w:tcPr>
            <w:tcW w:w="114" w:type="dxa"/>
            <w:tcBorders/>
            <w:tcMar>
              <w:bottom w:w="0" w:type="dxa"/>
            </w:tcMar>
            <w:vAlign w:val="center"/>
          </w:tcPr>
          <w:p>
            <w:pPr>
              <w:pStyle w:val="TableContents"/>
              <w:bidi w:val="0"/>
              <w:spacing w:before="0" w:after="283"/>
              <w:jc w:val="left"/>
              <w:rPr/>
            </w:pPr>
            <w:r>
              <w:rPr/>
              <w:t> </w:t>
            </w:r>
          </w:p>
        </w:tc>
      </w:tr>
      <w:tr>
        <w:trPr/>
        <w:tc>
          <w:tcPr>
            <w:tcW w:w="40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36" w:type="dxa"/>
            <w:gridSpan w:val="14"/>
            <w:tcBorders/>
            <w:tcMar>
              <w:bottom w:w="0" w:type="dxa"/>
            </w:tcMar>
            <w:vAlign w:val="center"/>
          </w:tcPr>
          <w:p>
            <w:pPr>
              <w:pStyle w:val="TableContents"/>
              <w:bidi w:val="0"/>
              <w:spacing w:before="0" w:after="283"/>
              <w:jc w:val="center"/>
              <w:rPr>
                <w:b/>
              </w:rPr>
            </w:pPr>
            <w:r>
              <w:rPr>
                <w:b/>
              </w:rPr>
              <w:t>(In thousands, except share and per share amounts)</w:t>
            </w:r>
          </w:p>
        </w:tc>
        <w:tc>
          <w:tcPr>
            <w:tcW w:w="114" w:type="dxa"/>
            <w:tcBorders/>
            <w:tcMar>
              <w:bottom w:w="0" w:type="dxa"/>
            </w:tcMar>
            <w:vAlign w:val="center"/>
          </w:tcPr>
          <w:p>
            <w:pPr>
              <w:pStyle w:val="TableContents"/>
              <w:bidi w:val="0"/>
              <w:spacing w:before="0" w:after="283"/>
              <w:ind w:left="0" w:right="0" w:hanging="200"/>
              <w:jc w:val="left"/>
              <w:rPr/>
            </w:pPr>
            <w:r>
              <w:rPr/>
              <w:t> </w:t>
            </w:r>
          </w:p>
        </w:tc>
      </w:tr>
      <w:tr>
        <w:trPr/>
        <w:tc>
          <w:tcPr>
            <w:tcW w:w="4095" w:type="dxa"/>
            <w:tcBorders/>
            <w:shd w:fill="CCEEFF" w:val="clear"/>
            <w:tcMar>
              <w:bottom w:w="0" w:type="dxa"/>
            </w:tcMar>
            <w:vAlign w:val="center"/>
          </w:tcPr>
          <w:p>
            <w:pPr>
              <w:pStyle w:val="TableContents"/>
              <w:bidi w:val="0"/>
              <w:spacing w:before="0" w:after="283"/>
              <w:jc w:val="left"/>
              <w:rPr/>
            </w:pPr>
            <w:r>
              <w:rPr/>
              <w:t>Floor – $7 (with a 30% increase in share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43,428,571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w:t>
            </w:r>
          </w:p>
        </w:tc>
        <w:tc>
          <w:tcPr>
            <w:tcW w:w="1014" w:type="dxa"/>
            <w:tcBorders/>
            <w:shd w:fill="CCEEFF" w:val="clear"/>
            <w:tcMar>
              <w:bottom w:w="0" w:type="dxa"/>
            </w:tcMar>
            <w:vAlign w:val="center"/>
          </w:tcPr>
          <w:p>
            <w:pPr>
              <w:pStyle w:val="TableContents"/>
              <w:bidi w:val="0"/>
              <w:spacing w:before="0" w:after="283"/>
              <w:jc w:val="right"/>
              <w:rPr/>
            </w:pPr>
            <w:r>
              <w:rPr/>
              <w:t>8.07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361" w:type="dxa"/>
            <w:tcBorders/>
            <w:shd w:fill="CCEEFF" w:val="clear"/>
            <w:tcMar>
              <w:bottom w:w="0" w:type="dxa"/>
            </w:tcMar>
            <w:vAlign w:val="center"/>
          </w:tcPr>
          <w:p>
            <w:pPr>
              <w:pStyle w:val="TableContents"/>
              <w:bidi w:val="0"/>
              <w:spacing w:before="0" w:after="283"/>
              <w:jc w:val="right"/>
              <w:rPr/>
            </w:pPr>
            <w:r>
              <w:rPr/>
              <w:t>350,469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259" w:type="dxa"/>
            <w:tcBorders/>
            <w:shd w:fill="CCEEFF" w:val="clear"/>
            <w:tcMar>
              <w:bottom w:w="0" w:type="dxa"/>
            </w:tcMar>
            <w:vAlign w:val="center"/>
          </w:tcPr>
          <w:p>
            <w:pPr>
              <w:pStyle w:val="TableContents"/>
              <w:bidi w:val="0"/>
              <w:spacing w:before="0" w:after="283"/>
              <w:jc w:val="right"/>
              <w:rPr/>
            </w:pPr>
            <w:r>
              <w:rPr/>
              <w:t>78,634</w:t>
            </w:r>
          </w:p>
        </w:tc>
        <w:tc>
          <w:tcPr>
            <w:tcW w:w="114"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095" w:type="dxa"/>
            <w:tcBorders/>
            <w:shd w:fill="FFFFFF" w:val="clear"/>
            <w:tcMar>
              <w:bottom w:w="0" w:type="dxa"/>
            </w:tcMar>
            <w:vAlign w:val="center"/>
          </w:tcPr>
          <w:p>
            <w:pPr>
              <w:pStyle w:val="TableContents"/>
              <w:bidi w:val="0"/>
              <w:spacing w:before="0" w:after="283"/>
              <w:jc w:val="left"/>
              <w:rPr/>
            </w:pPr>
            <w:r>
              <w:rPr/>
              <w:t>Floor – $7 (with a 30% decrease in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43,428,571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w:t>
            </w:r>
          </w:p>
        </w:tc>
        <w:tc>
          <w:tcPr>
            <w:tcW w:w="1014" w:type="dxa"/>
            <w:tcBorders/>
            <w:shd w:fill="FFFFFF" w:val="clear"/>
            <w:tcMar>
              <w:bottom w:w="0" w:type="dxa"/>
            </w:tcMar>
            <w:vAlign w:val="center"/>
          </w:tcPr>
          <w:p>
            <w:pPr>
              <w:pStyle w:val="TableContents"/>
              <w:bidi w:val="0"/>
              <w:spacing w:before="0" w:after="283"/>
              <w:jc w:val="right"/>
              <w:rPr/>
            </w:pPr>
            <w:r>
              <w:rPr/>
              <w:t>4.35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1361" w:type="dxa"/>
            <w:tcBorders/>
            <w:shd w:fill="FFFFFF" w:val="clear"/>
            <w:tcMar>
              <w:bottom w:w="0" w:type="dxa"/>
            </w:tcMar>
            <w:vAlign w:val="center"/>
          </w:tcPr>
          <w:p>
            <w:pPr>
              <w:pStyle w:val="TableContents"/>
              <w:bidi w:val="0"/>
              <w:spacing w:before="0" w:after="283"/>
              <w:jc w:val="right"/>
              <w:rPr/>
            </w:pPr>
            <w:r>
              <w:rPr/>
              <w:t>188,914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259" w:type="dxa"/>
            <w:tcBorders/>
            <w:shd w:fill="FFFFFF" w:val="clear"/>
            <w:tcMar>
              <w:bottom w:w="0" w:type="dxa"/>
            </w:tcMar>
            <w:vAlign w:val="center"/>
          </w:tcPr>
          <w:p>
            <w:pPr>
              <w:pStyle w:val="TableContents"/>
              <w:bidi w:val="0"/>
              <w:spacing w:before="0" w:after="283"/>
              <w:jc w:val="right"/>
              <w:rPr/>
            </w:pPr>
            <w:r>
              <w:rPr/>
              <w:t>(82,921</w:t>
            </w:r>
          </w:p>
        </w:tc>
        <w:tc>
          <w:tcPr>
            <w:tcW w:w="114"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4095" w:type="dxa"/>
            <w:tcBorders/>
            <w:shd w:fill="CCEEFF" w:val="clear"/>
            <w:tcMar>
              <w:bottom w:w="0" w:type="dxa"/>
            </w:tcMar>
            <w:vAlign w:val="center"/>
          </w:tcPr>
          <w:p>
            <w:pPr>
              <w:pStyle w:val="TableContents"/>
              <w:bidi w:val="0"/>
              <w:spacing w:before="0" w:after="283"/>
              <w:jc w:val="left"/>
              <w:rPr/>
            </w:pPr>
            <w:r>
              <w:rPr/>
              <w:t>Cap – $12 (with a 30% increase in share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4" w:type="dxa"/>
            <w:tcBorders/>
            <w:shd w:fill="CCEEFF" w:val="clear"/>
            <w:tcMar>
              <w:bottom w:w="0" w:type="dxa"/>
            </w:tcMar>
            <w:vAlign w:val="center"/>
          </w:tcPr>
          <w:p>
            <w:pPr>
              <w:pStyle w:val="TableContents"/>
              <w:bidi w:val="0"/>
              <w:spacing w:before="0" w:after="283"/>
              <w:jc w:val="right"/>
              <w:rPr/>
            </w:pPr>
            <w:r>
              <w:rPr/>
              <w:t>25,333,334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0" w:type="dxa"/>
            <w:tcBorders/>
            <w:shd w:fill="CCEEFF" w:val="clear"/>
            <w:tcMar>
              <w:bottom w:w="0" w:type="dxa"/>
            </w:tcMar>
            <w:vAlign w:val="center"/>
          </w:tcPr>
          <w:p>
            <w:pPr>
              <w:pStyle w:val="TableContents"/>
              <w:bidi w:val="0"/>
              <w:spacing w:before="0" w:after="283"/>
              <w:jc w:val="left"/>
              <w:rPr/>
            </w:pPr>
            <w:r>
              <w:rPr/>
              <w:t>$</w:t>
            </w:r>
          </w:p>
        </w:tc>
        <w:tc>
          <w:tcPr>
            <w:tcW w:w="1014" w:type="dxa"/>
            <w:tcBorders/>
            <w:shd w:fill="CCEEFF" w:val="clear"/>
            <w:tcMar>
              <w:bottom w:w="0" w:type="dxa"/>
            </w:tcMar>
            <w:vAlign w:val="center"/>
          </w:tcPr>
          <w:p>
            <w:pPr>
              <w:pStyle w:val="TableContents"/>
              <w:bidi w:val="0"/>
              <w:spacing w:before="0" w:after="283"/>
              <w:jc w:val="right"/>
              <w:rPr/>
            </w:pPr>
            <w:r>
              <w:rPr/>
              <w:t>8.07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shd w:fill="CCEEFF" w:val="clear"/>
            <w:tcMar>
              <w:bottom w:w="0" w:type="dxa"/>
            </w:tcMar>
            <w:vAlign w:val="center"/>
          </w:tcPr>
          <w:p>
            <w:pPr>
              <w:pStyle w:val="TableContents"/>
              <w:bidi w:val="0"/>
              <w:spacing w:before="0" w:after="283"/>
              <w:jc w:val="left"/>
              <w:rPr/>
            </w:pPr>
            <w:r>
              <w:rPr/>
              <w:t>$</w:t>
            </w:r>
          </w:p>
        </w:tc>
        <w:tc>
          <w:tcPr>
            <w:tcW w:w="1361" w:type="dxa"/>
            <w:tcBorders/>
            <w:shd w:fill="CCEEFF" w:val="clear"/>
            <w:tcMar>
              <w:bottom w:w="0" w:type="dxa"/>
            </w:tcMar>
            <w:vAlign w:val="center"/>
          </w:tcPr>
          <w:p>
            <w:pPr>
              <w:pStyle w:val="TableContents"/>
              <w:bidi w:val="0"/>
              <w:spacing w:before="0" w:after="283"/>
              <w:jc w:val="right"/>
              <w:rPr/>
            </w:pPr>
            <w:r>
              <w:rPr/>
              <w:t>204,440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jc w:val="left"/>
              <w:rPr/>
            </w:pPr>
            <w:r>
              <w:rPr/>
              <w:t>$</w:t>
            </w:r>
          </w:p>
        </w:tc>
        <w:tc>
          <w:tcPr>
            <w:tcW w:w="1259" w:type="dxa"/>
            <w:tcBorders/>
            <w:shd w:fill="CCEEFF" w:val="clear"/>
            <w:tcMar>
              <w:bottom w:w="0" w:type="dxa"/>
            </w:tcMar>
            <w:vAlign w:val="center"/>
          </w:tcPr>
          <w:p>
            <w:pPr>
              <w:pStyle w:val="TableContents"/>
              <w:bidi w:val="0"/>
              <w:spacing w:before="0" w:after="283"/>
              <w:jc w:val="right"/>
              <w:rPr/>
            </w:pPr>
            <w:r>
              <w:rPr/>
              <w:t>(67,395</w:t>
            </w:r>
          </w:p>
        </w:tc>
        <w:tc>
          <w:tcPr>
            <w:tcW w:w="114"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4095" w:type="dxa"/>
            <w:tcBorders/>
            <w:shd w:fill="FFFFFF" w:val="clear"/>
            <w:tcMar>
              <w:bottom w:w="0" w:type="dxa"/>
            </w:tcMar>
            <w:vAlign w:val="center"/>
          </w:tcPr>
          <w:p>
            <w:pPr>
              <w:pStyle w:val="TableContents"/>
              <w:bidi w:val="0"/>
              <w:spacing w:before="0" w:after="283"/>
              <w:jc w:val="left"/>
              <w:rPr/>
            </w:pPr>
            <w:r>
              <w:rPr/>
              <w:t>Cap – $12 (with a 30% decrease in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4" w:type="dxa"/>
            <w:tcBorders/>
            <w:shd w:fill="FFFFFF" w:val="clear"/>
            <w:tcMar>
              <w:bottom w:w="0" w:type="dxa"/>
            </w:tcMar>
            <w:vAlign w:val="center"/>
          </w:tcPr>
          <w:p>
            <w:pPr>
              <w:pStyle w:val="TableContents"/>
              <w:bidi w:val="0"/>
              <w:spacing w:before="0" w:after="283"/>
              <w:jc w:val="right"/>
              <w:rPr/>
            </w:pPr>
            <w:r>
              <w:rPr/>
              <w:t>25,333,334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0" w:type="dxa"/>
            <w:tcBorders/>
            <w:shd w:fill="FFFFFF" w:val="clear"/>
            <w:tcMar>
              <w:bottom w:w="0" w:type="dxa"/>
            </w:tcMar>
            <w:vAlign w:val="center"/>
          </w:tcPr>
          <w:p>
            <w:pPr>
              <w:pStyle w:val="TableContents"/>
              <w:bidi w:val="0"/>
              <w:spacing w:before="0" w:after="283"/>
              <w:jc w:val="left"/>
              <w:rPr/>
            </w:pPr>
            <w:r>
              <w:rPr/>
              <w:t>$</w:t>
            </w:r>
          </w:p>
        </w:tc>
        <w:tc>
          <w:tcPr>
            <w:tcW w:w="1014" w:type="dxa"/>
            <w:tcBorders/>
            <w:shd w:fill="FFFFFF" w:val="clear"/>
            <w:tcMar>
              <w:bottom w:w="0" w:type="dxa"/>
            </w:tcMar>
            <w:vAlign w:val="center"/>
          </w:tcPr>
          <w:p>
            <w:pPr>
              <w:pStyle w:val="TableContents"/>
              <w:bidi w:val="0"/>
              <w:spacing w:before="0" w:after="283"/>
              <w:jc w:val="right"/>
              <w:rPr/>
            </w:pPr>
            <w:r>
              <w:rPr/>
              <w:t>4.35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jc w:val="left"/>
              <w:rPr/>
            </w:pPr>
            <w:r>
              <w:rPr/>
              <w:t>$</w:t>
            </w:r>
          </w:p>
        </w:tc>
        <w:tc>
          <w:tcPr>
            <w:tcW w:w="1361" w:type="dxa"/>
            <w:tcBorders/>
            <w:shd w:fill="FFFFFF" w:val="clear"/>
            <w:tcMar>
              <w:bottom w:w="0" w:type="dxa"/>
            </w:tcMar>
            <w:vAlign w:val="center"/>
          </w:tcPr>
          <w:p>
            <w:pPr>
              <w:pStyle w:val="TableContents"/>
              <w:bidi w:val="0"/>
              <w:spacing w:before="0" w:after="283"/>
              <w:jc w:val="right"/>
              <w:rPr/>
            </w:pPr>
            <w:r>
              <w:rPr/>
              <w:t>110,220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shd w:fill="FFFFFF" w:val="clear"/>
            <w:tcMar>
              <w:bottom w:w="0" w:type="dxa"/>
            </w:tcMar>
            <w:vAlign w:val="center"/>
          </w:tcPr>
          <w:p>
            <w:pPr>
              <w:pStyle w:val="TableContents"/>
              <w:bidi w:val="0"/>
              <w:spacing w:before="0" w:after="283"/>
              <w:jc w:val="left"/>
              <w:rPr/>
            </w:pPr>
            <w:r>
              <w:rPr/>
              <w:t>$</w:t>
            </w:r>
          </w:p>
        </w:tc>
        <w:tc>
          <w:tcPr>
            <w:tcW w:w="1259" w:type="dxa"/>
            <w:tcBorders/>
            <w:shd w:fill="FFFFFF" w:val="clear"/>
            <w:tcMar>
              <w:bottom w:w="0" w:type="dxa"/>
            </w:tcMar>
            <w:vAlign w:val="center"/>
          </w:tcPr>
          <w:p>
            <w:pPr>
              <w:pStyle w:val="TableContents"/>
              <w:bidi w:val="0"/>
              <w:spacing w:before="0" w:after="283"/>
              <w:jc w:val="right"/>
              <w:rPr/>
            </w:pPr>
            <w:r>
              <w:rPr/>
              <w:t>(161,615</w:t>
            </w:r>
          </w:p>
        </w:tc>
        <w:tc>
          <w:tcPr>
            <w:tcW w:w="11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Preliminary Purchase Price Allocation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acquisition method of accounting, the identifiable assets acquired and liabilities assumed of LivePerson are recognized and measured as of the acquisition date at fair value and added to those of SoundHound. The determination of fair value used in the pro forma adjustments presented herein are preliminary and based on management estimates of the fair value and useful lives of the assets acquired and liabilities assumed and have been prepared to illustrate the estimated effect of the LivePerson Merger. The final determination of the purchase price allocation, upon the completion of the LivePerson Merger, will be based on LivePerson’s net assets acquired as of that date and will depend on a number of factors that cannot be predicted with certainty at this time. Therefore, the actual allocations will differ from the pro forma adjustments presented. The allocation is dependent upon certain valuation and other studies that have not yet been completed. Accordingly, the pro forma purchase price allocation is subject to further adjustment as additional information becomes available and as additional analyses and final valuations are completed. There can be no assurances that these additional analyses and final valuations will not result in significant changes to the estimates of fair value set forth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preliminary allocation of the estimated consideration to the identifiable tangible and intangible assets acquired and liabilities assumed of LivePerson based on LivePerson’s consolidated balance sheet as of March 31, 2026, with cash and cash equivalents adjusted for $13.5 million of expected transaction costs by LivePerson, with the excess recorded to goodwill.</w:t>
      </w:r>
    </w:p>
    <w:p>
      <w:pPr>
        <w:pStyle w:val="TextBody"/>
        <w:bidi w:val="0"/>
        <w:spacing w:before="0" w:after="0"/>
        <w:ind w:left="0" w:right="0" w:firstLine="360"/>
        <w:jc w:val="both"/>
        <w:rPr>
          <w:caps w:val="false"/>
          <w:smallCaps w:val="false"/>
        </w:rPr>
      </w:pPr>
      <w:r>
        <w:rPr>
          <w:caps w:val="false"/>
          <w:smallCaps w:val="false"/>
        </w:rPr>
        <w:t> </w:t>
      </w:r>
    </w:p>
    <w:tbl>
      <w:tblPr>
        <w:tblW w:w="6084" w:type="dxa"/>
        <w:jc w:val="left"/>
        <w:tblInd w:w="0" w:type="dxa"/>
        <w:tblLayout w:type="fixed"/>
        <w:tblCellMar>
          <w:top w:w="0" w:type="dxa"/>
          <w:left w:w="0" w:type="dxa"/>
          <w:bottom w:w="0" w:type="dxa"/>
          <w:right w:w="0" w:type="dxa"/>
        </w:tblCellMar>
      </w:tblPr>
      <w:tblGrid>
        <w:gridCol w:w="4490"/>
        <w:gridCol w:w="60"/>
        <w:gridCol w:w="216"/>
        <w:gridCol w:w="1243"/>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March 31, </w:t>
              <w:br/>
              <w:t>2026</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b/>
              </w:rPr>
            </w:pPr>
            <w:r>
              <w:rPr>
                <w:b/>
              </w:rPr>
              <w:t>Total preliminary purchase consideration</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b/>
              </w:rPr>
            </w:pPr>
            <w:r>
              <w:rPr>
                <w:b/>
              </w:rPr>
              <w:t>$</w:t>
            </w:r>
          </w:p>
        </w:tc>
        <w:tc>
          <w:tcPr>
            <w:tcW w:w="1243" w:type="dxa"/>
            <w:tcBorders/>
            <w:shd w:fill="CCEEFF" w:val="clear"/>
            <w:vAlign w:val="center"/>
          </w:tcPr>
          <w:p>
            <w:pPr>
              <w:pStyle w:val="TableContents"/>
              <w:bidi w:val="0"/>
              <w:spacing w:before="0" w:after="283"/>
              <w:jc w:val="right"/>
              <w:rPr>
                <w:b/>
              </w:rPr>
            </w:pPr>
            <w:r>
              <w:rPr>
                <w:b/>
              </w:rPr>
              <w:t>271,835</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53,928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4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25,664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Contract assets and unbilled receivables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3,365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49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15,417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118,000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4,616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72</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4,533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276</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b/>
              </w:rPr>
            </w:pPr>
            <w:r>
              <w:rPr>
                <w:b/>
              </w:rPr>
              <w:t>Total assets acquired</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b/>
              </w:rPr>
            </w:pPr>
            <w:r>
              <w:rPr>
                <w:b/>
              </w:rPr>
              <w:t>$</w:t>
            </w:r>
          </w:p>
        </w:tc>
        <w:tc>
          <w:tcPr>
            <w:tcW w:w="1243" w:type="dxa"/>
            <w:tcBorders/>
            <w:shd w:fill="FFFFFF" w:val="clear"/>
            <w:vAlign w:val="center"/>
          </w:tcPr>
          <w:p>
            <w:pPr>
              <w:pStyle w:val="TableContents"/>
              <w:bidi w:val="0"/>
              <w:spacing w:before="0" w:after="283"/>
              <w:jc w:val="right"/>
              <w:rPr>
                <w:b/>
              </w:rPr>
            </w:pPr>
            <w:r>
              <w:rPr>
                <w:b/>
              </w:rPr>
              <w:t>225,871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43" w:type="dxa"/>
            <w:tcBorders/>
            <w:shd w:fill="CCEEFF" w:val="clear"/>
            <w:vAlign w:val="center"/>
          </w:tcPr>
          <w:p>
            <w:pPr>
              <w:pStyle w:val="TableContents"/>
              <w:bidi w:val="0"/>
              <w:spacing w:before="0" w:after="283"/>
              <w:jc w:val="right"/>
              <w:rPr/>
            </w:pPr>
            <w:r>
              <w:rPr/>
              <w:t>4,357</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38,416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57,987</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357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liabilities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243" w:type="dxa"/>
            <w:tcBorders/>
            <w:shd w:fill="CCEEFF" w:val="clear"/>
            <w:vAlign w:val="center"/>
          </w:tcPr>
          <w:p>
            <w:pPr>
              <w:pStyle w:val="TableContents"/>
              <w:bidi w:val="0"/>
              <w:spacing w:before="0" w:after="283"/>
              <w:jc w:val="right"/>
              <w:rPr/>
            </w:pPr>
            <w:r>
              <w:rPr/>
              <w:t>4,199</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243" w:type="dxa"/>
            <w:tcBorders/>
            <w:shd w:fill="FFFFFF" w:val="clear"/>
            <w:vAlign w:val="center"/>
          </w:tcPr>
          <w:p>
            <w:pPr>
              <w:pStyle w:val="TableContents"/>
              <w:bidi w:val="0"/>
              <w:spacing w:before="0" w:after="283"/>
              <w:jc w:val="right"/>
              <w:rPr/>
            </w:pPr>
            <w:r>
              <w:rPr/>
              <w:t>87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pPr>
            <w:r>
              <w:rPr/>
              <w:t>635</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b/>
              </w:rPr>
            </w:pPr>
            <w:r>
              <w:rPr>
                <w:b/>
              </w:rPr>
              <w:t>Total liabilities assumed</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106,038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490" w:type="dxa"/>
            <w:tcBorders/>
            <w:shd w:fill="CCEEFF" w:val="clear"/>
            <w:vAlign w:val="center"/>
          </w:tcPr>
          <w:p>
            <w:pPr>
              <w:pStyle w:val="TableContents"/>
              <w:bidi w:val="0"/>
              <w:spacing w:before="0" w:after="283"/>
              <w:jc w:val="left"/>
              <w:rPr>
                <w:b/>
              </w:rPr>
            </w:pPr>
            <w:r>
              <w:rPr>
                <w:b/>
              </w:rPr>
              <w:t>Preliminary fair value of net assets acquired</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2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119,833</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Estimated goodwill</w:t>
            </w:r>
            <w:r>
              <w:rPr>
                <w:rFonts w:ascii="Times New Roman;Times;Serif" w:hAnsi="Times New Roman;Times;Serif"/>
                <w:b/>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2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152,002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360" w:right="0" w:hanging="3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pPr>
            <w:r>
              <w:rPr/>
              <w:t>(1)</w:t>
            </w:r>
          </w:p>
        </w:tc>
        <w:tc>
          <w:tcPr>
            <w:tcW w:w="9897" w:type="dxa"/>
            <w:tcBorders/>
            <w:vAlign w:val="center"/>
          </w:tcPr>
          <w:p>
            <w:pPr>
              <w:pStyle w:val="TableContents"/>
              <w:bidi w:val="0"/>
              <w:spacing w:before="0" w:after="283"/>
              <w:jc w:val="both"/>
              <w:rPr/>
            </w:pPr>
            <w:r>
              <w:rPr/>
              <w:t>Preliminary identifiable intangible assets in the unaudited pro forma condensed combined financial information consists of the following:</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315"/>
        <w:gridCol w:w="60"/>
        <w:gridCol w:w="298"/>
        <w:gridCol w:w="937"/>
        <w:gridCol w:w="60"/>
        <w:gridCol w:w="60"/>
        <w:gridCol w:w="60"/>
        <w:gridCol w:w="935"/>
        <w:gridCol w:w="75"/>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Preliminary</w:t>
              <w:b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r>
            <w:r>
              <w:rPr>
                <w:rFonts w:ascii="Times New Roman;Times;Serif" w:hAnsi="Times New Roman;Times;Serif"/>
                <w:b/>
                <w:sz w:val="20"/>
                <w:u w:val="single"/>
              </w:rPr>
              <w:br/>
            </w:r>
            <w:r>
              <w:rPr>
                <w:rFonts w:ascii="Times New Roman;Times;Serif" w:hAnsi="Times New Roman;Times;Serif"/>
                <w:b/>
                <w:sz w:val="20"/>
              </w:rPr>
              <w:t>Useful Life</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(in millions)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31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5 Years</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1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center"/>
              <w:rPr/>
            </w:pPr>
            <w:r>
              <w:rPr/>
              <w:t>5 Years</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315" w:type="dxa"/>
            <w:tcBorders/>
            <w:shd w:fill="CCEEFF" w:val="clear"/>
            <w:vAlign w:val="center"/>
          </w:tcPr>
          <w:p>
            <w:pPr>
              <w:pStyle w:val="TableContents"/>
              <w:bidi w:val="0"/>
              <w:spacing w:before="0" w:after="283"/>
              <w:jc w:val="left"/>
              <w:rPr/>
            </w:pPr>
            <w:r>
              <w:rPr/>
              <w:t>Trademark/Trade Name</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center"/>
              <w:rPr/>
            </w:pPr>
            <w:r>
              <w:rPr/>
              <w:t>3.5 Years</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ind w:left="360" w:right="0" w:hanging="36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The identifiable intangible assets and related amortization are preliminary and are based on management’s estimates after consideration of similar transactions. As discussed above, the amount that will ultimately be allocated to identifiable intangible assets and liabilities, and the related amount of amortization, may differ materially from this preliminary allocation. In addition, the periods the amortization impacts will ultimately be based upon the periods in which the associated economic benefits or detriments are expected to be derived, or where appropriate, based on the use of a straight-line method. Therefore, the amount of amortization following the LivePerson Merger may differ significantly between periods based upon the final value assigned and amortization methodology used for each identifiable intangible asset.</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7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(2)</w:t>
            </w:r>
          </w:p>
        </w:tc>
        <w:tc>
          <w:tcPr>
            <w:tcW w:w="9859" w:type="dxa"/>
            <w:tcBorders/>
            <w:vAlign w:val="center"/>
          </w:tcPr>
          <w:p>
            <w:pPr>
              <w:pStyle w:val="TableContents"/>
              <w:bidi w:val="0"/>
              <w:spacing w:before="0" w:after="283"/>
              <w:jc w:val="both"/>
              <w:rPr/>
            </w:pPr>
            <w:r>
              <w:rPr/>
              <w:t>Property and equipment consists primarily of computer equipment, for which the carrying value is assumed to approximate fair value.</w:t>
            </w:r>
          </w:p>
        </w:tc>
      </w:tr>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9859"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(3)</w:t>
            </w:r>
          </w:p>
        </w:tc>
        <w:tc>
          <w:tcPr>
            <w:tcW w:w="9904" w:type="dxa"/>
            <w:tcBorders/>
            <w:vAlign w:val="center"/>
          </w:tcPr>
          <w:p>
            <w:pPr>
              <w:pStyle w:val="TableContents"/>
              <w:bidi w:val="0"/>
              <w:spacing w:before="0" w:after="283"/>
              <w:jc w:val="both"/>
              <w:rPr/>
            </w:pPr>
            <w:r>
              <w:rPr/>
              <w:t>The preliminary purchase price allocation in the unaudited pro forma information reflects a full valuation allowance against the acquired U.S. federal and state net deferred tax assets, including net operating loss carryforwards, as the realization of the full amount of these acquired net deferred tax assets is uncertain. The preliminary purchase price allocation reflects the carryover of deferred tax balances of foreign jurisdictions which do not carry a full valuation allowance. This determination is preliminary and subject to change based upon the final determination of the fair value of identified assets and liabilities.</w:t>
            </w:r>
          </w:p>
        </w:tc>
      </w:tr>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904"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(4)</w:t>
            </w:r>
          </w:p>
        </w:tc>
        <w:tc>
          <w:tcPr>
            <w:tcW w:w="9940" w:type="dxa"/>
            <w:tcBorders/>
            <w:vAlign w:val="center"/>
          </w:tcPr>
          <w:p>
            <w:pPr>
              <w:pStyle w:val="TableContents"/>
              <w:bidi w:val="0"/>
              <w:spacing w:before="0" w:after="283"/>
              <w:jc w:val="both"/>
              <w:rPr/>
            </w:pPr>
            <w:r>
              <w:rPr/>
              <w:t>Goodwill represents the excess of consideration over the fair value of the underlying net assets acquired. In accordance with ASC Topic 350, Goodwill and Other Intangible Assets, goodwill is not amortized, but instead is reviewed for impairment at least annually, absent any indicators of impairment. Goodwill is attributable to planned growth in new markets and synergies expected to be achieved from the combined operations of SoundHound and LivePerson. Goodwill recorded in the LivePerson Merger is not expected to be deductible for tax purposes.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adjustments related to the acquisition of LivePerson included in the unaudited pro forma condensed combined balance sheet as of March 31, 2026 and unaudited pro forma condensed combined statement of operations for the three months ended March 31, 2026, and the year ended December 31, 2025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(a)</w:t>
            </w:r>
          </w:p>
        </w:tc>
        <w:tc>
          <w:tcPr>
            <w:tcW w:w="9900" w:type="dxa"/>
            <w:tcBorders/>
            <w:vAlign w:val="center"/>
          </w:tcPr>
          <w:p>
            <w:pPr>
              <w:pStyle w:val="TableContents"/>
              <w:bidi w:val="0"/>
              <w:spacing w:before="0" w:after="283"/>
              <w:jc w:val="both"/>
              <w:rPr/>
            </w:pPr>
            <w:r>
              <w:rPr/>
              <w:t>Reflects the preliminary purchase consideration of $7.2 million to be settled in cash to holders of the TASE Shares.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9"/>
        <w:gridCol w:w="9918"/>
      </w:tblGrid>
      <w:tr>
        <w:trPr/>
        <w:tc>
          <w:tcPr>
            <w:tcW w:w="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(b)</w:t>
            </w:r>
          </w:p>
        </w:tc>
        <w:tc>
          <w:tcPr>
            <w:tcW w:w="9918" w:type="dxa"/>
            <w:tcBorders/>
            <w:vAlign w:val="center"/>
          </w:tcPr>
          <w:p>
            <w:pPr>
              <w:pStyle w:val="TableContents"/>
              <w:bidi w:val="0"/>
              <w:spacing w:before="0" w:after="283"/>
              <w:jc w:val="both"/>
              <w:rPr/>
            </w:pPr>
            <w:r>
              <w:rPr/>
              <w:t>Reflects the expected $13.5 million of transaction costs incurred by LivePerson, which are expected to be paid by LivePerson prior to closing of the LivePerson Merger in accordance with the Merger Agreement.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(c)</w:t>
            </w:r>
          </w:p>
        </w:tc>
        <w:tc>
          <w:tcPr>
            <w:tcW w:w="9952" w:type="dxa"/>
            <w:tcBorders/>
            <w:vAlign w:val="center"/>
          </w:tcPr>
          <w:p>
            <w:pPr>
              <w:pStyle w:val="TableContents"/>
              <w:bidi w:val="0"/>
              <w:spacing w:before="0" w:after="283"/>
              <w:jc w:val="both"/>
              <w:rPr/>
            </w:pPr>
            <w:r>
              <w:rPr/>
              <w:t>Reflects LivePerson’s settlement of the 2026 Notes prior to the acquisition close date for $20.1 million of cash from current portion of long-term debt, along with $373.7 million of Secured Notes settled from long-term debt in shares of SoundHound Common Stock. Also includes the $14.0 million of cash paid by LivePerson for the $6.6 million of excess cash to settle the Secured Notes and the $7.4 million of accrued interest on the Secured Notes.</w:t>
            </w:r>
          </w:p>
        </w:tc>
      </w:tr>
    </w:tbl>
    <w:p>
      <w:pPr>
        <w:pStyle w:val="TextBody"/>
        <w:bidi w:val="0"/>
        <w:spacing w:before="0" w:after="0"/>
        <w:ind w:left="360" w:right="0" w:hanging="360"/>
        <w:jc w:val="both"/>
        <w:rPr>
          <w:caps w:val="false"/>
          <w:smallCaps w:val="false"/>
        </w:rPr>
      </w:pPr>
      <w:r>
        <w:rPr>
          <w:caps w:val="false"/>
          <w:smallCaps w:val="false"/>
        </w:rPr>
        <w:t> </w:t>
      </w:r>
    </w:p>
    <w:tbl>
      <w:tblPr>
        <w:tblW w:w="6989" w:type="dxa"/>
        <w:jc w:val="left"/>
        <w:tblInd w:w="0" w:type="dxa"/>
        <w:tblLayout w:type="fixed"/>
        <w:tblCellMar>
          <w:top w:w="0" w:type="dxa"/>
          <w:left w:w="0" w:type="dxa"/>
          <w:bottom w:w="28" w:type="dxa"/>
          <w:right w:w="0" w:type="dxa"/>
        </w:tblCellMar>
      </w:tblPr>
      <w:tblGrid>
        <w:gridCol w:w="5360"/>
        <w:gridCol w:w="60"/>
        <w:gridCol w:w="200"/>
        <w:gridCol w:w="1259"/>
        <w:gridCol w:w="110"/>
      </w:tblGrid>
      <w:tr>
        <w:trPr/>
        <w:tc>
          <w:tcPr>
            <w:tcW w:w="5360" w:type="dxa"/>
            <w:tcBorders>
              <w:bottom w:val="single" w:sz="12" w:space="0" w:color="000000"/>
            </w:tcBorders>
            <w:vAlign w:val="center"/>
          </w:tcPr>
          <w:p>
            <w:pPr>
              <w:pStyle w:val="TableContents"/>
              <w:bidi w:val="0"/>
              <w:spacing w:before="0" w:after="283"/>
              <w:jc w:val="left"/>
              <w:rPr>
                <w:b/>
              </w:rPr>
            </w:pPr>
            <w:r>
              <w:rPr>
                <w:b/>
              </w:rPr>
              <w:t>Expected Settlement of LivePerson Debt</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three months </w:t>
              <w:br/>
              <w:t>ended</w:t>
              <w:br/>
              <w:t xml:space="preserve">March 31, </w:t>
              <w:br/>
              <w:t>2026</w:t>
            </w:r>
          </w:p>
        </w:tc>
        <w:tc>
          <w:tcPr>
            <w:tcW w:w="11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center"/>
              <w:rPr>
                <w:b/>
              </w:rPr>
            </w:pPr>
            <w:r>
              <w:rPr>
                <w:b/>
              </w:rPr>
              <w:t>(in thousands)</w:t>
            </w:r>
          </w:p>
        </w:tc>
        <w:tc>
          <w:tcPr>
            <w:tcW w:w="110" w:type="dxa"/>
            <w:tcBorders/>
            <w:tcMar>
              <w:bottom w:w="0" w:type="dxa"/>
            </w:tcMar>
            <w:vAlign w:val="center"/>
          </w:tcPr>
          <w:p>
            <w:pPr>
              <w:pStyle w:val="TableContents"/>
              <w:bidi w:val="0"/>
              <w:spacing w:before="0" w:after="283"/>
              <w:ind w:left="0" w:right="0" w:hanging="200"/>
              <w:jc w:val="left"/>
              <w:rPr/>
            </w:pPr>
            <w:r>
              <w:rPr/>
              <w:t> </w:t>
            </w:r>
          </w:p>
        </w:tc>
      </w:tr>
      <w:tr>
        <w:trPr/>
        <w:tc>
          <w:tcPr>
            <w:tcW w:w="5360" w:type="dxa"/>
            <w:tcBorders/>
            <w:shd w:fill="CCEEFF" w:val="clear"/>
            <w:tcMar>
              <w:bottom w:w="0" w:type="dxa"/>
            </w:tcMar>
            <w:vAlign w:val="center"/>
          </w:tcPr>
          <w:p>
            <w:pPr>
              <w:pStyle w:val="TableContents"/>
              <w:bidi w:val="0"/>
              <w:spacing w:before="0" w:after="283"/>
              <w:jc w:val="left"/>
              <w:rPr/>
            </w:pPr>
            <w:r>
              <w:rPr/>
              <w:t>Excess Cash paid by LivePerson to settle Secured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259" w:type="dxa"/>
            <w:tcBorders/>
            <w:shd w:fill="CCEEFF" w:val="clear"/>
            <w:tcMar>
              <w:bottom w:w="0" w:type="dxa"/>
            </w:tcMar>
            <w:vAlign w:val="center"/>
          </w:tcPr>
          <w:p>
            <w:pPr>
              <w:pStyle w:val="TableContents"/>
              <w:bidi w:val="0"/>
              <w:spacing w:before="0" w:after="283"/>
              <w:jc w:val="right"/>
              <w:rPr/>
            </w:pPr>
            <w:r>
              <w:rPr/>
              <w:t>(6,636</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5360" w:type="dxa"/>
            <w:tcBorders/>
            <w:shd w:fill="FFFFFF" w:val="clear"/>
            <w:tcMar>
              <w:bottom w:w="0" w:type="dxa"/>
            </w:tcMar>
            <w:vAlign w:val="center"/>
          </w:tcPr>
          <w:p>
            <w:pPr>
              <w:pStyle w:val="TableContents"/>
              <w:bidi w:val="0"/>
              <w:spacing w:before="0" w:after="283"/>
              <w:jc w:val="left"/>
              <w:rPr/>
            </w:pPr>
            <w:r>
              <w:rPr/>
              <w:t>Cash paid by LivePerson for accrued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1259" w:type="dxa"/>
            <w:tcBorders/>
            <w:shd w:fill="FFFFFF" w:val="clear"/>
            <w:tcMar>
              <w:bottom w:w="0" w:type="dxa"/>
            </w:tcMar>
            <w:vAlign w:val="center"/>
          </w:tcPr>
          <w:p>
            <w:pPr>
              <w:pStyle w:val="TableContents"/>
              <w:bidi w:val="0"/>
              <w:spacing w:before="0" w:after="283"/>
              <w:jc w:val="right"/>
              <w:rPr/>
            </w:pPr>
            <w:r>
              <w:rPr/>
              <w:t>(7,363</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360" w:type="dxa"/>
            <w:tcBorders/>
            <w:shd w:fill="CCEEFF" w:val="clear"/>
            <w:tcMar>
              <w:bottom w:w="0" w:type="dxa"/>
            </w:tcMar>
            <w:vAlign w:val="center"/>
          </w:tcPr>
          <w:p>
            <w:pPr>
              <w:pStyle w:val="TableContents"/>
              <w:bidi w:val="0"/>
              <w:spacing w:before="0" w:after="283"/>
              <w:jc w:val="left"/>
              <w:rPr/>
            </w:pPr>
            <w:r>
              <w:rPr/>
              <w:t>Cash paid by LivePerson to settle 2026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bottom w:val="single" w:sz="12" w:space="0" w:color="000000"/>
            </w:tcBorders>
            <w:shd w:fill="CCEEFF" w:val="clear"/>
            <w:vAlign w:val="center"/>
          </w:tcPr>
          <w:p>
            <w:pPr>
              <w:pStyle w:val="TableContents"/>
              <w:bidi w:val="0"/>
              <w:spacing w:before="0" w:after="283"/>
              <w:jc w:val="left"/>
              <w:rPr/>
            </w:pPr>
            <w:r>
              <w:rPr/>
              <w:t> </w:t>
            </w:r>
          </w:p>
        </w:tc>
        <w:tc>
          <w:tcPr>
            <w:tcW w:w="1259" w:type="dxa"/>
            <w:tcBorders>
              <w:bottom w:val="single" w:sz="12" w:space="0" w:color="000000"/>
            </w:tcBorders>
            <w:shd w:fill="CCEEFF" w:val="clear"/>
            <w:vAlign w:val="center"/>
          </w:tcPr>
          <w:p>
            <w:pPr>
              <w:pStyle w:val="TableContents"/>
              <w:bidi w:val="0"/>
              <w:spacing w:before="0" w:after="283"/>
              <w:jc w:val="right"/>
              <w:rPr/>
            </w:pPr>
            <w:r>
              <w:rPr/>
              <w:t>(20,071</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5360" w:type="dxa"/>
            <w:tcBorders/>
            <w:shd w:fill="FFFFFF" w:val="clear"/>
            <w:tcMar>
              <w:bottom w:w="0" w:type="dxa"/>
            </w:tcMar>
            <w:vAlign w:val="center"/>
          </w:tcPr>
          <w:p>
            <w:pPr>
              <w:pStyle w:val="TableContents"/>
              <w:bidi w:val="0"/>
              <w:spacing w:before="0" w:after="283"/>
              <w:jc w:val="left"/>
              <w:rPr>
                <w:b/>
              </w:rPr>
            </w:pPr>
            <w:r>
              <w:rPr>
                <w:b/>
              </w:rPr>
              <w:t>Total adjustment to cash and cash equivalents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b/>
              </w:rPr>
            </w:pPr>
            <w:r>
              <w:rPr>
                <w:b/>
              </w:rPr>
              <w:t>$</w:t>
            </w:r>
          </w:p>
        </w:tc>
        <w:tc>
          <w:tcPr>
            <w:tcW w:w="1259" w:type="dxa"/>
            <w:tcBorders/>
            <w:shd w:fill="FFFFFF" w:val="clear"/>
            <w:tcMar>
              <w:bottom w:w="0" w:type="dxa"/>
            </w:tcMar>
            <w:vAlign w:val="center"/>
          </w:tcPr>
          <w:p>
            <w:pPr>
              <w:pStyle w:val="TableContents"/>
              <w:bidi w:val="0"/>
              <w:spacing w:before="0" w:after="283"/>
              <w:jc w:val="right"/>
              <w:rPr>
                <w:b/>
              </w:rPr>
            </w:pPr>
            <w:r>
              <w:rPr>
                <w:b/>
              </w:rPr>
              <w:t>(34,070</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53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1259"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360" w:type="dxa"/>
            <w:tcBorders/>
            <w:shd w:fill="FFFFFF" w:val="clear"/>
            <w:tcMar>
              <w:bottom w:w="0" w:type="dxa"/>
            </w:tcMar>
            <w:vAlign w:val="center"/>
          </w:tcPr>
          <w:p>
            <w:pPr>
              <w:pStyle w:val="TableContents"/>
              <w:bidi w:val="0"/>
              <w:spacing w:before="0" w:after="283"/>
              <w:jc w:val="left"/>
              <w:rPr/>
            </w:pPr>
            <w:r>
              <w:rPr/>
              <w:t>Settlement of accrued interest – accrued liability account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259" w:type="dxa"/>
            <w:tcBorders/>
            <w:shd w:fill="FFFFFF" w:val="clear"/>
            <w:tcMar>
              <w:bottom w:w="0" w:type="dxa"/>
            </w:tcMar>
            <w:vAlign w:val="center"/>
          </w:tcPr>
          <w:p>
            <w:pPr>
              <w:pStyle w:val="TableContents"/>
              <w:bidi w:val="0"/>
              <w:spacing w:before="0" w:after="283"/>
              <w:jc w:val="right"/>
              <w:rPr/>
            </w:pPr>
            <w:r>
              <w:rPr/>
              <w:t>(7,363</w:t>
            </w:r>
          </w:p>
        </w:tc>
        <w:tc>
          <w:tcPr>
            <w:tcW w:w="110" w:type="dxa"/>
            <w:tcBorders/>
            <w:shd w:fill="FFFFFF" w:val="clear"/>
            <w:tcMar>
              <w:bottom w:w="0" w:type="dxa"/>
            </w:tcMar>
            <w:vAlign w:val="center"/>
          </w:tcPr>
          <w:p>
            <w:pPr>
              <w:pStyle w:val="TableContents"/>
              <w:bidi w:val="0"/>
              <w:spacing w:before="0" w:after="283"/>
              <w:ind w:left="0" w:right="0" w:hanging="200"/>
              <w:jc w:val="left"/>
              <w:rPr/>
            </w:pPr>
            <w:r>
              <w:rPr/>
              <w:t>)</w:t>
            </w:r>
          </w:p>
        </w:tc>
      </w:tr>
      <w:tr>
        <w:trPr/>
        <w:tc>
          <w:tcPr>
            <w:tcW w:w="5360" w:type="dxa"/>
            <w:tcBorders/>
            <w:shd w:fill="CCEEFF" w:val="clear"/>
            <w:tcMar>
              <w:bottom w:w="0" w:type="dxa"/>
            </w:tcMar>
            <w:vAlign w:val="center"/>
          </w:tcPr>
          <w:p>
            <w:pPr>
              <w:pStyle w:val="TableContents"/>
              <w:bidi w:val="0"/>
              <w:spacing w:before="0" w:after="283"/>
              <w:jc w:val="left"/>
              <w:rPr/>
            </w:pPr>
            <w:r>
              <w:rPr/>
              <w:t>Settlement of 2026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w:t>
            </w:r>
          </w:p>
        </w:tc>
        <w:tc>
          <w:tcPr>
            <w:tcW w:w="1259" w:type="dxa"/>
            <w:tcBorders/>
            <w:shd w:fill="CCEEFF" w:val="clear"/>
            <w:tcMar>
              <w:bottom w:w="0" w:type="dxa"/>
            </w:tcMar>
            <w:vAlign w:val="center"/>
          </w:tcPr>
          <w:p>
            <w:pPr>
              <w:pStyle w:val="TableContents"/>
              <w:bidi w:val="0"/>
              <w:spacing w:before="0" w:after="283"/>
              <w:jc w:val="right"/>
              <w:rPr/>
            </w:pPr>
            <w:r>
              <w:rPr/>
              <w:t>(20,071</w:t>
            </w:r>
          </w:p>
        </w:tc>
        <w:tc>
          <w:tcPr>
            <w:tcW w:w="110"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5360" w:type="dxa"/>
            <w:tcBorders/>
            <w:shd w:fill="FFFFFF" w:val="clear"/>
            <w:tcMar>
              <w:bottom w:w="0" w:type="dxa"/>
            </w:tcMar>
            <w:vAlign w:val="center"/>
          </w:tcPr>
          <w:p>
            <w:pPr>
              <w:pStyle w:val="TableContents"/>
              <w:bidi w:val="0"/>
              <w:spacing w:before="0" w:after="283"/>
              <w:jc w:val="left"/>
              <w:rPr/>
            </w:pPr>
            <w:r>
              <w:rPr/>
              <w:t>Settlement of Secured Notes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w:t>
            </w:r>
          </w:p>
        </w:tc>
        <w:tc>
          <w:tcPr>
            <w:tcW w:w="1259" w:type="dxa"/>
            <w:tcBorders/>
            <w:shd w:fill="FFFFFF" w:val="clear"/>
            <w:tcMar>
              <w:bottom w:w="0" w:type="dxa"/>
            </w:tcMar>
            <w:vAlign w:val="center"/>
          </w:tcPr>
          <w:p>
            <w:pPr>
              <w:pStyle w:val="TableContents"/>
              <w:bidi w:val="0"/>
              <w:spacing w:before="0" w:after="283"/>
              <w:jc w:val="right"/>
              <w:rPr/>
            </w:pPr>
            <w:r>
              <w:rPr/>
              <w:t>(373,723</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(d)</w:t>
            </w:r>
          </w:p>
        </w:tc>
        <w:tc>
          <w:tcPr>
            <w:tcW w:w="9937" w:type="dxa"/>
            <w:tcBorders/>
            <w:vAlign w:val="center"/>
          </w:tcPr>
          <w:p>
            <w:pPr>
              <w:pStyle w:val="TableContents"/>
              <w:bidi w:val="0"/>
              <w:spacing w:before="0" w:after="283"/>
              <w:jc w:val="both"/>
              <w:rPr/>
            </w:pPr>
            <w:r>
              <w:rPr/>
              <w:t>Reflects the elimination of LivePerson’s historical goodwill and the recognition of the preliminary estimate of Goodwill based on the preliminary purchase price allocation. The difference between the preliminary consideration and preliminary identifiable net assets acquired is recorded as estimated goodwill. Goodwill in the acquisition is not expected to be deductible for tax purposes. Refer above for further details related to the preliminary purchase price allocation.</w:t>
            </w:r>
          </w:p>
        </w:tc>
      </w:tr>
    </w:tbl>
    <w:p>
      <w:pPr>
        <w:pStyle w:val="TextBody"/>
        <w:bidi w:val="0"/>
        <w:spacing w:before="0" w:after="0"/>
        <w:ind w:left="360" w:right="0" w:hanging="360"/>
        <w:jc w:val="both"/>
        <w:rPr>
          <w:caps w:val="false"/>
          <w:smallCaps w:val="false"/>
        </w:rPr>
      </w:pPr>
      <w:r>
        <w:rPr>
          <w:caps w:val="false"/>
          <w:smallCaps w:val="false"/>
        </w:rPr>
        <w:t> </w:t>
      </w:r>
    </w:p>
    <w:tbl>
      <w:tblPr>
        <w:tblW w:w="6134" w:type="dxa"/>
        <w:jc w:val="left"/>
        <w:tblInd w:w="0" w:type="dxa"/>
        <w:tblLayout w:type="fixed"/>
        <w:tblCellMar>
          <w:top w:w="0" w:type="dxa"/>
          <w:left w:w="0" w:type="dxa"/>
          <w:bottom w:w="0" w:type="dxa"/>
          <w:right w:w="0" w:type="dxa"/>
        </w:tblCellMar>
      </w:tblPr>
      <w:tblGrid>
        <w:gridCol w:w="4505"/>
        <w:gridCol w:w="60"/>
        <w:gridCol w:w="200"/>
        <w:gridCol w:w="1259"/>
        <w:gridCol w:w="11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March 31, </w:t>
              <w:br/>
              <w:t>2026</w:t>
            </w:r>
          </w:p>
        </w:tc>
        <w:tc>
          <w:tcPr>
            <w:tcW w:w="11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ind w:left="0" w:right="0" w:hanging="200"/>
              <w:jc w:val="left"/>
              <w:rPr/>
            </w:pPr>
            <w:r>
              <w:rPr/>
              <w:t> </w:t>
            </w:r>
          </w:p>
        </w:tc>
      </w:tr>
      <w:tr>
        <w:trPr/>
        <w:tc>
          <w:tcPr>
            <w:tcW w:w="4505" w:type="dxa"/>
            <w:tcBorders/>
            <w:shd w:fill="CCEEFF" w:val="clear"/>
            <w:vAlign w:val="center"/>
          </w:tcPr>
          <w:p>
            <w:pPr>
              <w:pStyle w:val="TableContents"/>
              <w:bidi w:val="0"/>
              <w:spacing w:before="0" w:after="283"/>
              <w:jc w:val="left"/>
              <w:rPr/>
            </w:pPr>
            <w:r>
              <w:rPr/>
              <w:t>Elimination of LivePerson’s historical goodwill</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p>
        </w:tc>
        <w:tc>
          <w:tcPr>
            <w:tcW w:w="1259" w:type="dxa"/>
            <w:tcBorders/>
            <w:shd w:fill="CCEEFF" w:val="clear"/>
            <w:vAlign w:val="center"/>
          </w:tcPr>
          <w:p>
            <w:pPr>
              <w:pStyle w:val="TableContents"/>
              <w:bidi w:val="0"/>
              <w:spacing w:before="0" w:after="283"/>
              <w:jc w:val="right"/>
              <w:rPr/>
            </w:pPr>
            <w:r>
              <w:rPr/>
              <w:t>(184,540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505" w:type="dxa"/>
            <w:tcBorders/>
            <w:shd w:fill="FFFFFF" w:val="clear"/>
            <w:vAlign w:val="center"/>
          </w:tcPr>
          <w:p>
            <w:pPr>
              <w:pStyle w:val="TableContents"/>
              <w:bidi w:val="0"/>
              <w:spacing w:before="0" w:after="283"/>
              <w:jc w:val="left"/>
              <w:rPr/>
            </w:pPr>
            <w:r>
              <w:rPr/>
              <w:t>LivePerson Merger goodwill recognized</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9" w:type="dxa"/>
            <w:tcBorders>
              <w:bottom w:val="single" w:sz="12" w:space="0" w:color="000000"/>
            </w:tcBorders>
            <w:shd w:fill="FFFFFF" w:val="clear"/>
            <w:tcMar>
              <w:bottom w:w="28" w:type="dxa"/>
            </w:tcMar>
            <w:vAlign w:val="center"/>
          </w:tcPr>
          <w:p>
            <w:pPr>
              <w:pStyle w:val="TableContents"/>
              <w:bidi w:val="0"/>
              <w:spacing w:before="0" w:after="283"/>
              <w:jc w:val="right"/>
              <w:rPr/>
            </w:pPr>
            <w:r>
              <w:rPr/>
              <w:t>152,002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505" w:type="dxa"/>
            <w:tcBorders/>
            <w:shd w:fill="CCEEFF" w:val="clear"/>
            <w:vAlign w:val="center"/>
          </w:tcPr>
          <w:p>
            <w:pPr>
              <w:pStyle w:val="TableContents"/>
              <w:bidi w:val="0"/>
              <w:spacing w:before="0" w:after="283"/>
              <w:jc w:val="left"/>
              <w:rPr>
                <w:b/>
              </w:rPr>
            </w:pPr>
            <w:r>
              <w:rPr>
                <w:b/>
              </w:rPr>
              <w:t>Net adjustment to goodwill</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59" w:type="dxa"/>
            <w:tcBorders>
              <w:bottom w:val="double" w:sz="10" w:space="0" w:color="000000"/>
            </w:tcBorders>
            <w:shd w:fill="CCEEFF" w:val="clear"/>
            <w:tcMar>
              <w:bottom w:w="28" w:type="dxa"/>
            </w:tcMar>
            <w:vAlign w:val="center"/>
          </w:tcPr>
          <w:p>
            <w:pPr>
              <w:pStyle w:val="TableContents"/>
              <w:bidi w:val="0"/>
              <w:spacing w:before="0" w:after="283"/>
              <w:jc w:val="right"/>
              <w:rPr/>
            </w:pPr>
            <w:r>
              <w:rPr/>
              <w:t>(32,538</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(e)</w:t>
            </w:r>
          </w:p>
        </w:tc>
        <w:tc>
          <w:tcPr>
            <w:tcW w:w="9926" w:type="dxa"/>
            <w:tcBorders/>
            <w:vAlign w:val="center"/>
          </w:tcPr>
          <w:p>
            <w:pPr>
              <w:pStyle w:val="TableContents"/>
              <w:bidi w:val="0"/>
              <w:spacing w:before="0" w:after="283"/>
              <w:jc w:val="both"/>
              <w:rPr/>
            </w:pPr>
            <w:r>
              <w:rPr/>
              <w:t>Reflects the elimination of LivePerson’s historical intangible assets and the recognition of the preliminary estimated fair value of intangible assets acquired in the LivePerson Merger.</w:t>
            </w:r>
          </w:p>
        </w:tc>
      </w:tr>
    </w:tbl>
    <w:p>
      <w:pPr>
        <w:pStyle w:val="TextBody"/>
        <w:bidi w:val="0"/>
        <w:spacing w:before="0" w:after="0"/>
        <w:ind w:left="360" w:right="0" w:hanging="360"/>
        <w:jc w:val="both"/>
        <w:rPr>
          <w:caps w:val="false"/>
          <w:smallCaps w:val="false"/>
        </w:rPr>
      </w:pPr>
      <w:r>
        <w:rPr>
          <w:caps w:val="false"/>
          <w:smallCaps w:val="false"/>
        </w:rPr>
        <w:t> </w:t>
      </w:r>
    </w:p>
    <w:tbl>
      <w:tblPr>
        <w:tblW w:w="7229" w:type="dxa"/>
        <w:jc w:val="left"/>
        <w:tblInd w:w="0" w:type="dxa"/>
        <w:tblLayout w:type="fixed"/>
        <w:tblCellMar>
          <w:top w:w="0" w:type="dxa"/>
          <w:left w:w="0" w:type="dxa"/>
          <w:bottom w:w="0" w:type="dxa"/>
          <w:right w:w="0" w:type="dxa"/>
        </w:tblCellMar>
      </w:tblPr>
      <w:tblGrid>
        <w:gridCol w:w="5600"/>
        <w:gridCol w:w="60"/>
        <w:gridCol w:w="217"/>
        <w:gridCol w:w="1242"/>
        <w:gridCol w:w="110"/>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r>
              <w:rPr>
                <w:rFonts w:ascii="Times New Roman;Times;Serif" w:hAnsi="Times New Roman;Times;Serif"/>
                <w:b/>
                <w:sz w:val="20"/>
                <w:u w:val="single"/>
              </w:rPr>
              <w:br/>
            </w:r>
            <w:r>
              <w:rPr>
                <w:rFonts w:ascii="Times New Roman;Times;Serif" w:hAnsi="Times New Roman;Times;Serif"/>
                <w:b/>
                <w:sz w:val="20"/>
              </w:rPr>
              <w:t xml:space="preserve">March 31, </w:t>
              <w:br/>
              <w:t>2026</w:t>
            </w:r>
          </w:p>
        </w:tc>
        <w:tc>
          <w:tcPr>
            <w:tcW w:w="11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ind w:left="0" w:right="0" w:hanging="200"/>
              <w:jc w:val="left"/>
              <w:rPr/>
            </w:pPr>
            <w:r>
              <w:rPr/>
              <w:t> </w:t>
            </w:r>
          </w:p>
        </w:tc>
      </w:tr>
      <w:tr>
        <w:trPr/>
        <w:tc>
          <w:tcPr>
            <w:tcW w:w="5600" w:type="dxa"/>
            <w:tcBorders/>
            <w:shd w:fill="CCEEFF" w:val="clear"/>
            <w:vAlign w:val="center"/>
          </w:tcPr>
          <w:p>
            <w:pPr>
              <w:pStyle w:val="TableContents"/>
              <w:bidi w:val="0"/>
              <w:spacing w:before="0" w:after="283"/>
              <w:jc w:val="left"/>
              <w:rPr/>
            </w:pPr>
            <w:r>
              <w:rPr/>
              <w:t>Fair value of intangible assets acquired</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242" w:type="dxa"/>
            <w:tcBorders/>
            <w:shd w:fill="CCEEFF" w:val="clear"/>
            <w:vAlign w:val="center"/>
          </w:tcPr>
          <w:p>
            <w:pPr>
              <w:pStyle w:val="TableContents"/>
              <w:bidi w:val="0"/>
              <w:spacing w:before="0" w:after="283"/>
              <w:jc w:val="right"/>
              <w:rPr/>
            </w:pPr>
            <w:r>
              <w:rPr/>
              <w:t>118,000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600" w:type="dxa"/>
            <w:tcBorders/>
            <w:shd w:fill="FFFFFF" w:val="clear"/>
            <w:vAlign w:val="center"/>
          </w:tcPr>
          <w:p>
            <w:pPr>
              <w:pStyle w:val="TableContents"/>
              <w:bidi w:val="0"/>
              <w:spacing w:before="0" w:after="283"/>
              <w:jc w:val="left"/>
              <w:rPr/>
            </w:pPr>
            <w:r>
              <w:rPr/>
              <w:t>Elimination of LivePerson’s historical intangible assets, net</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42" w:type="dxa"/>
            <w:tcBorders>
              <w:bottom w:val="single" w:sz="12" w:space="0" w:color="000000"/>
            </w:tcBorders>
            <w:shd w:fill="FFFFFF" w:val="clear"/>
            <w:tcMar>
              <w:bottom w:w="28" w:type="dxa"/>
            </w:tcMar>
            <w:vAlign w:val="center"/>
          </w:tcPr>
          <w:p>
            <w:pPr>
              <w:pStyle w:val="TableContents"/>
              <w:bidi w:val="0"/>
              <w:spacing w:before="0" w:after="283"/>
              <w:jc w:val="right"/>
              <w:rPr/>
            </w:pPr>
            <w:r>
              <w:rPr/>
              <w:t>(13,502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5600" w:type="dxa"/>
            <w:tcBorders/>
            <w:shd w:fill="CCEEFF" w:val="clear"/>
            <w:vAlign w:val="center"/>
          </w:tcPr>
          <w:p>
            <w:pPr>
              <w:pStyle w:val="TableContents"/>
              <w:bidi w:val="0"/>
              <w:spacing w:before="0" w:after="283"/>
              <w:jc w:val="left"/>
              <w:rPr>
                <w:b/>
              </w:rPr>
            </w:pPr>
            <w:r>
              <w:rPr>
                <w:b/>
              </w:rPr>
              <w:t>Net adjustment to intangible assets, net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2" w:type="dxa"/>
            <w:tcBorders>
              <w:bottom w:val="double" w:sz="10" w:space="0" w:color="000000"/>
            </w:tcBorders>
            <w:shd w:fill="CCEEFF" w:val="clear"/>
            <w:tcMar>
              <w:bottom w:w="28" w:type="dxa"/>
            </w:tcMar>
            <w:vAlign w:val="center"/>
          </w:tcPr>
          <w:p>
            <w:pPr>
              <w:pStyle w:val="TableContents"/>
              <w:bidi w:val="0"/>
              <w:spacing w:before="0" w:after="283"/>
              <w:jc w:val="right"/>
              <w:rPr/>
            </w:pPr>
            <w:r>
              <w:rPr/>
              <w:t>104,498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SoundHound determined a preliminary fair value estimate of intangible assets resulting from the preliminary fair value allocation of purchase price. The intangible assets included the following:</w:t>
      </w:r>
    </w:p>
    <w:p>
      <w:pPr>
        <w:pStyle w:val="TextBody"/>
        <w:bidi w:val="0"/>
        <w:spacing w:before="0" w:after="0"/>
        <w:ind w:left="0" w:right="0" w:firstLine="360"/>
        <w:jc w:val="both"/>
        <w:rPr>
          <w:caps w:val="false"/>
          <w:smallCaps w:val="false"/>
        </w:rPr>
      </w:pPr>
      <w:r>
        <w:rPr>
          <w:caps w:val="false"/>
          <w:smallCaps w:val="false"/>
        </w:rPr>
        <w:t> </w:t>
      </w:r>
    </w:p>
    <w:tbl>
      <w:tblPr>
        <w:tblW w:w="7183" w:type="dxa"/>
        <w:jc w:val="left"/>
        <w:tblInd w:w="0" w:type="dxa"/>
        <w:tblLayout w:type="fixed"/>
        <w:tblCellMar>
          <w:top w:w="0" w:type="dxa"/>
          <w:left w:w="0" w:type="dxa"/>
          <w:bottom w:w="28" w:type="dxa"/>
          <w:right w:w="0" w:type="dxa"/>
        </w:tblCellMar>
      </w:tblPr>
      <w:tblGrid>
        <w:gridCol w:w="4505"/>
        <w:gridCol w:w="60"/>
        <w:gridCol w:w="217"/>
        <w:gridCol w:w="1242"/>
        <w:gridCol w:w="60"/>
        <w:gridCol w:w="60"/>
        <w:gridCol w:w="151"/>
        <w:gridCol w:w="813"/>
        <w:gridCol w:w="75"/>
      </w:tblGrid>
      <w:tr>
        <w:trPr/>
        <w:tc>
          <w:tcPr>
            <w:tcW w:w="4505" w:type="dxa"/>
            <w:tcBorders>
              <w:bottom w:val="single" w:sz="12" w:space="0" w:color="000000"/>
            </w:tcBorders>
            <w:vAlign w:val="center"/>
          </w:tcPr>
          <w:p>
            <w:pPr>
              <w:pStyle w:val="TableContents"/>
              <w:bidi w:val="0"/>
              <w:spacing w:before="0" w:after="283"/>
              <w:jc w:val="left"/>
              <w:rPr>
                <w:b/>
              </w:rPr>
            </w:pPr>
            <w:r>
              <w:rPr>
                <w:b/>
              </w:rPr>
              <w:t>Intangible assets acquired</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bottom w:val="single" w:sz="12" w:space="0" w:color="000000"/>
            </w:tcBorders>
            <w:vAlign w:val="center"/>
          </w:tcPr>
          <w:p>
            <w:pPr>
              <w:pStyle w:val="TableContents"/>
              <w:bidi w:val="0"/>
              <w:spacing w:before="0" w:after="283"/>
              <w:jc w:val="center"/>
              <w:rPr>
                <w:b/>
              </w:rPr>
            </w:pPr>
            <w:r>
              <w:rPr>
                <w:b/>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r>
            <w:r>
              <w:rPr>
                <w:rFonts w:ascii="Times New Roman;Times;Serif" w:hAnsi="Times New Roman;Times;Serif"/>
                <w:b/>
                <w:sz w:val="20"/>
                <w:u w:val="single"/>
              </w:rPr>
              <w:br/>
            </w:r>
            <w:r>
              <w:rPr>
                <w:rFonts w:ascii="Times New Roman;Times;Serif" w:hAnsi="Times New Roman;Times;Serif"/>
                <w:b/>
                <w:sz w:val="20"/>
              </w:rPr>
              <w:t>useful life</w:t>
            </w:r>
          </w:p>
        </w:tc>
        <w:tc>
          <w:tcPr>
            <w:tcW w:w="75" w:type="dxa"/>
            <w:tcBorders/>
            <w:tcMar>
              <w:bottom w:w="0" w:type="dxa"/>
            </w:tcMar>
            <w:vAlign w:val="center"/>
          </w:tcPr>
          <w:p>
            <w:pPr>
              <w:pStyle w:val="TableContents"/>
              <w:bidi w:val="0"/>
              <w:spacing w:before="0" w:after="283"/>
              <w:jc w:val="left"/>
              <w:rPr/>
            </w:pPr>
            <w:r>
              <w:rPr/>
              <w:t> </w:t>
            </w:r>
          </w:p>
        </w:tc>
      </w:tr>
      <w:tr>
        <w:trPr/>
        <w:tc>
          <w:tcPr>
            <w:tcW w:w="450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59" w:type="dxa"/>
            <w:gridSpan w:val="2"/>
            <w:tcBorders/>
            <w:tcMar>
              <w:bottom w:w="0" w:type="dxa"/>
            </w:tcMar>
            <w:vAlign w:val="center"/>
          </w:tcPr>
          <w:p>
            <w:pPr>
              <w:pStyle w:val="TableContents"/>
              <w:bidi w:val="0"/>
              <w:spacing w:before="0" w:after="283"/>
              <w:jc w:val="center"/>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4" w:type="dxa"/>
            <w:gridSpan w:val="2"/>
            <w:tcBorders/>
            <w:tcMar>
              <w:bottom w:w="0" w:type="dxa"/>
            </w:tcMar>
            <w:vAlign w:val="center"/>
          </w:tcPr>
          <w:p>
            <w:pPr>
              <w:pStyle w:val="TableContents"/>
              <w:bidi w:val="0"/>
              <w:spacing w:before="0" w:after="283"/>
              <w:jc w:val="center"/>
              <w:rPr>
                <w:b/>
              </w:rPr>
            </w:pPr>
            <w:r>
              <w:rPr>
                <w:b/>
              </w:rPr>
              <w:t>(in years)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Trademark/trade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shd w:fill="CCEEFF" w:val="clear"/>
            <w:tcMar>
              <w:bottom w:w="0" w:type="dxa"/>
            </w:tcMar>
            <w:vAlign w:val="center"/>
          </w:tcPr>
          <w:p>
            <w:pPr>
              <w:pStyle w:val="TableContents"/>
              <w:bidi w:val="0"/>
              <w:spacing w:before="0" w:after="283"/>
              <w:jc w:val="left"/>
              <w:rPr/>
            </w:pPr>
            <w:r>
              <w:rPr/>
              <w:t>$</w:t>
            </w:r>
          </w:p>
        </w:tc>
        <w:tc>
          <w:tcPr>
            <w:tcW w:w="1242" w:type="dxa"/>
            <w:tcBorders/>
            <w:shd w:fill="CCEEFF" w:val="clear"/>
            <w:tcMar>
              <w:bottom w:w="0" w:type="dxa"/>
            </w:tcMar>
            <w:vAlign w:val="center"/>
          </w:tcPr>
          <w:p>
            <w:pPr>
              <w:pStyle w:val="TableContents"/>
              <w:bidi w:val="0"/>
              <w:spacing w:before="0" w:after="283"/>
              <w:jc w:val="right"/>
              <w:rPr/>
            </w:pPr>
            <w:r>
              <w:rPr/>
              <w:t>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center"/>
              <w:rPr/>
            </w:pPr>
            <w:r>
              <w:rPr/>
              <w:t>3.5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505" w:type="dxa"/>
            <w:tcBorders/>
            <w:shd w:fill="FFFFFF" w:val="clear"/>
            <w:tcMar>
              <w:bottom w:w="0" w:type="dxa"/>
            </w:tcMar>
            <w:vAlign w:val="center"/>
          </w:tcPr>
          <w:p>
            <w:pPr>
              <w:pStyle w:val="TableContents"/>
              <w:bidi w:val="0"/>
              <w:spacing w:before="0" w:after="283"/>
              <w:jc w:val="left"/>
              <w:rPr/>
            </w:pPr>
            <w:r>
              <w:rPr/>
              <w:t>Customer relationships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shd w:fill="FFFFFF" w:val="clear"/>
            <w:tcMar>
              <w:bottom w:w="0" w:type="dxa"/>
            </w:tcMar>
            <w:vAlign w:val="center"/>
          </w:tcPr>
          <w:p>
            <w:pPr>
              <w:pStyle w:val="TableContents"/>
              <w:bidi w:val="0"/>
              <w:spacing w:before="0" w:after="283"/>
              <w:jc w:val="left"/>
              <w:rPr/>
            </w:pPr>
            <w:r>
              <w:rPr/>
              <w:t> </w:t>
            </w:r>
          </w:p>
        </w:tc>
        <w:tc>
          <w:tcPr>
            <w:tcW w:w="1242" w:type="dxa"/>
            <w:tcBorders/>
            <w:shd w:fill="FFFFFF" w:val="clear"/>
            <w:tcMar>
              <w:bottom w:w="0" w:type="dxa"/>
            </w:tcMar>
            <w:vAlign w:val="center"/>
          </w:tcPr>
          <w:p>
            <w:pPr>
              <w:pStyle w:val="TableContents"/>
              <w:bidi w:val="0"/>
              <w:spacing w:before="0" w:after="283"/>
              <w:jc w:val="right"/>
              <w:rPr/>
            </w:pPr>
            <w:r>
              <w:rPr/>
              <w:t>76,000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4505" w:type="dxa"/>
            <w:tcBorders/>
            <w:shd w:fill="CCEEFF" w:val="clear"/>
            <w:tcMar>
              <w:bottom w:w="0" w:type="dxa"/>
            </w:tcMar>
            <w:vAlign w:val="center"/>
          </w:tcPr>
          <w:p>
            <w:pPr>
              <w:pStyle w:val="TableContents"/>
              <w:bidi w:val="0"/>
              <w:spacing w:before="0" w:after="283"/>
              <w:jc w:val="left"/>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7" w:type="dxa"/>
            <w:tcBorders>
              <w:bottom w:val="single" w:sz="12" w:space="0" w:color="000000"/>
            </w:tcBorders>
            <w:shd w:fill="CCEEFF" w:val="clear"/>
            <w:vAlign w:val="center"/>
          </w:tcPr>
          <w:p>
            <w:pPr>
              <w:pStyle w:val="TableContents"/>
              <w:bidi w:val="0"/>
              <w:spacing w:before="0" w:after="283"/>
              <w:jc w:val="left"/>
              <w:rPr/>
            </w:pPr>
            <w:r>
              <w:rPr/>
              <w:t> </w:t>
            </w:r>
          </w:p>
        </w:tc>
        <w:tc>
          <w:tcPr>
            <w:tcW w:w="1242" w:type="dxa"/>
            <w:tcBorders>
              <w:bottom w:val="single" w:sz="12" w:space="0" w:color="000000"/>
            </w:tcBorders>
            <w:shd w:fill="CCEEFF" w:val="clear"/>
            <w:vAlign w:val="center"/>
          </w:tcPr>
          <w:p>
            <w:pPr>
              <w:pStyle w:val="TableContents"/>
              <w:bidi w:val="0"/>
              <w:spacing w:before="0" w:after="283"/>
              <w:jc w:val="right"/>
              <w:rPr/>
            </w:pPr>
            <w:r>
              <w:rPr/>
              <w:t>38,000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1" w:type="dxa"/>
            <w:tcBorders/>
            <w:shd w:fill="CCEEFF" w:val="clear"/>
            <w:tcMar>
              <w:bottom w:w="0" w:type="dxa"/>
            </w:tcMar>
            <w:vAlign w:val="center"/>
          </w:tcPr>
          <w:p>
            <w:pPr>
              <w:pStyle w:val="TableContents"/>
              <w:bidi w:val="0"/>
              <w:spacing w:before="0" w:after="283"/>
              <w:jc w:val="left"/>
              <w:rPr/>
            </w:pPr>
            <w:r>
              <w:rPr/>
              <w:t> </w:t>
            </w:r>
          </w:p>
        </w:tc>
        <w:tc>
          <w:tcPr>
            <w:tcW w:w="813" w:type="dxa"/>
            <w:tcBorders/>
            <w:shd w:fill="CCEEFF" w:val="clear"/>
            <w:tcMar>
              <w:bottom w:w="0" w:type="dxa"/>
            </w:tcMar>
            <w:vAlign w:val="center"/>
          </w:tcPr>
          <w:p>
            <w:pPr>
              <w:pStyle w:val="TableContents"/>
              <w:bidi w:val="0"/>
              <w:spacing w:before="0" w:after="283"/>
              <w:jc w:val="center"/>
              <w:rPr/>
            </w:pPr>
            <w:r>
              <w:rPr/>
              <w:t>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4505" w:type="dxa"/>
            <w:tcBorders/>
            <w:shd w:fill="FFFFFF" w:val="clear"/>
            <w:tcMar>
              <w:bottom w:w="0" w:type="dxa"/>
            </w:tcMar>
            <w:vAlign w:val="center"/>
          </w:tcPr>
          <w:p>
            <w:pPr>
              <w:pStyle w:val="TableContents"/>
              <w:bidi w:val="0"/>
              <w:spacing w:before="0" w:after="283"/>
              <w:jc w:val="left"/>
              <w:rPr>
                <w:b/>
              </w:rPr>
            </w:pPr>
            <w:r>
              <w:rPr>
                <w:b/>
              </w:rPr>
              <w:t>Total fair value of acquired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7" w:type="dxa"/>
            <w:tcBorders>
              <w:bottom w:val="double" w:sz="10" w:space="0" w:color="000000"/>
            </w:tcBorders>
            <w:shd w:fill="FFFFFF" w:val="clear"/>
            <w:vAlign w:val="center"/>
          </w:tcPr>
          <w:p>
            <w:pPr>
              <w:pStyle w:val="TableContents"/>
              <w:bidi w:val="0"/>
              <w:spacing w:before="0" w:after="283"/>
              <w:jc w:val="left"/>
              <w:rPr/>
            </w:pPr>
            <w:r>
              <w:rPr/>
              <w:t>$</w:t>
            </w:r>
          </w:p>
        </w:tc>
        <w:tc>
          <w:tcPr>
            <w:tcW w:w="1242" w:type="dxa"/>
            <w:tcBorders>
              <w:bottom w:val="double" w:sz="10" w:space="0" w:color="000000"/>
            </w:tcBorders>
            <w:shd w:fill="FFFFFF" w:val="clear"/>
            <w:vAlign w:val="center"/>
          </w:tcPr>
          <w:p>
            <w:pPr>
              <w:pStyle w:val="TableContents"/>
              <w:bidi w:val="0"/>
              <w:spacing w:before="0" w:after="283"/>
              <w:jc w:val="right"/>
              <w:rPr/>
            </w:pPr>
            <w:r>
              <w:rPr/>
              <w:t>118,000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1" w:type="dxa"/>
            <w:tcBorders/>
            <w:shd w:fill="FFFFFF" w:val="clear"/>
            <w:tcMar>
              <w:bottom w:w="0" w:type="dxa"/>
            </w:tcMar>
            <w:vAlign w:val="center"/>
          </w:tcPr>
          <w:p>
            <w:pPr>
              <w:pStyle w:val="TableContents"/>
              <w:bidi w:val="0"/>
              <w:spacing w:before="0" w:after="283"/>
              <w:jc w:val="left"/>
              <w:rPr/>
            </w:pPr>
            <w:r>
              <w:rPr/>
              <w:t> </w:t>
            </w:r>
          </w:p>
        </w:tc>
        <w:tc>
          <w:tcPr>
            <w:tcW w:w="813"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(f)</w:t>
            </w:r>
          </w:p>
        </w:tc>
        <w:tc>
          <w:tcPr>
            <w:tcW w:w="9969" w:type="dxa"/>
            <w:tcBorders/>
            <w:vAlign w:val="center"/>
          </w:tcPr>
          <w:p>
            <w:pPr>
              <w:pStyle w:val="TableContents"/>
              <w:bidi w:val="0"/>
              <w:spacing w:before="0" w:after="283"/>
              <w:jc w:val="both"/>
              <w:rPr/>
            </w:pPr>
            <w:r>
              <w:rPr/>
              <w:t>Reflects elimination of $20.9 million of LivePerson’s historical contract acquisition costs from other non-current assets, that were not assets as defined by ASC 805 and are considered to be a part of the fair value of customer relationships intangible asset.</w:t>
            </w:r>
          </w:p>
        </w:tc>
      </w:tr>
    </w:tbl>
    <w:p>
      <w:pPr>
        <w:pStyle w:val="TextBody"/>
        <w:bidi w:val="0"/>
        <w:spacing w:before="0" w:after="0"/>
        <w:ind w:left="360" w:right="0" w:hanging="36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38"/>
        <w:gridCol w:w="290"/>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(g)</w:t>
            </w:r>
          </w:p>
        </w:tc>
        <w:tc>
          <w:tcPr>
            <w:tcW w:w="9845" w:type="dxa"/>
            <w:tcBorders/>
            <w:vAlign w:val="center"/>
          </w:tcPr>
          <w:p>
            <w:pPr>
              <w:pStyle w:val="TableContents"/>
              <w:bidi w:val="0"/>
              <w:spacing w:before="0" w:after="283"/>
              <w:jc w:val="both"/>
              <w:rPr/>
            </w:pPr>
            <w:r>
              <w:rPr/>
              <w:t>Reflects elimination of $83.2 million of LivePerson’s historical internal-use software development costs.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(h)</w:t>
            </w:r>
          </w:p>
        </w:tc>
        <w:tc>
          <w:tcPr>
            <w:tcW w:w="9903" w:type="dxa"/>
            <w:tcBorders/>
            <w:vAlign w:val="center"/>
          </w:tcPr>
          <w:p>
            <w:pPr>
              <w:pStyle w:val="TableContents"/>
              <w:bidi w:val="0"/>
              <w:spacing w:before="0" w:after="283"/>
              <w:jc w:val="both"/>
              <w:rPr/>
            </w:pPr>
            <w:r>
              <w:rPr/>
              <w:t>Reflects elimination of $1.9 million LivePerson’s historical warrants balance as all warrants are cancelled or extinguished upon the LivePerson Merger.</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(i)</w:t>
            </w:r>
          </w:p>
        </w:tc>
        <w:tc>
          <w:tcPr>
            <w:tcW w:w="9985" w:type="dxa"/>
            <w:tcBorders/>
            <w:vAlign w:val="center"/>
          </w:tcPr>
          <w:p>
            <w:pPr>
              <w:pStyle w:val="TableContents"/>
              <w:bidi w:val="0"/>
              <w:spacing w:before="0" w:after="283"/>
              <w:jc w:val="both"/>
              <w:rPr/>
            </w:pPr>
            <w:r>
              <w:rPr/>
              <w:t>Reflects the total expected transaction costs of $7.1 million incurred by SoundHound through the transaction date on the condensed consolidated balance sheet and on the condensed consolidated statement of operations during the year ended December 31,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(j)</w:t>
            </w:r>
          </w:p>
        </w:tc>
        <w:tc>
          <w:tcPr>
            <w:tcW w:w="9974" w:type="dxa"/>
            <w:tcBorders/>
            <w:vAlign w:val="center"/>
          </w:tcPr>
          <w:p>
            <w:pPr>
              <w:pStyle w:val="TableContents"/>
              <w:bidi w:val="0"/>
              <w:spacing w:before="0" w:after="283"/>
              <w:jc w:val="both"/>
              <w:rPr/>
            </w:pPr>
            <w:r>
              <w:rPr/>
              <w:t>The following table summarizes the transaction accounting adjustments impacting the equity balances of LivePerson, as well as new equity issued as consideration for the Merger (in thousands):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4"/>
        <w:gridCol w:w="60"/>
        <w:gridCol w:w="147"/>
        <w:gridCol w:w="1110"/>
        <w:gridCol w:w="95"/>
        <w:gridCol w:w="60"/>
        <w:gridCol w:w="203"/>
        <w:gridCol w:w="1167"/>
        <w:gridCol w:w="60"/>
        <w:gridCol w:w="60"/>
        <w:gridCol w:w="190"/>
        <w:gridCol w:w="865"/>
        <w:gridCol w:w="95"/>
        <w:gridCol w:w="60"/>
        <w:gridCol w:w="140"/>
        <w:gridCol w:w="980"/>
        <w:gridCol w:w="109"/>
      </w:tblGrid>
      <w:tr>
        <w:trPr/>
        <w:tc>
          <w:tcPr>
            <w:tcW w:w="48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Adjustments to</w:t>
            </w:r>
            <w:r>
              <w:rPr>
                <w:rFonts w:ascii="Times New Roman;Times;Serif" w:hAnsi="Times New Roman;Times;Serif"/>
                <w:b/>
                <w:sz w:val="20"/>
                <w:u w:val="single"/>
              </w:rPr>
              <w:br/>
            </w:r>
            <w:r>
              <w:rPr>
                <w:rFonts w:ascii="Times New Roman;Times;Serif" w:hAnsi="Times New Roman;Times;Serif"/>
                <w:b/>
                <w:sz w:val="20"/>
              </w:rPr>
              <w:t>LivePerson</w:t>
            </w:r>
            <w:r>
              <w:rPr>
                <w:rFonts w:ascii="Times New Roman;Times;Serif" w:hAnsi="Times New Roman;Times;Serif"/>
                <w:b/>
                <w:sz w:val="20"/>
                <w:u w:val="single"/>
              </w:rPr>
              <w:br/>
            </w:r>
            <w:r>
              <w:rPr>
                <w:rFonts w:ascii="Times New Roman;Times;Serif" w:hAnsi="Times New Roman;Times;Serif"/>
                <w:b/>
                <w:sz w:val="20"/>
              </w:rPr>
              <w:t xml:space="preserve">historical </w:t>
              <w:br/>
              <w:t>equity</w:t>
            </w:r>
            <w:r>
              <w:rPr>
                <w:rFonts w:ascii="Times New Roman;Times;Serif" w:hAnsi="Times New Roman;Times;Serif"/>
                <w:b/>
                <w:position w:val="7"/>
                <w:sz w:val="16"/>
                <w:sz w:val="20"/>
              </w:rPr>
              <w:t>(1)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Purchase</w:t>
            </w:r>
            <w:r>
              <w:rPr>
                <w:rFonts w:ascii="Times New Roman;Times;Serif" w:hAnsi="Times New Roman;Times;Serif"/>
                <w:b/>
                <w:sz w:val="20"/>
                <w:u w:val="single"/>
              </w:rPr>
              <w:br/>
            </w:r>
            <w:r>
              <w:rPr>
                <w:rFonts w:ascii="Times New Roman;Times;Serif" w:hAnsi="Times New Roman;Times;Serif"/>
                <w:b/>
                <w:sz w:val="20"/>
              </w:rPr>
              <w:t>consideration</w:t>
            </w:r>
            <w:r>
              <w:rPr>
                <w:rFonts w:ascii="Times New Roman;Times;Serif" w:hAnsi="Times New Roman;Times;Serif"/>
                <w:b/>
                <w:position w:val="7"/>
                <w:sz w:val="16"/>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r>
            <w:r>
              <w:rPr>
                <w:rFonts w:ascii="Times New Roman;Times;Serif" w:hAnsi="Times New Roman;Times;Serif"/>
                <w:b/>
                <w:sz w:val="20"/>
                <w:u w:val="single"/>
              </w:rPr>
              <w:br/>
            </w:r>
            <w:r>
              <w:rPr>
                <w:rFonts w:ascii="Times New Roman;Times;Serif" w:hAnsi="Times New Roman;Times;Serif"/>
                <w:b/>
                <w:sz w:val="20"/>
              </w:rPr>
              <w:t>costs</w:t>
            </w:r>
            <w:r>
              <w:rPr>
                <w:rFonts w:ascii="Times New Roman;Times;Serif" w:hAnsi="Times New Roman;Times;Serif"/>
                <w:b/>
                <w:position w:val="7"/>
                <w:sz w:val="16"/>
                <w:sz w:val="20"/>
              </w:rPr>
              <w:t>(3)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Transaction</w:t>
            </w:r>
            <w:r>
              <w:rPr>
                <w:rFonts w:ascii="Times New Roman;Times;Serif" w:hAnsi="Times New Roman;Times;Serif"/>
                <w:b/>
                <w:sz w:val="20"/>
                <w:u w:val="single"/>
              </w:rPr>
              <w:br/>
            </w:r>
            <w:r>
              <w:rPr>
                <w:rFonts w:ascii="Times New Roman;Times;Serif" w:hAnsi="Times New Roman;Times;Serif"/>
                <w:b/>
                <w:sz w:val="20"/>
              </w:rPr>
              <w:t xml:space="preserve">Accounting </w:t>
              <w:br/>
              <w:t>Adjustments</w:t>
            </w:r>
          </w:p>
        </w:tc>
        <w:tc>
          <w:tcPr>
            <w:tcW w:w="109" w:type="dxa"/>
            <w:tcBorders/>
            <w:vAlign w:val="center"/>
          </w:tcPr>
          <w:p>
            <w:pPr>
              <w:pStyle w:val="TableContents"/>
              <w:bidi w:val="0"/>
              <w:spacing w:before="0" w:after="283"/>
              <w:ind w:left="0" w:right="0" w:hanging="200"/>
              <w:jc w:val="left"/>
              <w:rPr/>
            </w:pPr>
            <w:r>
              <w:rPr/>
              <w:t> </w:t>
            </w:r>
          </w:p>
        </w:tc>
      </w:tr>
      <w:tr>
        <w:trPr/>
        <w:tc>
          <w:tcPr>
            <w:tcW w:w="4804" w:type="dxa"/>
            <w:tcBorders/>
            <w:shd w:fill="CCEEFF" w:val="clear"/>
            <w:vAlign w:val="center"/>
          </w:tcPr>
          <w:p>
            <w:pPr>
              <w:pStyle w:val="TableContents"/>
              <w:bidi w:val="0"/>
              <w:spacing w:before="0" w:after="283"/>
              <w:jc w:val="left"/>
              <w:rPr/>
            </w:pPr>
            <w:r>
              <w:rPr/>
              <w:t>Adjustment to Treasury Stock</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1110"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w:t>
            </w:r>
          </w:p>
        </w:tc>
        <w:tc>
          <w:tcPr>
            <w:tcW w:w="116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8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3</w:t>
            </w:r>
          </w:p>
        </w:tc>
        <w:tc>
          <w:tcPr>
            <w:tcW w:w="109" w:type="dxa"/>
            <w:tcBorders/>
            <w:shd w:fill="CCEEFF" w:val="clear"/>
            <w:vAlign w:val="center"/>
          </w:tcPr>
          <w:p>
            <w:pPr>
              <w:pStyle w:val="TableContents"/>
              <w:bidi w:val="0"/>
              <w:spacing w:before="0" w:after="283"/>
              <w:ind w:left="0" w:right="0" w:hanging="200"/>
              <w:jc w:val="left"/>
              <w:rPr/>
            </w:pPr>
            <w:r>
              <w:rPr/>
              <w:t> </w:t>
            </w:r>
          </w:p>
        </w:tc>
      </w:tr>
      <w:tr>
        <w:trPr/>
        <w:tc>
          <w:tcPr>
            <w:tcW w:w="4804" w:type="dxa"/>
            <w:tcBorders/>
            <w:shd w:fill="FFFFFF" w:val="clear"/>
            <w:vAlign w:val="center"/>
          </w:tcPr>
          <w:p>
            <w:pPr>
              <w:pStyle w:val="TableContents"/>
              <w:bidi w:val="0"/>
              <w:spacing w:before="0" w:after="283"/>
              <w:jc w:val="left"/>
              <w:rPr/>
            </w:pPr>
            <w:r>
              <w:rPr/>
              <w:t>Adjustment to Class A Common Stock</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(169</w:t>
            </w:r>
          </w:p>
        </w:tc>
        <w:tc>
          <w:tcPr>
            <w:tcW w:w="109" w:type="dxa"/>
            <w:tcBorders/>
            <w:shd w:fill="FFFFFF" w:val="clear"/>
            <w:vAlign w:val="center"/>
          </w:tcPr>
          <w:p>
            <w:pPr>
              <w:pStyle w:val="TableContents"/>
              <w:bidi w:val="0"/>
              <w:spacing w:before="0" w:after="283"/>
              <w:ind w:left="0" w:right="0" w:hanging="200"/>
              <w:jc w:val="left"/>
              <w:rPr/>
            </w:pPr>
            <w:r>
              <w:rPr/>
              <w:t>)</w:t>
            </w:r>
          </w:p>
        </w:tc>
      </w:tr>
      <w:tr>
        <w:trPr/>
        <w:tc>
          <w:tcPr>
            <w:tcW w:w="4804" w:type="dxa"/>
            <w:tcBorders/>
            <w:shd w:fill="CCEEFF" w:val="clear"/>
            <w:vAlign w:val="center"/>
          </w:tcPr>
          <w:p>
            <w:pPr>
              <w:pStyle w:val="TableContents"/>
              <w:bidi w:val="0"/>
              <w:spacing w:before="0" w:after="283"/>
              <w:jc w:val="left"/>
              <w:rPr/>
            </w:pPr>
            <w:r>
              <w:rPr/>
              <w:t>Adjustment to 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110" w:type="dxa"/>
            <w:tcBorders/>
            <w:shd w:fill="CCEEFF" w:val="clear"/>
            <w:vAlign w:val="center"/>
          </w:tcPr>
          <w:p>
            <w:pPr>
              <w:pStyle w:val="TableContents"/>
              <w:bidi w:val="0"/>
              <w:spacing w:before="0" w:after="283"/>
              <w:jc w:val="right"/>
              <w:rPr/>
            </w:pPr>
            <w:r>
              <w:rPr/>
              <w:t>7,683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1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7,683</w:t>
            </w:r>
          </w:p>
        </w:tc>
        <w:tc>
          <w:tcPr>
            <w:tcW w:w="109" w:type="dxa"/>
            <w:tcBorders/>
            <w:shd w:fill="CCEEFF" w:val="clear"/>
            <w:vAlign w:val="center"/>
          </w:tcPr>
          <w:p>
            <w:pPr>
              <w:pStyle w:val="TableContents"/>
              <w:bidi w:val="0"/>
              <w:spacing w:before="0" w:after="283"/>
              <w:ind w:left="0" w:right="0" w:hanging="200"/>
              <w:jc w:val="left"/>
              <w:rPr/>
            </w:pPr>
            <w:r>
              <w:rPr/>
              <w:t> </w:t>
            </w:r>
          </w:p>
        </w:tc>
      </w:tr>
      <w:tr>
        <w:trPr/>
        <w:tc>
          <w:tcPr>
            <w:tcW w:w="4804" w:type="dxa"/>
            <w:tcBorders/>
            <w:shd w:fill="FFFFFF" w:val="clear"/>
            <w:vAlign w:val="center"/>
          </w:tcPr>
          <w:p>
            <w:pPr>
              <w:pStyle w:val="TableContents"/>
              <w:bidi w:val="0"/>
              <w:spacing w:before="0" w:after="283"/>
              <w:jc w:val="left"/>
              <w:rPr/>
            </w:pPr>
            <w:r>
              <w:rPr/>
              <w:t>Net Adjustment to Additional paid-in capital</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10" w:type="dxa"/>
            <w:tcBorders/>
            <w:shd w:fill="FFFFFF" w:val="clear"/>
            <w:vAlign w:val="center"/>
          </w:tcPr>
          <w:p>
            <w:pPr>
              <w:pStyle w:val="TableContents"/>
              <w:bidi w:val="0"/>
              <w:spacing w:before="0" w:after="283"/>
              <w:jc w:val="right"/>
              <w:rPr/>
            </w:pPr>
            <w:r>
              <w:rPr/>
              <w:t>(1,023,338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pPr>
            <w:r>
              <w:rPr/>
              <w:t>264,650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(758,688</w:t>
            </w:r>
          </w:p>
        </w:tc>
        <w:tc>
          <w:tcPr>
            <w:tcW w:w="109" w:type="dxa"/>
            <w:tcBorders/>
            <w:shd w:fill="FFFFFF" w:val="clear"/>
            <w:vAlign w:val="center"/>
          </w:tcPr>
          <w:p>
            <w:pPr>
              <w:pStyle w:val="TableContents"/>
              <w:bidi w:val="0"/>
              <w:spacing w:before="0" w:after="283"/>
              <w:ind w:left="0" w:right="0" w:hanging="200"/>
              <w:jc w:val="left"/>
              <w:rPr/>
            </w:pPr>
            <w:r>
              <w:rPr/>
              <w:t>)</w:t>
            </w:r>
          </w:p>
        </w:tc>
      </w:tr>
      <w:tr>
        <w:trPr/>
        <w:tc>
          <w:tcPr>
            <w:tcW w:w="4804" w:type="dxa"/>
            <w:tcBorders/>
            <w:shd w:fill="CCEEFF" w:val="clear"/>
            <w:vAlign w:val="center"/>
          </w:tcPr>
          <w:p>
            <w:pPr>
              <w:pStyle w:val="TableContents"/>
              <w:bidi w:val="0"/>
              <w:spacing w:before="0" w:after="283"/>
              <w:jc w:val="left"/>
              <w:rPr/>
            </w:pPr>
            <w:r>
              <w:rPr/>
              <w:t>Net Adjustment to Accumulated deficit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0" w:type="dxa"/>
            <w:tcBorders>
              <w:bottom w:val="single" w:sz="12" w:space="0" w:color="000000"/>
            </w:tcBorders>
            <w:shd w:fill="CCEEFF" w:val="clear"/>
            <w:tcMar>
              <w:bottom w:w="28" w:type="dxa"/>
            </w:tcMar>
            <w:vAlign w:val="center"/>
          </w:tcPr>
          <w:p>
            <w:pPr>
              <w:pStyle w:val="TableContents"/>
              <w:bidi w:val="0"/>
              <w:spacing w:before="0" w:after="283"/>
              <w:jc w:val="right"/>
              <w:rPr/>
            </w:pPr>
            <w:r>
              <w:rPr/>
              <w:t>1,067,321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7"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5" w:type="dxa"/>
            <w:tcBorders>
              <w:bottom w:val="single" w:sz="12" w:space="0" w:color="000000"/>
            </w:tcBorders>
            <w:shd w:fill="CCEEFF" w:val="clear"/>
            <w:tcMar>
              <w:bottom w:w="28" w:type="dxa"/>
            </w:tcMar>
            <w:vAlign w:val="center"/>
          </w:tcPr>
          <w:p>
            <w:pPr>
              <w:pStyle w:val="TableContents"/>
              <w:bidi w:val="0"/>
              <w:spacing w:before="0" w:after="283"/>
              <w:jc w:val="right"/>
              <w:rPr/>
            </w:pPr>
            <w:r>
              <w:rPr/>
              <w:t>(7,107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1,060,214</w:t>
            </w:r>
          </w:p>
        </w:tc>
        <w:tc>
          <w:tcPr>
            <w:tcW w:w="109" w:type="dxa"/>
            <w:tcBorders/>
            <w:shd w:fill="CCEEFF" w:val="clear"/>
            <w:vAlign w:val="center"/>
          </w:tcPr>
          <w:p>
            <w:pPr>
              <w:pStyle w:val="TableContents"/>
              <w:bidi w:val="0"/>
              <w:spacing w:before="0" w:after="283"/>
              <w:ind w:left="0" w:right="0" w:hanging="200"/>
              <w:jc w:val="left"/>
              <w:rPr/>
            </w:pPr>
            <w:r>
              <w:rPr/>
              <w:t> </w:t>
            </w:r>
          </w:p>
        </w:tc>
      </w:tr>
      <w:tr>
        <w:trPr/>
        <w:tc>
          <w:tcPr>
            <w:tcW w:w="4804" w:type="dxa"/>
            <w:tcBorders/>
            <w:shd w:fill="FFFFFF" w:val="clear"/>
            <w:vAlign w:val="center"/>
          </w:tcPr>
          <w:p>
            <w:pPr>
              <w:pStyle w:val="TableContents"/>
              <w:bidi w:val="0"/>
              <w:spacing w:before="0" w:after="283"/>
              <w:jc w:val="left"/>
              <w:rPr/>
            </w:pPr>
            <w:r>
              <w:rPr/>
              <w:t>Net Adjustment to Stockholders’ equity</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1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1167"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264,654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86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(7,107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b/>
              </w:rPr>
            </w:pPr>
            <w:r>
              <w:rPr>
                <w:b/>
              </w:rPr>
              <w:t>$</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309,043</w:t>
            </w:r>
          </w:p>
        </w:tc>
        <w:tc>
          <w:tcPr>
            <w:tcW w:w="10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ind w:left="360" w:right="0" w:hanging="360"/>
        <w:jc w:val="left"/>
        <w:rPr>
          <w:bdr w:val="single" w:sz="12" w:space="1" w:color="000000"/>
        </w:rPr>
      </w:pPr>
      <w:r>
        <w:rPr>
          <w:bdr w:val="single" w:sz="12" w:space="1" w:color="000000"/>
        </w:rPr>
        <w:t> </w:t>
      </w:r>
    </w:p>
    <w:tbl>
      <w:tblPr>
        <w:tblW w:w="8928" w:type="dxa"/>
        <w:jc w:val="left"/>
        <w:tblInd w:w="0" w:type="dxa"/>
        <w:tblLayout w:type="fixed"/>
        <w:tblCellMar>
          <w:top w:w="0" w:type="dxa"/>
          <w:left w:w="0" w:type="dxa"/>
          <w:bottom w:w="0" w:type="dxa"/>
          <w:right w:w="0" w:type="dxa"/>
        </w:tblCellMar>
      </w:tblPr>
      <w:tblGrid>
        <w:gridCol w:w="38"/>
        <w:gridCol w:w="290"/>
        <w:gridCol w:w="860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8600" w:type="dxa"/>
            <w:tcBorders/>
            <w:vAlign w:val="center"/>
          </w:tcPr>
          <w:p>
            <w:pPr>
              <w:pStyle w:val="TableContents"/>
              <w:bidi w:val="0"/>
              <w:spacing w:before="0" w:after="283"/>
              <w:jc w:val="both"/>
              <w:rPr/>
            </w:pPr>
            <w:r>
              <w:rPr/>
              <w:t>Represents the elimination of LivePerson’s historical equity balances as of March 31, 2026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283"/>
              <w:jc w:val="both"/>
              <w:rPr/>
            </w:pPr>
            <w:r>
              <w:rPr/>
              <w:t>Reflects the preliminary equity purchase consideration of $264.7 million as estimated on June 25, 2026. This includes the issuance of 42.6 million Common Shares at $.0001 Par Value.</w:t>
            </w:r>
          </w:p>
        </w:tc>
      </w:tr>
    </w:tbl>
    <w:p>
      <w:pPr>
        <w:pStyle w:val="TextBody"/>
        <w:bidi w:val="0"/>
        <w:spacing w:before="0" w:after="283"/>
        <w:jc w:val="left"/>
        <w:rPr/>
      </w:pPr>
      <w:r>
        <w:rPr/>
        <w:t> </w:t>
      </w:r>
    </w:p>
    <w:tbl>
      <w:tblPr>
        <w:tblW w:w="5988" w:type="dxa"/>
        <w:jc w:val="left"/>
        <w:tblInd w:w="0" w:type="dxa"/>
        <w:tblLayout w:type="fixed"/>
        <w:tblCellMar>
          <w:top w:w="0" w:type="dxa"/>
          <w:left w:w="0" w:type="dxa"/>
          <w:bottom w:w="0" w:type="dxa"/>
          <w:right w:w="0" w:type="dxa"/>
        </w:tblCellMar>
      </w:tblPr>
      <w:tblGrid>
        <w:gridCol w:w="38"/>
        <w:gridCol w:w="290"/>
        <w:gridCol w:w="56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(3)</w:t>
            </w:r>
          </w:p>
        </w:tc>
        <w:tc>
          <w:tcPr>
            <w:tcW w:w="5660" w:type="dxa"/>
            <w:tcBorders/>
            <w:vAlign w:val="center"/>
          </w:tcPr>
          <w:p>
            <w:pPr>
              <w:pStyle w:val="TableContents"/>
              <w:bidi w:val="0"/>
              <w:spacing w:before="0" w:after="283"/>
              <w:jc w:val="both"/>
              <w:rPr/>
            </w:pPr>
            <w:r>
              <w:rPr/>
              <w:t>Reflects expected acquiror transaction costs of $7.1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(k)</w:t>
            </w:r>
          </w:p>
        </w:tc>
        <w:tc>
          <w:tcPr>
            <w:tcW w:w="9934" w:type="dxa"/>
            <w:tcBorders/>
            <w:vAlign w:val="center"/>
          </w:tcPr>
          <w:p>
            <w:pPr>
              <w:pStyle w:val="TableContents"/>
              <w:bidi w:val="0"/>
              <w:spacing w:before="0" w:after="283"/>
              <w:jc w:val="both"/>
              <w:rPr/>
            </w:pPr>
            <w:r>
              <w:rPr/>
              <w:t>Reflects the elimination of LivePerson’s historical amortization expense and the recognition of new amortization expense related to the acquired identifiable intangible assets based on their estimated fair value on the acquisition date. Amortization expense is calculated based on the estimated fair value of each of the identifiable intangible assets and the associated estimated useful lives.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acquired intangible assets have been amortized using a straight-line method based on their estimated useful lives as if the LivePerson Merger had been completed on January 1, 2025.</w:t>
      </w:r>
    </w:p>
    <w:p>
      <w:pPr>
        <w:pStyle w:val="TextBody"/>
        <w:bidi w:val="0"/>
        <w:spacing w:before="0" w:after="0"/>
        <w:ind w:left="360" w:right="0" w:hanging="0"/>
        <w:jc w:val="both"/>
        <w:rPr>
          <w:caps w:val="false"/>
          <w:smallCaps w:val="false"/>
        </w:rPr>
      </w:pPr>
      <w:r>
        <w:rPr>
          <w:caps w:val="false"/>
          <w:smallCaps w:val="false"/>
        </w:rPr>
        <w:t> </w:t>
      </w:r>
    </w:p>
    <w:tbl>
      <w:tblPr>
        <w:tblW w:w="10203" w:type="dxa"/>
        <w:jc w:val="left"/>
        <w:tblInd w:w="0" w:type="dxa"/>
        <w:tblLayout w:type="fixed"/>
        <w:tblCellMar>
          <w:top w:w="0" w:type="dxa"/>
          <w:left w:w="0" w:type="dxa"/>
          <w:bottom w:w="28" w:type="dxa"/>
          <w:right w:w="0" w:type="dxa"/>
        </w:tblCellMar>
      </w:tblPr>
      <w:tblGrid>
        <w:gridCol w:w="5795"/>
        <w:gridCol w:w="60"/>
        <w:gridCol w:w="292"/>
        <w:gridCol w:w="1168"/>
        <w:gridCol w:w="60"/>
        <w:gridCol w:w="60"/>
        <w:gridCol w:w="251"/>
        <w:gridCol w:w="1223"/>
        <w:gridCol w:w="60"/>
        <w:gridCol w:w="60"/>
        <w:gridCol w:w="173"/>
        <w:gridCol w:w="926"/>
        <w:gridCol w:w="75"/>
      </w:tblGrid>
      <w:tr>
        <w:trPr/>
        <w:tc>
          <w:tcPr>
            <w:tcW w:w="5795" w:type="dxa"/>
            <w:tcBorders>
              <w:bottom w:val="single" w:sz="12" w:space="0" w:color="000000"/>
            </w:tcBorders>
            <w:vAlign w:val="center"/>
          </w:tcPr>
          <w:p>
            <w:pPr>
              <w:pStyle w:val="TableContents"/>
              <w:bidi w:val="0"/>
              <w:spacing w:before="0" w:after="283"/>
              <w:jc w:val="left"/>
              <w:rPr>
                <w:b/>
              </w:rPr>
            </w:pPr>
            <w:r>
              <w:rPr>
                <w:b/>
              </w:rPr>
              <w:t>Intangible assets acquired</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three months </w:t>
              <w:br/>
              <w:t xml:space="preserve">ended </w:t>
              <w:br/>
              <w:t xml:space="preserve">March 31, </w:t>
              <w:br/>
              <w:t>2026</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bottom w:val="single" w:sz="12" w:space="0" w:color="000000"/>
            </w:tcBorders>
            <w:vAlign w:val="center"/>
          </w:tcPr>
          <w:p>
            <w:pPr>
              <w:pStyle w:val="TableContents"/>
              <w:bidi w:val="0"/>
              <w:spacing w:before="0" w:after="283"/>
              <w:jc w:val="center"/>
              <w:rPr>
                <w:b/>
              </w:rPr>
            </w:pPr>
            <w:r>
              <w:rPr>
                <w:b/>
              </w:rPr>
              <w:t xml:space="preserve">For the </w:t>
              <w:br/>
              <w:t xml:space="preserve">year ended </w:t>
              <w:br/>
              <w:t xml:space="preserve">December 31,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bottom w:val="single" w:sz="12" w:space="0" w:color="000000"/>
            </w:tcBorders>
            <w:vAlign w:val="center"/>
          </w:tcPr>
          <w:p>
            <w:pPr>
              <w:pStyle w:val="TableContents"/>
              <w:bidi w:val="0"/>
              <w:spacing w:before="0" w:after="283"/>
              <w:jc w:val="center"/>
              <w:rPr>
                <w:b/>
              </w:rPr>
            </w:pPr>
            <w:r>
              <w:rPr>
                <w:b/>
              </w:rPr>
              <w:t xml:space="preserve">Estimated </w:t>
              <w:br/>
              <w:t>useful life</w:t>
            </w:r>
          </w:p>
        </w:tc>
        <w:tc>
          <w:tcPr>
            <w:tcW w:w="75" w:type="dxa"/>
            <w:tcBorders/>
            <w:tcMar>
              <w:bottom w:w="0" w:type="dxa"/>
            </w:tcMar>
            <w:vAlign w:val="center"/>
          </w:tcPr>
          <w:p>
            <w:pPr>
              <w:pStyle w:val="TableContents"/>
              <w:bidi w:val="0"/>
              <w:spacing w:before="0" w:after="283"/>
              <w:jc w:val="left"/>
              <w:rPr/>
            </w:pPr>
            <w:r>
              <w:rPr/>
              <w:t> </w:t>
            </w:r>
          </w:p>
        </w:tc>
      </w:tr>
      <w:tr>
        <w:trPr/>
        <w:tc>
          <w:tcPr>
            <w:tcW w:w="57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0" w:type="dxa"/>
            <w:gridSpan w:val="2"/>
            <w:tcBorders/>
            <w:tcMar>
              <w:bottom w:w="0" w:type="dxa"/>
            </w:tcMar>
            <w:vAlign w:val="center"/>
          </w:tcPr>
          <w:p>
            <w:pPr>
              <w:pStyle w:val="TableContents"/>
              <w:bidi w:val="0"/>
              <w:spacing w:before="0" w:after="283"/>
              <w:jc w:val="center"/>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4" w:type="dxa"/>
            <w:gridSpan w:val="2"/>
            <w:tcBorders/>
            <w:tcMar>
              <w:bottom w:w="0" w:type="dxa"/>
            </w:tcMar>
            <w:vAlign w:val="center"/>
          </w:tcPr>
          <w:p>
            <w:pPr>
              <w:pStyle w:val="TableContents"/>
              <w:bidi w:val="0"/>
              <w:spacing w:before="0" w:after="283"/>
              <w:jc w:val="center"/>
              <w:rPr>
                <w:b/>
              </w:rPr>
            </w:pPr>
            <w:r>
              <w:rPr>
                <w:b/>
              </w:rPr>
              <w:t>(in thousands)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99" w:type="dxa"/>
            <w:gridSpan w:val="2"/>
            <w:tcBorders/>
            <w:tcMar>
              <w:bottom w:w="0" w:type="dxa"/>
            </w:tcMar>
            <w:vAlign w:val="center"/>
          </w:tcPr>
          <w:p>
            <w:pPr>
              <w:pStyle w:val="TableContents"/>
              <w:bidi w:val="0"/>
              <w:spacing w:before="0" w:after="283"/>
              <w:jc w:val="center"/>
              <w:rPr>
                <w:b/>
              </w:rPr>
            </w:pPr>
            <w:r>
              <w:rPr>
                <w:b/>
              </w:rPr>
              <w:t>(in years)</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Trademark/trade name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shd w:fill="CCEEFF" w:val="clear"/>
            <w:tcMar>
              <w:bottom w:w="0" w:type="dxa"/>
            </w:tcMar>
            <w:vAlign w:val="center"/>
          </w:tcPr>
          <w:p>
            <w:pPr>
              <w:pStyle w:val="TableContents"/>
              <w:bidi w:val="0"/>
              <w:spacing w:before="0" w:after="283"/>
              <w:jc w:val="left"/>
              <w:rPr/>
            </w:pPr>
            <w:r>
              <w:rPr/>
              <w:t>$</w:t>
            </w:r>
          </w:p>
        </w:tc>
        <w:tc>
          <w:tcPr>
            <w:tcW w:w="1168" w:type="dxa"/>
            <w:tcBorders/>
            <w:shd w:fill="CCEEFF" w:val="clear"/>
            <w:tcMar>
              <w:bottom w:w="0" w:type="dxa"/>
            </w:tcMar>
            <w:vAlign w:val="center"/>
          </w:tcPr>
          <w:p>
            <w:pPr>
              <w:pStyle w:val="TableContents"/>
              <w:bidi w:val="0"/>
              <w:spacing w:before="0" w:after="283"/>
              <w:jc w:val="right"/>
              <w:rPr/>
            </w:pPr>
            <w:r>
              <w:rPr/>
              <w:t>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shd w:fill="CCEEFF" w:val="clear"/>
            <w:tcMar>
              <w:bottom w:w="0" w:type="dxa"/>
            </w:tcMar>
            <w:vAlign w:val="center"/>
          </w:tcPr>
          <w:p>
            <w:pPr>
              <w:pStyle w:val="TableContents"/>
              <w:bidi w:val="0"/>
              <w:spacing w:before="0" w:after="283"/>
              <w:jc w:val="left"/>
              <w:rPr/>
            </w:pPr>
            <w:r>
              <w:rPr/>
              <w:t>$</w:t>
            </w:r>
          </w:p>
        </w:tc>
        <w:tc>
          <w:tcPr>
            <w:tcW w:w="1223" w:type="dxa"/>
            <w:tcBorders/>
            <w:shd w:fill="CCEEFF" w:val="clear"/>
            <w:tcMar>
              <w:bottom w:w="0" w:type="dxa"/>
            </w:tcMar>
            <w:vAlign w:val="center"/>
          </w:tcPr>
          <w:p>
            <w:pPr>
              <w:pStyle w:val="TableContents"/>
              <w:bidi w:val="0"/>
              <w:spacing w:before="0" w:after="283"/>
              <w:jc w:val="right"/>
              <w:rPr/>
            </w:pPr>
            <w:r>
              <w:rPr/>
              <w:t>1,143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center"/>
              <w:rPr/>
            </w:pPr>
            <w:r>
              <w:rPr/>
              <w:t>3.5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pPr>
            <w:r>
              <w:rPr/>
              <w:t>Customer relationships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shd w:fill="FFFFFF" w:val="clear"/>
            <w:tcMar>
              <w:bottom w:w="0" w:type="dxa"/>
            </w:tcMar>
            <w:vAlign w:val="center"/>
          </w:tcPr>
          <w:p>
            <w:pPr>
              <w:pStyle w:val="TableContents"/>
              <w:bidi w:val="0"/>
              <w:spacing w:before="0" w:after="283"/>
              <w:jc w:val="left"/>
              <w:rPr/>
            </w:pPr>
            <w:r>
              <w:rPr/>
              <w:t> </w:t>
            </w:r>
          </w:p>
        </w:tc>
        <w:tc>
          <w:tcPr>
            <w:tcW w:w="1168" w:type="dxa"/>
            <w:tcBorders/>
            <w:shd w:fill="FFFFFF" w:val="clear"/>
            <w:tcMar>
              <w:bottom w:w="0" w:type="dxa"/>
            </w:tcMar>
            <w:vAlign w:val="center"/>
          </w:tcPr>
          <w:p>
            <w:pPr>
              <w:pStyle w:val="TableContents"/>
              <w:bidi w:val="0"/>
              <w:spacing w:before="0" w:after="283"/>
              <w:jc w:val="right"/>
              <w:rPr/>
            </w:pPr>
            <w:r>
              <w:rPr/>
              <w:t>3,800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shd w:fill="FFFFFF" w:val="clear"/>
            <w:tcMar>
              <w:bottom w:w="0" w:type="dxa"/>
            </w:tcMar>
            <w:vAlign w:val="center"/>
          </w:tcPr>
          <w:p>
            <w:pPr>
              <w:pStyle w:val="TableContents"/>
              <w:bidi w:val="0"/>
              <w:spacing w:before="0" w:after="283"/>
              <w:jc w:val="left"/>
              <w:rPr/>
            </w:pPr>
            <w:r>
              <w:rPr/>
              <w:t> </w:t>
            </w:r>
          </w:p>
        </w:tc>
        <w:tc>
          <w:tcPr>
            <w:tcW w:w="1223" w:type="dxa"/>
            <w:tcBorders/>
            <w:shd w:fill="FFFFFF" w:val="clear"/>
            <w:tcMar>
              <w:bottom w:w="0" w:type="dxa"/>
            </w:tcMar>
            <w:vAlign w:val="center"/>
          </w:tcPr>
          <w:p>
            <w:pPr>
              <w:pStyle w:val="TableContents"/>
              <w:bidi w:val="0"/>
              <w:spacing w:before="0" w:after="283"/>
              <w:jc w:val="right"/>
              <w:rPr/>
            </w:pPr>
            <w:r>
              <w:rPr/>
              <w:t>15,200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center"/>
              <w:rPr/>
            </w:pPr>
            <w:r>
              <w:rPr/>
              <w:t>5</w:t>
            </w:r>
          </w:p>
        </w:tc>
        <w:tc>
          <w:tcPr>
            <w:tcW w:w="75" w:type="dxa"/>
            <w:tcBorders/>
            <w:shd w:fill="FFFFFF" w:val="clear"/>
            <w:tcMar>
              <w:bottom w:w="0" w:type="dxa"/>
            </w:tcMar>
            <w:vAlign w:val="center"/>
          </w:tcPr>
          <w:p>
            <w:pPr>
              <w:pStyle w:val="TableContents"/>
              <w:bidi w:val="0"/>
              <w:spacing w:before="0" w:after="283"/>
              <w:ind w:left="0" w:right="0" w:hanging="200"/>
              <w:jc w:val="left"/>
              <w:rPr/>
            </w:pPr>
            <w:r>
              <w:rPr/>
              <w:t> </w:t>
            </w:r>
          </w:p>
        </w:tc>
      </w:tr>
      <w:tr>
        <w:trPr/>
        <w:tc>
          <w:tcPr>
            <w:tcW w:w="5795" w:type="dxa"/>
            <w:tcBorders/>
            <w:shd w:fill="CCEEFF" w:val="clear"/>
            <w:tcMar>
              <w:bottom w:w="0" w:type="dxa"/>
            </w:tcMar>
            <w:vAlign w:val="center"/>
          </w:tcPr>
          <w:p>
            <w:pPr>
              <w:pStyle w:val="TableContents"/>
              <w:bidi w:val="0"/>
              <w:spacing w:before="0" w:after="283"/>
              <w:jc w:val="left"/>
              <w:rPr/>
            </w:pPr>
            <w:r>
              <w:rPr/>
              <w:t>Developed technology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2" w:type="dxa"/>
            <w:tcBorders>
              <w:bottom w:val="single" w:sz="12" w:space="0" w:color="000000"/>
            </w:tcBorders>
            <w:shd w:fill="CCEEFF" w:val="clear"/>
            <w:vAlign w:val="center"/>
          </w:tcPr>
          <w:p>
            <w:pPr>
              <w:pStyle w:val="TableContents"/>
              <w:bidi w:val="0"/>
              <w:spacing w:before="0" w:after="283"/>
              <w:jc w:val="left"/>
              <w:rPr/>
            </w:pPr>
            <w:r>
              <w:rPr/>
              <w:t> </w:t>
            </w:r>
          </w:p>
        </w:tc>
        <w:tc>
          <w:tcPr>
            <w:tcW w:w="1168" w:type="dxa"/>
            <w:tcBorders>
              <w:bottom w:val="single" w:sz="12" w:space="0" w:color="000000"/>
            </w:tcBorders>
            <w:shd w:fill="CCEEFF" w:val="clear"/>
            <w:vAlign w:val="center"/>
          </w:tcPr>
          <w:p>
            <w:pPr>
              <w:pStyle w:val="TableContents"/>
              <w:bidi w:val="0"/>
              <w:spacing w:before="0" w:after="283"/>
              <w:jc w:val="right"/>
              <w:rPr/>
            </w:pPr>
            <w:r>
              <w:rPr/>
              <w:t>1,900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1" w:type="dxa"/>
            <w:tcBorders>
              <w:bottom w:val="single" w:sz="12" w:space="0" w:color="000000"/>
            </w:tcBorders>
            <w:shd w:fill="CCEEFF" w:val="clear"/>
            <w:vAlign w:val="center"/>
          </w:tcPr>
          <w:p>
            <w:pPr>
              <w:pStyle w:val="TableContents"/>
              <w:bidi w:val="0"/>
              <w:spacing w:before="0" w:after="283"/>
              <w:jc w:val="left"/>
              <w:rPr/>
            </w:pPr>
            <w:r>
              <w:rPr/>
              <w:t> </w:t>
            </w:r>
          </w:p>
        </w:tc>
        <w:tc>
          <w:tcPr>
            <w:tcW w:w="1223" w:type="dxa"/>
            <w:tcBorders>
              <w:bottom w:val="single" w:sz="12" w:space="0" w:color="000000"/>
            </w:tcBorders>
            <w:shd w:fill="CCEEFF" w:val="clear"/>
            <w:vAlign w:val="center"/>
          </w:tcPr>
          <w:p>
            <w:pPr>
              <w:pStyle w:val="TableContents"/>
              <w:bidi w:val="0"/>
              <w:spacing w:before="0" w:after="283"/>
              <w:jc w:val="right"/>
              <w:rPr/>
            </w:pPr>
            <w:r>
              <w:rPr/>
              <w:t>7,600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center"/>
              <w:rPr/>
            </w:pPr>
            <w:r>
              <w:rPr/>
              <w:t>5</w:t>
            </w:r>
          </w:p>
        </w:tc>
        <w:tc>
          <w:tcPr>
            <w:tcW w:w="75"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5795" w:type="dxa"/>
            <w:tcBorders/>
            <w:shd w:fill="FFFFFF" w:val="clear"/>
            <w:tcMar>
              <w:bottom w:w="0" w:type="dxa"/>
            </w:tcMar>
            <w:vAlign w:val="center"/>
          </w:tcPr>
          <w:p>
            <w:pPr>
              <w:pStyle w:val="TableContents"/>
              <w:bidi w:val="0"/>
              <w:spacing w:before="0" w:after="283"/>
              <w:jc w:val="left"/>
              <w:rPr>
                <w:b/>
              </w:rPr>
            </w:pPr>
            <w:r>
              <w:rPr>
                <w:b/>
              </w:rPr>
              <w:t>Total amortization expense for acquired intangible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2" w:type="dxa"/>
            <w:tcBorders>
              <w:bottom w:val="double" w:sz="10" w:space="0" w:color="000000"/>
            </w:tcBorders>
            <w:shd w:fill="FFFFFF" w:val="clear"/>
            <w:vAlign w:val="center"/>
          </w:tcPr>
          <w:p>
            <w:pPr>
              <w:pStyle w:val="TableContents"/>
              <w:bidi w:val="0"/>
              <w:spacing w:before="0" w:after="283"/>
              <w:jc w:val="left"/>
              <w:rPr/>
            </w:pPr>
            <w:r>
              <w:rPr/>
              <w:t>$</w:t>
            </w:r>
          </w:p>
        </w:tc>
        <w:tc>
          <w:tcPr>
            <w:tcW w:w="1168" w:type="dxa"/>
            <w:tcBorders>
              <w:bottom w:val="double" w:sz="10" w:space="0" w:color="000000"/>
            </w:tcBorders>
            <w:shd w:fill="FFFFFF" w:val="clear"/>
            <w:vAlign w:val="center"/>
          </w:tcPr>
          <w:p>
            <w:pPr>
              <w:pStyle w:val="TableContents"/>
              <w:bidi w:val="0"/>
              <w:spacing w:before="0" w:after="283"/>
              <w:jc w:val="right"/>
              <w:rPr/>
            </w:pPr>
            <w:r>
              <w:rPr/>
              <w:t>5,986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1" w:type="dxa"/>
            <w:tcBorders>
              <w:bottom w:val="double" w:sz="10" w:space="0" w:color="000000"/>
            </w:tcBorders>
            <w:shd w:fill="FFFFFF" w:val="clear"/>
            <w:vAlign w:val="center"/>
          </w:tcPr>
          <w:p>
            <w:pPr>
              <w:pStyle w:val="TableContents"/>
              <w:bidi w:val="0"/>
              <w:spacing w:before="0" w:after="283"/>
              <w:jc w:val="left"/>
              <w:rPr/>
            </w:pPr>
            <w:r>
              <w:rPr/>
              <w:t>$</w:t>
            </w:r>
          </w:p>
        </w:tc>
        <w:tc>
          <w:tcPr>
            <w:tcW w:w="1223" w:type="dxa"/>
            <w:tcBorders>
              <w:bottom w:val="double" w:sz="10" w:space="0" w:color="000000"/>
            </w:tcBorders>
            <w:shd w:fill="FFFFFF" w:val="clear"/>
            <w:vAlign w:val="center"/>
          </w:tcPr>
          <w:p>
            <w:pPr>
              <w:pStyle w:val="TableContents"/>
              <w:bidi w:val="0"/>
              <w:spacing w:before="0" w:after="283"/>
              <w:jc w:val="right"/>
              <w:rPr/>
            </w:pPr>
            <w:r>
              <w:rPr/>
              <w:t>23,943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926"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Cost of revenues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5"/>
        <w:gridCol w:w="60"/>
        <w:gridCol w:w="290"/>
        <w:gridCol w:w="1161"/>
        <w:gridCol w:w="60"/>
        <w:gridCol w:w="60"/>
        <w:gridCol w:w="290"/>
        <w:gridCol w:w="1162"/>
        <w:gridCol w:w="77"/>
      </w:tblGrid>
      <w:tr>
        <w:trPr/>
        <w:tc>
          <w:tcPr>
            <w:tcW w:w="7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three months</w:t>
            </w:r>
            <w:r>
              <w:rPr>
                <w:rFonts w:ascii="Times New Roman;Times;Serif" w:hAnsi="Times New Roman;Times;Serif"/>
                <w:b/>
                <w:sz w:val="20"/>
                <w:u w:val="single"/>
              </w:rPr>
              <w:br/>
            </w:r>
            <w:r>
              <w:rPr>
                <w:rFonts w:ascii="Times New Roman;Times;Serif" w:hAnsi="Times New Roman;Times;Serif"/>
                <w:b/>
                <w:sz w:val="20"/>
              </w:rPr>
              <w:t xml:space="preserve">ended </w:t>
              <w:b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year ended</w:t>
            </w:r>
            <w:r>
              <w:rPr>
                <w:rFonts w:ascii="Times New Roman;Times;Serif" w:hAnsi="Times New Roman;Times;Serif"/>
                <w:b/>
                <w:sz w:val="20"/>
                <w:u w:val="single"/>
              </w:rPr>
              <w:br/>
            </w:r>
            <w:r>
              <w:rPr>
                <w:rFonts w:ascii="Times New Roman;Times;Serif" w:hAnsi="Times New Roman;Times;Serif"/>
                <w:b/>
                <w:sz w:val="20"/>
              </w:rPr>
              <w:t xml:space="preserve">December 31, </w:t>
              <w:br/>
              <w:t>2025</w:t>
            </w:r>
          </w:p>
        </w:tc>
        <w:tc>
          <w:tcPr>
            <w:tcW w:w="77" w:type="dxa"/>
            <w:tcBorders/>
            <w:vAlign w:val="center"/>
          </w:tcPr>
          <w:p>
            <w:pPr>
              <w:pStyle w:val="TableContents"/>
              <w:bidi w:val="0"/>
              <w:spacing w:before="0" w:after="283"/>
              <w:jc w:val="left"/>
              <w:rPr/>
            </w:pPr>
            <w:r>
              <w:rPr/>
              <w:t> </w:t>
            </w:r>
          </w:p>
        </w:tc>
      </w:tr>
      <w:tr>
        <w:trPr/>
        <w:tc>
          <w:tcPr>
            <w:tcW w:w="7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vAlign w:val="center"/>
          </w:tcPr>
          <w:p>
            <w:pPr>
              <w:pStyle w:val="TableContents"/>
              <w:bidi w:val="0"/>
              <w:spacing w:before="0" w:after="283"/>
              <w:jc w:val="center"/>
              <w:rPr>
                <w:b/>
              </w:rPr>
            </w:pPr>
            <w:r>
              <w:rPr>
                <w:b/>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2" w:type="dxa"/>
            <w:gridSpan w:val="2"/>
            <w:tcBorders/>
            <w:vAlign w:val="center"/>
          </w:tcPr>
          <w:p>
            <w:pPr>
              <w:pStyle w:val="TableContents"/>
              <w:bidi w:val="0"/>
              <w:spacing w:before="0" w:after="283"/>
              <w:jc w:val="center"/>
              <w:rPr>
                <w:b/>
              </w:rPr>
            </w:pPr>
            <w:r>
              <w:rPr>
                <w:b/>
              </w:rPr>
              <w:t>(in thousands)</w:t>
            </w:r>
          </w:p>
        </w:tc>
        <w:tc>
          <w:tcPr>
            <w:tcW w:w="77" w:type="dxa"/>
            <w:tcBorders/>
            <w:vAlign w:val="center"/>
          </w:tcPr>
          <w:p>
            <w:pPr>
              <w:pStyle w:val="TableContents"/>
              <w:bidi w:val="0"/>
              <w:spacing w:before="0" w:after="283"/>
              <w:ind w:left="0" w:right="0" w:hanging="200"/>
              <w:jc w:val="left"/>
              <w:rPr/>
            </w:pPr>
            <w:r>
              <w:rPr/>
              <w:t> </w:t>
            </w:r>
          </w:p>
        </w:tc>
      </w:tr>
      <w:tr>
        <w:trPr/>
        <w:tc>
          <w:tcPr>
            <w:tcW w:w="7045" w:type="dxa"/>
            <w:tcBorders/>
            <w:shd w:fill="CCEEFF" w:val="clear"/>
            <w:vAlign w:val="center"/>
          </w:tcPr>
          <w:p>
            <w:pPr>
              <w:pStyle w:val="TableContents"/>
              <w:bidi w:val="0"/>
              <w:spacing w:before="0" w:after="283"/>
              <w:jc w:val="left"/>
              <w:rPr/>
            </w:pPr>
            <w:r>
              <w:rPr/>
              <w:t>Amortization expense for acquired intangible assets (developed technology)</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single" w:sz="12" w:space="0" w:color="000000"/>
            </w:tcBorders>
            <w:shd w:fill="CCEEFF" w:val="clear"/>
            <w:tcMar>
              <w:bottom w:w="28" w:type="dxa"/>
            </w:tcMar>
            <w:vAlign w:val="center"/>
          </w:tcPr>
          <w:p>
            <w:pPr>
              <w:pStyle w:val="TableContents"/>
              <w:bidi w:val="0"/>
              <w:spacing w:before="0" w:after="283"/>
              <w:jc w:val="right"/>
              <w:rPr/>
            </w:pPr>
            <w:r>
              <w:rPr/>
              <w:t>1,900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62" w:type="dxa"/>
            <w:tcBorders>
              <w:bottom w:val="single" w:sz="12" w:space="0" w:color="000000"/>
            </w:tcBorders>
            <w:shd w:fill="CCEEFF" w:val="clear"/>
            <w:tcMar>
              <w:bottom w:w="28" w:type="dxa"/>
            </w:tcMar>
            <w:vAlign w:val="center"/>
          </w:tcPr>
          <w:p>
            <w:pPr>
              <w:pStyle w:val="TableContents"/>
              <w:bidi w:val="0"/>
              <w:spacing w:before="0" w:after="283"/>
              <w:jc w:val="right"/>
              <w:rPr/>
            </w:pPr>
            <w:r>
              <w:rPr/>
              <w:t>7,600</w:t>
            </w:r>
          </w:p>
        </w:tc>
        <w:tc>
          <w:tcPr>
            <w:tcW w:w="77" w:type="dxa"/>
            <w:tcBorders/>
            <w:shd w:fill="CCEEFF" w:val="clear"/>
            <w:vAlign w:val="center"/>
          </w:tcPr>
          <w:p>
            <w:pPr>
              <w:pStyle w:val="TableContents"/>
              <w:bidi w:val="0"/>
              <w:spacing w:before="0" w:after="283"/>
              <w:ind w:left="0" w:right="0" w:hanging="200"/>
              <w:jc w:val="left"/>
              <w:rPr/>
            </w:pPr>
            <w:r>
              <w:rPr/>
              <w:t> </w:t>
            </w:r>
          </w:p>
        </w:tc>
      </w:tr>
      <w:tr>
        <w:trPr/>
        <w:tc>
          <w:tcPr>
            <w:tcW w:w="7045" w:type="dxa"/>
            <w:tcBorders/>
            <w:shd w:fill="FFFFFF" w:val="clear"/>
            <w:vAlign w:val="center"/>
          </w:tcPr>
          <w:p>
            <w:pPr>
              <w:pStyle w:val="TableContents"/>
              <w:bidi w:val="0"/>
              <w:spacing w:before="0" w:after="283"/>
              <w:jc w:val="left"/>
              <w:rPr>
                <w:b/>
              </w:rPr>
            </w:pPr>
            <w:r>
              <w:rPr>
                <w:b/>
              </w:rPr>
              <w:t>Adjustment to cost of revenues</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1" w:type="dxa"/>
            <w:tcBorders>
              <w:bottom w:val="double" w:sz="10" w:space="0" w:color="000000"/>
            </w:tcBorders>
            <w:shd w:fill="FFFFFF" w:val="clear"/>
            <w:tcMar>
              <w:bottom w:w="28" w:type="dxa"/>
            </w:tcMar>
            <w:vAlign w:val="center"/>
          </w:tcPr>
          <w:p>
            <w:pPr>
              <w:pStyle w:val="TableContents"/>
              <w:bidi w:val="0"/>
              <w:spacing w:before="0" w:after="283"/>
              <w:jc w:val="right"/>
              <w:rPr/>
            </w:pPr>
            <w:r>
              <w:rPr/>
              <w:t>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62" w:type="dxa"/>
            <w:tcBorders>
              <w:bottom w:val="double" w:sz="10" w:space="0" w:color="000000"/>
            </w:tcBorders>
            <w:shd w:fill="FFFFFF" w:val="clear"/>
            <w:tcMar>
              <w:bottom w:w="28" w:type="dxa"/>
            </w:tcMar>
            <w:vAlign w:val="center"/>
          </w:tcPr>
          <w:p>
            <w:pPr>
              <w:pStyle w:val="TableContents"/>
              <w:bidi w:val="0"/>
              <w:spacing w:before="0" w:after="283"/>
              <w:jc w:val="right"/>
              <w:rPr/>
            </w:pPr>
            <w:r>
              <w:rPr/>
              <w:t>7,600</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Adjustment to Amortization of intangible assets —</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8"/>
        <w:gridCol w:w="60"/>
        <w:gridCol w:w="271"/>
        <w:gridCol w:w="1086"/>
        <w:gridCol w:w="95"/>
        <w:gridCol w:w="60"/>
        <w:gridCol w:w="233"/>
        <w:gridCol w:w="1141"/>
        <w:gridCol w:w="101"/>
      </w:tblGrid>
      <w:tr>
        <w:trPr/>
        <w:tc>
          <w:tcPr>
            <w:tcW w:w="7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three months</w:t>
            </w:r>
            <w:r>
              <w:rPr>
                <w:rFonts w:ascii="Times New Roman;Times;Serif" w:hAnsi="Times New Roman;Times;Serif"/>
                <w:b/>
                <w:sz w:val="20"/>
                <w:u w:val="single"/>
              </w:rPr>
              <w:br/>
            </w:r>
            <w:r>
              <w:rPr>
                <w:rFonts w:ascii="Times New Roman;Times;Serif" w:hAnsi="Times New Roman;Times;Serif"/>
                <w:b/>
                <w:sz w:val="20"/>
              </w:rPr>
              <w:t xml:space="preserve">ended </w:t>
              <w:br/>
              <w:t xml:space="preserve">March 31,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year </w:t>
              <w:br/>
              <w:t>ended</w:t>
            </w:r>
            <w:r>
              <w:rPr>
                <w:rFonts w:ascii="Times New Roman;Times;Serif" w:hAnsi="Times New Roman;Times;Serif"/>
                <w:b/>
                <w:sz w:val="20"/>
                <w:u w:val="single"/>
              </w:rPr>
              <w:br/>
            </w:r>
            <w:r>
              <w:rPr>
                <w:rFonts w:ascii="Times New Roman;Times;Serif" w:hAnsi="Times New Roman;Times;Serif"/>
                <w:b/>
                <w:sz w:val="20"/>
              </w:rPr>
              <w:t xml:space="preserve">December 31, </w:t>
              <w:br/>
              <w:t>2025</w:t>
            </w:r>
          </w:p>
        </w:tc>
        <w:tc>
          <w:tcPr>
            <w:tcW w:w="101" w:type="dxa"/>
            <w:tcBorders/>
            <w:vAlign w:val="center"/>
          </w:tcPr>
          <w:p>
            <w:pPr>
              <w:pStyle w:val="TableContents"/>
              <w:bidi w:val="0"/>
              <w:spacing w:before="0" w:after="283"/>
              <w:jc w:val="left"/>
              <w:rPr/>
            </w:pPr>
            <w:r>
              <w:rPr/>
              <w:t> </w:t>
            </w:r>
          </w:p>
        </w:tc>
      </w:tr>
      <w:tr>
        <w:trPr/>
        <w:tc>
          <w:tcPr>
            <w:tcW w:w="71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vAlign w:val="center"/>
          </w:tcPr>
          <w:p>
            <w:pPr>
              <w:pStyle w:val="TableContents"/>
              <w:bidi w:val="0"/>
              <w:spacing w:before="0" w:after="283"/>
              <w:jc w:val="center"/>
              <w:rPr>
                <w:b/>
              </w:rPr>
            </w:pPr>
            <w:r>
              <w:rPr>
                <w:b/>
              </w:rPr>
              <w:t>(in thousands)</w:t>
            </w:r>
          </w:p>
        </w:tc>
        <w:tc>
          <w:tcPr>
            <w:tcW w:w="101" w:type="dxa"/>
            <w:tcBorders/>
            <w:vAlign w:val="center"/>
          </w:tcPr>
          <w:p>
            <w:pPr>
              <w:pStyle w:val="TableContents"/>
              <w:bidi w:val="0"/>
              <w:spacing w:before="0" w:after="283"/>
              <w:ind w:left="0" w:right="0" w:hanging="200"/>
              <w:jc w:val="left"/>
              <w:rPr/>
            </w:pPr>
            <w:r>
              <w:rPr/>
              <w:t> </w:t>
            </w:r>
          </w:p>
        </w:tc>
      </w:tr>
      <w:tr>
        <w:trPr/>
        <w:tc>
          <w:tcPr>
            <w:tcW w:w="7158" w:type="dxa"/>
            <w:tcBorders/>
            <w:shd w:fill="CCEEFF" w:val="clear"/>
            <w:vAlign w:val="center"/>
          </w:tcPr>
          <w:p>
            <w:pPr>
              <w:pStyle w:val="TableContents"/>
              <w:bidi w:val="0"/>
              <w:spacing w:before="0" w:after="283"/>
              <w:jc w:val="left"/>
              <w:rPr/>
            </w:pPr>
            <w:r>
              <w:rPr/>
              <w:t>Amortization expense for acquired intangible assets (customer relationship and trademark/trade name)</w:t>
            </w:r>
          </w:p>
        </w:tc>
        <w:tc>
          <w:tcPr>
            <w:tcW w:w="6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086" w:type="dxa"/>
            <w:tcBorders/>
            <w:shd w:fill="CCEEFF" w:val="clear"/>
            <w:vAlign w:val="center"/>
          </w:tcPr>
          <w:p>
            <w:pPr>
              <w:pStyle w:val="TableContents"/>
              <w:bidi w:val="0"/>
              <w:spacing w:before="0" w:after="283"/>
              <w:jc w:val="right"/>
              <w:rPr/>
            </w:pPr>
            <w:r>
              <w:rPr/>
              <w:t>4,086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16,343</w:t>
            </w:r>
          </w:p>
        </w:tc>
        <w:tc>
          <w:tcPr>
            <w:tcW w:w="101" w:type="dxa"/>
            <w:tcBorders/>
            <w:shd w:fill="CCEEFF" w:val="clear"/>
            <w:vAlign w:val="center"/>
          </w:tcPr>
          <w:p>
            <w:pPr>
              <w:pStyle w:val="TableContents"/>
              <w:bidi w:val="0"/>
              <w:spacing w:before="0" w:after="283"/>
              <w:ind w:left="0" w:right="0" w:hanging="200"/>
              <w:jc w:val="left"/>
              <w:rPr/>
            </w:pPr>
            <w:r>
              <w:rPr/>
              <w:t> </w:t>
            </w:r>
          </w:p>
        </w:tc>
      </w:tr>
      <w:tr>
        <w:trPr/>
        <w:tc>
          <w:tcPr>
            <w:tcW w:w="7158" w:type="dxa"/>
            <w:tcBorders/>
            <w:shd w:fill="FFFFFF" w:val="clear"/>
            <w:vAlign w:val="center"/>
          </w:tcPr>
          <w:p>
            <w:pPr>
              <w:pStyle w:val="TableContents"/>
              <w:bidi w:val="0"/>
              <w:spacing w:before="0" w:after="283"/>
              <w:jc w:val="left"/>
              <w:rPr/>
            </w:pPr>
            <w:r>
              <w:rPr/>
              <w:t>Elimination of LivePerson’s historical intangible asset amortization expense</w:t>
            </w:r>
          </w:p>
        </w:tc>
        <w:tc>
          <w:tcPr>
            <w:tcW w:w="60" w:type="dxa"/>
            <w:tcBorders/>
            <w:shd w:fill="FFFFFF" w:val="clear"/>
            <w:vAlign w:val="center"/>
          </w:tcPr>
          <w:p>
            <w:pPr>
              <w:pStyle w:val="TableContents"/>
              <w:bidi w:val="0"/>
              <w:spacing w:before="0" w:after="283"/>
              <w:jc w:val="left"/>
              <w:rPr/>
            </w:pPr>
            <w:r>
              <w:rPr/>
              <w:t> </w:t>
            </w:r>
          </w:p>
        </w:tc>
        <w:tc>
          <w:tcPr>
            <w:tcW w:w="271"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pPr>
            <w:r>
              <w:rPr/>
              <w:t>(172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12" w:space="0" w:color="000000"/>
            </w:tcBorders>
            <w:shd w:fill="FFFFFF" w:val="clear"/>
            <w:tcMar>
              <w:bottom w:w="28" w:type="dxa"/>
            </w:tcMar>
            <w:vAlign w:val="center"/>
          </w:tcPr>
          <w:p>
            <w:pPr>
              <w:pStyle w:val="TableContents"/>
              <w:bidi w:val="0"/>
              <w:spacing w:before="0" w:after="283"/>
              <w:jc w:val="right"/>
              <w:rPr/>
            </w:pPr>
            <w:r>
              <w:rPr/>
              <w:t>(709</w:t>
            </w:r>
          </w:p>
        </w:tc>
        <w:tc>
          <w:tcPr>
            <w:tcW w:w="101" w:type="dxa"/>
            <w:tcBorders/>
            <w:shd w:fill="FFFFFF" w:val="clear"/>
            <w:vAlign w:val="center"/>
          </w:tcPr>
          <w:p>
            <w:pPr>
              <w:pStyle w:val="TableContents"/>
              <w:bidi w:val="0"/>
              <w:spacing w:before="0" w:after="283"/>
              <w:ind w:left="0" w:right="0" w:hanging="200"/>
              <w:jc w:val="left"/>
              <w:rPr/>
            </w:pPr>
            <w:r>
              <w:rPr/>
              <w:t>)</w:t>
            </w:r>
          </w:p>
        </w:tc>
      </w:tr>
      <w:tr>
        <w:trPr/>
        <w:tc>
          <w:tcPr>
            <w:tcW w:w="7158" w:type="dxa"/>
            <w:tcBorders/>
            <w:shd w:fill="CCEEFF" w:val="clear"/>
            <w:vAlign w:val="center"/>
          </w:tcPr>
          <w:p>
            <w:pPr>
              <w:pStyle w:val="TableContents"/>
              <w:bidi w:val="0"/>
              <w:spacing w:before="0" w:after="283"/>
              <w:jc w:val="left"/>
              <w:rPr>
                <w:b/>
              </w:rPr>
            </w:pPr>
            <w:r>
              <w:rPr>
                <w:b/>
              </w:rPr>
              <w:t>Net adjustment to amortization of intangible assets</w:t>
            </w:r>
          </w:p>
        </w:tc>
        <w:tc>
          <w:tcPr>
            <w:tcW w:w="60" w:type="dxa"/>
            <w:tcBorders/>
            <w:shd w:fill="CCEEFF" w:val="clear"/>
            <w:vAlign w:val="center"/>
          </w:tcPr>
          <w:p>
            <w:pPr>
              <w:pStyle w:val="TableContents"/>
              <w:bidi w:val="0"/>
              <w:spacing w:before="0" w:after="283"/>
              <w:jc w:val="left"/>
              <w:rPr/>
            </w:pPr>
            <w:r>
              <w:rPr/>
              <w:t> </w:t>
            </w:r>
          </w:p>
        </w:tc>
        <w:tc>
          <w:tcPr>
            <w:tcW w:w="271"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6" w:type="dxa"/>
            <w:tcBorders>
              <w:bottom w:val="double" w:sz="10" w:space="0" w:color="000000"/>
            </w:tcBorders>
            <w:shd w:fill="CCEEFF" w:val="clear"/>
            <w:tcMar>
              <w:bottom w:w="28" w:type="dxa"/>
            </w:tcMar>
            <w:vAlign w:val="center"/>
          </w:tcPr>
          <w:p>
            <w:pPr>
              <w:pStyle w:val="TableContents"/>
              <w:bidi w:val="0"/>
              <w:spacing w:before="0" w:after="283"/>
              <w:jc w:val="right"/>
              <w:rPr/>
            </w:pPr>
            <w:r>
              <w:rPr/>
              <w:t>3,914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3"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41" w:type="dxa"/>
            <w:tcBorders>
              <w:bottom w:val="double" w:sz="10" w:space="0" w:color="000000"/>
            </w:tcBorders>
            <w:shd w:fill="CCEEFF" w:val="clear"/>
            <w:tcMar>
              <w:bottom w:w="28" w:type="dxa"/>
            </w:tcMar>
            <w:vAlign w:val="center"/>
          </w:tcPr>
          <w:p>
            <w:pPr>
              <w:pStyle w:val="TableContents"/>
              <w:bidi w:val="0"/>
              <w:spacing w:before="0" w:after="283"/>
              <w:jc w:val="right"/>
              <w:rPr/>
            </w:pPr>
            <w:r>
              <w:rPr/>
              <w:t>15,634</w:t>
            </w:r>
          </w:p>
        </w:tc>
        <w:tc>
          <w:tcPr>
            <w:tcW w:w="10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(l)</w:t>
            </w:r>
          </w:p>
        </w:tc>
        <w:tc>
          <w:tcPr>
            <w:tcW w:w="9986" w:type="dxa"/>
            <w:tcBorders/>
            <w:vAlign w:val="center"/>
          </w:tcPr>
          <w:p>
            <w:pPr>
              <w:pStyle w:val="TableContents"/>
              <w:bidi w:val="0"/>
              <w:spacing w:before="0" w:after="283"/>
              <w:jc w:val="both"/>
              <w:rPr/>
            </w:pPr>
            <w:r>
              <w:rPr/>
              <w:t>Reflects the elimination of LivePerson’s historical amortization of contract acquisition costs of $4.1 million and $17.3 million, for the three months ended March 31, 2026, and the year ended December 31, 2025, respectively, that were not assets as defined by ASC 805.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5"/>
        <w:gridCol w:w="9862"/>
      </w:tblGrid>
      <w:tr>
        <w:trPr/>
        <w:tc>
          <w:tcPr>
            <w:tcW w:w="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(m)</w:t>
            </w:r>
          </w:p>
        </w:tc>
        <w:tc>
          <w:tcPr>
            <w:tcW w:w="9862" w:type="dxa"/>
            <w:tcBorders/>
            <w:vAlign w:val="center"/>
          </w:tcPr>
          <w:p>
            <w:pPr>
              <w:pStyle w:val="TableContents"/>
              <w:bidi w:val="0"/>
              <w:spacing w:before="0" w:after="283"/>
              <w:jc w:val="both"/>
              <w:rPr/>
            </w:pPr>
            <w:r>
              <w:rPr/>
              <w:t>Reflects the elimination of LivePerson’s historical amortization of internal-use software development costs of $3.8 million and $15.9 million, for the three months ended March 31, 2026, and the year ended December 31, 2025, respectively.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(n)</w:t>
            </w:r>
          </w:p>
        </w:tc>
        <w:tc>
          <w:tcPr>
            <w:tcW w:w="9922" w:type="dxa"/>
            <w:tcBorders/>
            <w:vAlign w:val="center"/>
          </w:tcPr>
          <w:p>
            <w:pPr>
              <w:pStyle w:val="TableContents"/>
              <w:bidi w:val="0"/>
              <w:spacing w:before="0" w:after="283"/>
              <w:jc w:val="both"/>
              <w:rPr/>
            </w:pPr>
            <w:r>
              <w:rPr/>
              <w:t>Reflects the reduction of $8.3 million and $31.5 million in historical interest expense for the three months ended March 31, 2026, and the year ended December 31, 2025, respectively, related to the settlement of LivePerson’s debt at closing.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(o)</w:t>
            </w:r>
          </w:p>
        </w:tc>
        <w:tc>
          <w:tcPr>
            <w:tcW w:w="9921" w:type="dxa"/>
            <w:tcBorders/>
            <w:vAlign w:val="center"/>
          </w:tcPr>
          <w:p>
            <w:pPr>
              <w:pStyle w:val="TableContents"/>
              <w:bidi w:val="0"/>
              <w:spacing w:before="0" w:after="283"/>
              <w:jc w:val="both"/>
              <w:rPr/>
            </w:pPr>
            <w:r>
              <w:rPr/>
              <w:t>Reflects the elimination of LivePerson’s historical gain on the change in fair value of debt warrants of $1.1 million and $13.2 million for the three months ended March 31, 2026, and the year ended December 31, 2025, respectively.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3"/>
        <w:gridCol w:w="9894"/>
      </w:tblGrid>
      <w:tr>
        <w:trPr/>
        <w:tc>
          <w:tcPr>
            <w:tcW w:w="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pPr>
            <w:r>
              <w:rPr/>
              <w:t>(p)</w:t>
            </w:r>
          </w:p>
        </w:tc>
        <w:tc>
          <w:tcPr>
            <w:tcW w:w="9894" w:type="dxa"/>
            <w:tcBorders/>
            <w:vAlign w:val="center"/>
          </w:tcPr>
          <w:p>
            <w:pPr>
              <w:pStyle w:val="TableContents"/>
              <w:bidi w:val="0"/>
              <w:spacing w:before="0" w:after="283"/>
              <w:jc w:val="both"/>
              <w:rPr/>
            </w:pPr>
            <w:r>
              <w:rPr/>
              <w:t>Reflects the elimination of $41.6 million of LivePerson’s historical impairment of goodwill for the year ended December 31,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4"/>
        <w:gridCol w:w="9923"/>
      </w:tblGrid>
      <w:tr>
        <w:trPr/>
        <w:tc>
          <w:tcPr>
            <w:tcW w:w="3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(q)</w:t>
            </w:r>
          </w:p>
        </w:tc>
        <w:tc>
          <w:tcPr>
            <w:tcW w:w="9923" w:type="dxa"/>
            <w:tcBorders/>
            <w:vAlign w:val="center"/>
          </w:tcPr>
          <w:p>
            <w:pPr>
              <w:pStyle w:val="TableContents"/>
              <w:bidi w:val="0"/>
              <w:spacing w:before="0" w:after="283"/>
              <w:jc w:val="both"/>
              <w:rPr/>
            </w:pPr>
            <w:r>
              <w:rPr/>
              <w:t>Reflects the elimination of $27.7 million of LivePerson’s historical gain on troubled debt restructuring for the year ended December 31, 2025 associated with the troubled debt restructuring associated with the issuance of the Second Lien Notes.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(r)</w:t>
            </w:r>
          </w:p>
        </w:tc>
        <w:tc>
          <w:tcPr>
            <w:tcW w:w="9984" w:type="dxa"/>
            <w:tcBorders/>
            <w:vAlign w:val="center"/>
          </w:tcPr>
          <w:p>
            <w:pPr>
              <w:pStyle w:val="TableContents"/>
              <w:bidi w:val="0"/>
              <w:spacing w:before="0" w:after="283"/>
              <w:jc w:val="both"/>
              <w:rPr/>
            </w:pPr>
            <w:r>
              <w:rPr/>
              <w:t>Reflects the pro forma basic and diluted net loss per share attributable to the combined entity’s common stockholders presented in conformity with the two-class method required for participating securities as a result of the pro forma adjustments. The two-class method requires income available to common stockholders for the period to be allocated between shares of common stock and participating securities; however, no allocation has been made because the participating securities are not participating in losses.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basic net loss per share attributable to the combined entity’s common stockholders is calculated using the historical basic weighted average shares of SoundHound’s common stock outstanding, adjusted for the additional new shares of SoundHound common stock issued to consummate the LivePerson Merger, assuming the shares were issued and outstanding as of January 1, 2025. Pro forma diluted net loss per share attributable to the combined entity’s common stockholders is calculated using the historical diluted weighted average shares of SoundHound Common Stock outstanding.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earnings per share computation for the three months ended March 31, 2026:</w:t>
      </w:r>
    </w:p>
    <w:p>
      <w:pPr>
        <w:pStyle w:val="TextBody"/>
        <w:bidi w:val="0"/>
        <w:spacing w:before="0" w:after="0"/>
        <w:ind w:left="360" w:right="0" w:hanging="0"/>
        <w:jc w:val="both"/>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6260"/>
        <w:gridCol w:w="60"/>
        <w:gridCol w:w="183"/>
        <w:gridCol w:w="1606"/>
        <w:gridCol w:w="110"/>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three months </w:t>
              <w:br/>
              <w:t xml:space="preserve">ended </w:t>
              <w:br/>
              <w:t xml:space="preserve">March 31, </w:t>
              <w:br/>
              <w:t>2026</w:t>
            </w:r>
          </w:p>
        </w:tc>
        <w:tc>
          <w:tcPr>
            <w:tcW w:w="11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center"/>
              <w:rPr>
                <w:b/>
              </w:rPr>
            </w:pPr>
            <w:r>
              <w:rPr>
                <w:b/>
              </w:rPr>
              <w:t xml:space="preserve">(in thousands, </w:t>
              <w:br/>
              <w:t xml:space="preserve">except share and </w:t>
              <w:br/>
              <w:t>per share data)</w:t>
            </w:r>
          </w:p>
        </w:tc>
        <w:tc>
          <w:tcPr>
            <w:tcW w:w="110" w:type="dxa"/>
            <w:tcBorders/>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Pro forma 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606" w:type="dxa"/>
            <w:tcBorders/>
            <w:shd w:fill="CCEEFF" w:val="clear"/>
            <w:vAlign w:val="center"/>
          </w:tcPr>
          <w:p>
            <w:pPr>
              <w:pStyle w:val="TableContents"/>
              <w:bidi w:val="0"/>
              <w:spacing w:before="0" w:after="283"/>
              <w:jc w:val="right"/>
              <w:rPr/>
            </w:pPr>
            <w:r>
              <w:rPr/>
              <w:t>(24,645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260"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single" w:sz="12" w:space="0" w:color="000000"/>
            </w:tcBorders>
            <w:shd w:fill="FFFFFF" w:val="clear"/>
            <w:tcMar>
              <w:bottom w:w="28" w:type="dxa"/>
            </w:tcMar>
            <w:vAlign w:val="center"/>
          </w:tcPr>
          <w:p>
            <w:pPr>
              <w:pStyle w:val="TableContents"/>
              <w:bidi w:val="0"/>
              <w:spacing w:before="0" w:after="283"/>
              <w:jc w:val="right"/>
              <w:rPr/>
            </w:pPr>
            <w:r>
              <w:rPr/>
              <w:t>464,106,127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net loss per share – basic</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(0.05</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Pro forma 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1606" w:type="dxa"/>
            <w:tcBorders/>
            <w:shd w:fill="CCEEFF" w:val="clear"/>
            <w:vAlign w:val="center"/>
          </w:tcPr>
          <w:p>
            <w:pPr>
              <w:pStyle w:val="TableContents"/>
              <w:bidi w:val="0"/>
              <w:spacing w:before="0" w:after="283"/>
              <w:jc w:val="right"/>
              <w:rPr/>
            </w:pPr>
            <w:r>
              <w:rPr/>
              <w:t>(24,645</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260" w:type="dxa"/>
            <w:tcBorders/>
            <w:shd w:fill="FFFFFF" w:val="clear"/>
            <w:vAlign w:val="center"/>
          </w:tcPr>
          <w:p>
            <w:pPr>
              <w:pStyle w:val="TableContents"/>
              <w:bidi w:val="0"/>
              <w:spacing w:before="0" w:after="283"/>
              <w:jc w:val="left"/>
              <w:rPr/>
            </w:pPr>
            <w:r>
              <w:rPr/>
              <w:t>Effect of potentially dilutive equivalent shares to net income (loss)</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single" w:sz="12" w:space="0" w:color="000000"/>
            </w:tcBorders>
            <w:shd w:fill="FFFFFF" w:val="clear"/>
            <w:tcMar>
              <w:bottom w:w="28" w:type="dxa"/>
            </w:tcMar>
            <w:vAlign w:val="center"/>
          </w:tcPr>
          <w:p>
            <w:pPr>
              <w:pStyle w:val="TableContents"/>
              <w:bidi w:val="0"/>
              <w:spacing w:before="0" w:after="283"/>
              <w:jc w:val="right"/>
              <w:rPr/>
            </w:pPr>
            <w:r>
              <w:rPr/>
              <w:t>(22,504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260" w:type="dxa"/>
            <w:tcBorders/>
            <w:shd w:fill="CCEEFF" w:val="clear"/>
            <w:vAlign w:val="center"/>
          </w:tcPr>
          <w:p>
            <w:pPr>
              <w:pStyle w:val="TableContents"/>
              <w:bidi w:val="0"/>
              <w:spacing w:before="0" w:after="283"/>
              <w:jc w:val="left"/>
              <w:rPr>
                <w:b/>
              </w:rPr>
            </w:pPr>
            <w:r>
              <w:rPr>
                <w:b/>
              </w:rPr>
              <w:t>Net loss attributable to common stockholders –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60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(47,149</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6260" w:type="dxa"/>
            <w:tcBorders/>
            <w:shd w:fill="FFFFFF" w:val="clear"/>
            <w:vAlign w:val="center"/>
          </w:tcPr>
          <w:p>
            <w:pPr>
              <w:pStyle w:val="TableContents"/>
              <w:bidi w:val="0"/>
              <w:spacing w:before="0" w:after="283"/>
              <w:jc w:val="left"/>
              <w:rPr/>
            </w:pPr>
            <w:r>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single" w:sz="12" w:space="0" w:color="000000"/>
            </w:tcBorders>
            <w:shd w:fill="FFFFFF" w:val="clear"/>
            <w:tcMar>
              <w:bottom w:w="28" w:type="dxa"/>
            </w:tcMar>
            <w:vAlign w:val="center"/>
          </w:tcPr>
          <w:p>
            <w:pPr>
              <w:pStyle w:val="TableContents"/>
              <w:bidi w:val="0"/>
              <w:spacing w:before="0" w:after="283"/>
              <w:jc w:val="right"/>
              <w:rPr/>
            </w:pPr>
            <w:r>
              <w:rPr/>
              <w:t>472,416,501</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net loss per share –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(0.10</w:t>
            </w:r>
          </w:p>
        </w:tc>
        <w:tc>
          <w:tcPr>
            <w:tcW w:w="110" w:type="dxa"/>
            <w:tcBorders/>
            <w:shd w:fill="CCEEFF" w:val="clear"/>
            <w:vAlign w:val="center"/>
          </w:tcPr>
          <w:p>
            <w:pPr>
              <w:pStyle w:val="TableContents"/>
              <w:bidi w:val="0"/>
              <w:spacing w:before="0" w:after="283"/>
              <w:jc w:val="left"/>
              <w:rPr>
                <w:b/>
              </w:rPr>
            </w:pPr>
            <w:r>
              <w:rPr>
                <w:b/>
              </w:rPr>
              <w:t>)</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pPr>
            <w:r>
              <w:rPr/>
              <w:t>SoundHound historical, March 31, 2026</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421,472,827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LivePerson Merger share consideration transferred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single" w:sz="12" w:space="0" w:color="000000"/>
            </w:tcBorders>
            <w:shd w:fill="CCEEFF" w:val="clear"/>
            <w:tcMar>
              <w:bottom w:w="28" w:type="dxa"/>
            </w:tcMar>
            <w:vAlign w:val="center"/>
          </w:tcPr>
          <w:p>
            <w:pPr>
              <w:pStyle w:val="TableContents"/>
              <w:bidi w:val="0"/>
              <w:spacing w:before="0" w:after="283"/>
              <w:jc w:val="right"/>
              <w:rPr/>
            </w:pPr>
            <w:r>
              <w:rPr/>
              <w:t>42,633,300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b/>
              </w:rPr>
            </w:pPr>
            <w:r>
              <w:rPr>
                <w:b/>
              </w:rPr>
              <w:t>Pro forma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8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464,106,127</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b/>
              </w:rPr>
            </w:pPr>
            <w:r>
              <w:rPr>
                <w:b/>
              </w:rPr>
              <w:t>Pro forma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60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SoundHound historical, March 31, 2026</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606" w:type="dxa"/>
            <w:tcBorders/>
            <w:shd w:fill="CCEEFF" w:val="clear"/>
            <w:vAlign w:val="center"/>
          </w:tcPr>
          <w:p>
            <w:pPr>
              <w:pStyle w:val="TableContents"/>
              <w:bidi w:val="0"/>
              <w:spacing w:before="0" w:after="283"/>
              <w:jc w:val="right"/>
              <w:rPr/>
            </w:pPr>
            <w:r>
              <w:rPr/>
              <w:t>429,783,201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pPr>
            <w:r>
              <w:rPr/>
              <w:t>LivePerson Merger share consideration transferred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6" w:type="dxa"/>
            <w:tcBorders>
              <w:bottom w:val="single" w:sz="12" w:space="0" w:color="000000"/>
            </w:tcBorders>
            <w:shd w:fill="FFFFFF" w:val="clear"/>
            <w:tcMar>
              <w:bottom w:w="28" w:type="dxa"/>
            </w:tcMar>
            <w:vAlign w:val="center"/>
          </w:tcPr>
          <w:p>
            <w:pPr>
              <w:pStyle w:val="TableContents"/>
              <w:bidi w:val="0"/>
              <w:spacing w:before="0" w:after="283"/>
              <w:jc w:val="right"/>
              <w:rPr/>
            </w:pPr>
            <w:r>
              <w:rPr/>
              <w:t>42,633,300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472,416,501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earnings per share computation for the year ended December 31, 2025:</w:t>
      </w:r>
    </w:p>
    <w:p>
      <w:pPr>
        <w:pStyle w:val="TextBody"/>
        <w:bidi w:val="0"/>
        <w:spacing w:before="0" w:after="0"/>
        <w:ind w:left="360" w:right="0" w:hanging="0"/>
        <w:jc w:val="both"/>
        <w:rPr>
          <w:caps w:val="false"/>
          <w:smallCaps w:val="false"/>
        </w:rPr>
      </w:pPr>
      <w:r>
        <w:rPr>
          <w:caps w:val="false"/>
          <w:smallCaps w:val="false"/>
        </w:rPr>
        <w:t> </w:t>
      </w:r>
    </w:p>
    <w:tbl>
      <w:tblPr>
        <w:tblW w:w="8219" w:type="dxa"/>
        <w:jc w:val="left"/>
        <w:tblInd w:w="0" w:type="dxa"/>
        <w:tblLayout w:type="fixed"/>
        <w:tblCellMar>
          <w:top w:w="0" w:type="dxa"/>
          <w:left w:w="0" w:type="dxa"/>
          <w:bottom w:w="0" w:type="dxa"/>
          <w:right w:w="0" w:type="dxa"/>
        </w:tblCellMar>
      </w:tblPr>
      <w:tblGrid>
        <w:gridCol w:w="6260"/>
        <w:gridCol w:w="60"/>
        <w:gridCol w:w="182"/>
        <w:gridCol w:w="1607"/>
        <w:gridCol w:w="110"/>
      </w:tblGrid>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ended </w:t>
              <w:br/>
              <w:t xml:space="preserve">December 31, </w:t>
              <w:br/>
              <w:t>2025</w:t>
            </w:r>
          </w:p>
        </w:tc>
        <w:tc>
          <w:tcPr>
            <w:tcW w:w="110" w:type="dxa"/>
            <w:tcBorders/>
            <w:vAlign w:val="center"/>
          </w:tcPr>
          <w:p>
            <w:pPr>
              <w:pStyle w:val="TableContents"/>
              <w:bidi w:val="0"/>
              <w:spacing w:before="0" w:after="283"/>
              <w:jc w:val="left"/>
              <w:rPr/>
            </w:pPr>
            <w:r>
              <w:rPr/>
              <w:t> </w:t>
            </w:r>
          </w:p>
        </w:tc>
      </w:tr>
      <w:tr>
        <w:trPr/>
        <w:tc>
          <w:tcPr>
            <w:tcW w:w="6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center"/>
              <w:rPr>
                <w:b/>
              </w:rPr>
            </w:pPr>
            <w:r>
              <w:rPr>
                <w:b/>
              </w:rPr>
              <w:t xml:space="preserve">(in thousands, </w:t>
              <w:br/>
              <w:t xml:space="preserve">except share and </w:t>
              <w:br/>
              <w:t>per share data)</w:t>
            </w:r>
          </w:p>
        </w:tc>
        <w:tc>
          <w:tcPr>
            <w:tcW w:w="110" w:type="dxa"/>
            <w:tcBorders/>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Pro forma 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607" w:type="dxa"/>
            <w:tcBorders/>
            <w:shd w:fill="CCEEFF" w:val="clear"/>
            <w:vAlign w:val="center"/>
          </w:tcPr>
          <w:p>
            <w:pPr>
              <w:pStyle w:val="TableContents"/>
              <w:bidi w:val="0"/>
              <w:spacing w:before="0" w:after="283"/>
              <w:jc w:val="right"/>
              <w:rPr/>
            </w:pPr>
            <w:r>
              <w:rPr/>
              <w:t>(43,723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260" w:type="dxa"/>
            <w:tcBorders/>
            <w:shd w:fill="FFFFFF" w:val="clear"/>
            <w:vAlign w:val="center"/>
          </w:tcPr>
          <w:p>
            <w:pPr>
              <w:pStyle w:val="TableContents"/>
              <w:bidi w:val="0"/>
              <w:spacing w:before="0" w:after="283"/>
              <w:jc w:val="left"/>
              <w:rPr/>
            </w:pPr>
            <w:r>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single" w:sz="12" w:space="0" w:color="000000"/>
            </w:tcBorders>
            <w:shd w:fill="FFFFFF" w:val="clear"/>
            <w:tcMar>
              <w:bottom w:w="28" w:type="dxa"/>
            </w:tcMar>
            <w:vAlign w:val="center"/>
          </w:tcPr>
          <w:p>
            <w:pPr>
              <w:pStyle w:val="TableContents"/>
              <w:bidi w:val="0"/>
              <w:spacing w:before="0" w:after="283"/>
              <w:jc w:val="right"/>
              <w:rPr/>
            </w:pPr>
            <w:r>
              <w:rPr/>
              <w:t>448,054,712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net loss per share – basic</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(0.10</w:t>
            </w:r>
          </w:p>
        </w:tc>
        <w:tc>
          <w:tcPr>
            <w:tcW w:w="110" w:type="dxa"/>
            <w:tcBorders/>
            <w:shd w:fill="CCEEFF" w:val="clear"/>
            <w:vAlign w:val="center"/>
          </w:tcPr>
          <w:p>
            <w:pPr>
              <w:pStyle w:val="TableContents"/>
              <w:bidi w:val="0"/>
              <w:spacing w:before="0" w:after="283"/>
              <w:jc w:val="left"/>
              <w:rPr>
                <w:b/>
              </w:rPr>
            </w:pPr>
            <w:r>
              <w:rPr>
                <w:b/>
              </w:rPr>
              <w:t>)</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Pro forma net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1607" w:type="dxa"/>
            <w:tcBorders/>
            <w:shd w:fill="CCEEFF" w:val="clear"/>
            <w:vAlign w:val="center"/>
          </w:tcPr>
          <w:p>
            <w:pPr>
              <w:pStyle w:val="TableContents"/>
              <w:bidi w:val="0"/>
              <w:spacing w:before="0" w:after="283"/>
              <w:jc w:val="right"/>
              <w:rPr/>
            </w:pPr>
            <w:r>
              <w:rPr/>
              <w:t>(43,723</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6260" w:type="dxa"/>
            <w:tcBorders/>
            <w:shd w:fill="FFFFFF" w:val="clear"/>
            <w:vAlign w:val="center"/>
          </w:tcPr>
          <w:p>
            <w:pPr>
              <w:pStyle w:val="TableContents"/>
              <w:bidi w:val="0"/>
              <w:spacing w:before="0" w:after="283"/>
              <w:jc w:val="left"/>
              <w:rPr/>
            </w:pPr>
            <w:r>
              <w:rPr/>
              <w:t>Effect of potentially dilutive equivalent shares to net income (loss)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single" w:sz="12" w:space="0" w:color="000000"/>
            </w:tcBorders>
            <w:shd w:fill="FFFFFF" w:val="clear"/>
            <w:tcMar>
              <w:bottom w:w="28" w:type="dxa"/>
            </w:tcMar>
            <w:vAlign w:val="center"/>
          </w:tcPr>
          <w:p>
            <w:pPr>
              <w:pStyle w:val="TableContents"/>
              <w:bidi w:val="0"/>
              <w:spacing w:before="0" w:after="283"/>
              <w:jc w:val="right"/>
              <w:rPr/>
            </w:pPr>
            <w:r>
              <w:rPr/>
              <w:t>(99,512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6260" w:type="dxa"/>
            <w:tcBorders/>
            <w:shd w:fill="CCEEFF" w:val="clear"/>
            <w:vAlign w:val="center"/>
          </w:tcPr>
          <w:p>
            <w:pPr>
              <w:pStyle w:val="TableContents"/>
              <w:bidi w:val="0"/>
              <w:spacing w:before="0" w:after="283"/>
              <w:jc w:val="left"/>
              <w:rPr>
                <w:b/>
              </w:rPr>
            </w:pPr>
            <w:r>
              <w:rPr>
                <w:b/>
              </w:rPr>
              <w:t>Net loss attributable to common stockholders – diluted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b/>
              </w:rPr>
            </w:pPr>
            <w:r>
              <w:rPr>
                <w:b/>
              </w:rPr>
              <w:t>$</w:t>
            </w:r>
          </w:p>
        </w:tc>
        <w:tc>
          <w:tcPr>
            <w:tcW w:w="160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(143,235</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6260" w:type="dxa"/>
            <w:tcBorders/>
            <w:shd w:fill="FFFFFF" w:val="clear"/>
            <w:vAlign w:val="center"/>
          </w:tcPr>
          <w:p>
            <w:pPr>
              <w:pStyle w:val="TableContents"/>
              <w:bidi w:val="0"/>
              <w:spacing w:before="0" w:after="283"/>
              <w:jc w:val="left"/>
              <w:rPr/>
            </w:pPr>
            <w:r>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single" w:sz="12" w:space="0" w:color="000000"/>
            </w:tcBorders>
            <w:shd w:fill="FFFFFF" w:val="clear"/>
            <w:tcMar>
              <w:bottom w:w="28" w:type="dxa"/>
            </w:tcMar>
            <w:vAlign w:val="center"/>
          </w:tcPr>
          <w:p>
            <w:pPr>
              <w:pStyle w:val="TableContents"/>
              <w:bidi w:val="0"/>
              <w:spacing w:before="0" w:after="283"/>
              <w:jc w:val="right"/>
              <w:rPr/>
            </w:pPr>
            <w:r>
              <w:rPr/>
              <w:t>452,089,642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net loss per share – diluted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b/>
              </w:rPr>
            </w:pPr>
            <w:r>
              <w:rPr>
                <w:b/>
              </w:rPr>
              <w:t>$</w:t>
            </w:r>
          </w:p>
        </w:tc>
        <w:tc>
          <w:tcPr>
            <w:tcW w:w="16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(0.32</w:t>
            </w:r>
          </w:p>
        </w:tc>
        <w:tc>
          <w:tcPr>
            <w:tcW w:w="110" w:type="dxa"/>
            <w:tcBorders/>
            <w:shd w:fill="CCEEFF" w:val="clear"/>
            <w:vAlign w:val="center"/>
          </w:tcPr>
          <w:p>
            <w:pPr>
              <w:pStyle w:val="TableContents"/>
              <w:bidi w:val="0"/>
              <w:spacing w:before="0" w:after="283"/>
              <w:jc w:val="left"/>
              <w:rPr>
                <w:b/>
              </w:rPr>
            </w:pPr>
            <w:r>
              <w:rPr>
                <w:b/>
              </w:rPr>
              <w:t>)</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weighted average shares outstanding – basic</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pPr>
            <w:r>
              <w:rPr/>
              <w:t>SoundHound historical, December 31, 2025</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405,421,412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LivePerson Merger share consideration transferred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607" w:type="dxa"/>
            <w:tcBorders>
              <w:bottom w:val="single" w:sz="12" w:space="0" w:color="000000"/>
            </w:tcBorders>
            <w:shd w:fill="CCEEFF" w:val="clear"/>
            <w:tcMar>
              <w:bottom w:w="28" w:type="dxa"/>
            </w:tcMar>
            <w:vAlign w:val="center"/>
          </w:tcPr>
          <w:p>
            <w:pPr>
              <w:pStyle w:val="TableContents"/>
              <w:bidi w:val="0"/>
              <w:spacing w:before="0" w:after="283"/>
              <w:jc w:val="right"/>
              <w:rPr/>
            </w:pPr>
            <w:r>
              <w:rPr/>
              <w:t>42,633,300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b/>
              </w:rPr>
            </w:pPr>
            <w:r>
              <w:rPr>
                <w:b/>
              </w:rPr>
              <w:t>Pro forma 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448,054,712</w:t>
            </w:r>
          </w:p>
        </w:tc>
        <w:tc>
          <w:tcPr>
            <w:tcW w:w="110" w:type="dxa"/>
            <w:tcBorders/>
            <w:shd w:fill="FFFFFF" w:val="clear"/>
            <w:vAlign w:val="center"/>
          </w:tcPr>
          <w:p>
            <w:pPr>
              <w:pStyle w:val="TableContents"/>
              <w:bidi w:val="0"/>
              <w:spacing w:before="0" w:after="283"/>
              <w:jc w:val="left"/>
              <w:rPr/>
            </w:pPr>
            <w:r>
              <w:rPr/>
              <w:t> </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b/>
              </w:rPr>
            </w:pPr>
            <w:r>
              <w:rPr>
                <w:b/>
              </w:rPr>
              <w:t>Pro forma 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60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pPr>
            <w:r>
              <w:rPr/>
              <w:t>SoundHound historical, December 31, 2025</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607" w:type="dxa"/>
            <w:tcBorders/>
            <w:shd w:fill="CCEEFF" w:val="clear"/>
            <w:vAlign w:val="center"/>
          </w:tcPr>
          <w:p>
            <w:pPr>
              <w:pStyle w:val="TableContents"/>
              <w:bidi w:val="0"/>
              <w:spacing w:before="0" w:after="283"/>
              <w:jc w:val="right"/>
              <w:rPr/>
            </w:pPr>
            <w:r>
              <w:rPr/>
              <w:t>409,456,342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6260" w:type="dxa"/>
            <w:tcBorders/>
            <w:shd w:fill="FFFFFF" w:val="clear"/>
            <w:vAlign w:val="center"/>
          </w:tcPr>
          <w:p>
            <w:pPr>
              <w:pStyle w:val="TableContents"/>
              <w:bidi w:val="0"/>
              <w:spacing w:before="0" w:after="283"/>
              <w:jc w:val="left"/>
              <w:rPr/>
            </w:pPr>
            <w:r>
              <w:rPr/>
              <w:t>LivePerson Merger share consideration transferred</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607" w:type="dxa"/>
            <w:tcBorders>
              <w:bottom w:val="single" w:sz="12" w:space="0" w:color="000000"/>
            </w:tcBorders>
            <w:shd w:fill="FFFFFF" w:val="clear"/>
            <w:tcMar>
              <w:bottom w:w="28" w:type="dxa"/>
            </w:tcMar>
            <w:vAlign w:val="center"/>
          </w:tcPr>
          <w:p>
            <w:pPr>
              <w:pStyle w:val="TableContents"/>
              <w:bidi w:val="0"/>
              <w:spacing w:before="0" w:after="283"/>
              <w:jc w:val="right"/>
              <w:rPr/>
            </w:pPr>
            <w:r>
              <w:rPr/>
              <w:t>42,633,300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6260" w:type="dxa"/>
            <w:tcBorders/>
            <w:shd w:fill="CCEEFF" w:val="clear"/>
            <w:vAlign w:val="center"/>
          </w:tcPr>
          <w:p>
            <w:pPr>
              <w:pStyle w:val="TableContents"/>
              <w:bidi w:val="0"/>
              <w:spacing w:before="0" w:after="283"/>
              <w:jc w:val="left"/>
              <w:rPr>
                <w:b/>
              </w:rPr>
            </w:pPr>
            <w:r>
              <w:rPr>
                <w:b/>
              </w:rPr>
              <w:t>Pro forma weighted average shares outstanding – diluted</w:t>
            </w:r>
          </w:p>
        </w:tc>
        <w:tc>
          <w:tcPr>
            <w:tcW w:w="60" w:type="dxa"/>
            <w:tcBorders/>
            <w:shd w:fill="CCEEFF" w:val="clear"/>
            <w:vAlign w:val="center"/>
          </w:tcPr>
          <w:p>
            <w:pPr>
              <w:pStyle w:val="TableContents"/>
              <w:bidi w:val="0"/>
              <w:spacing w:before="0" w:after="283"/>
              <w:jc w:val="left"/>
              <w:rPr/>
            </w:pPr>
            <w:r>
              <w:rPr/>
              <w:t> </w:t>
            </w:r>
          </w:p>
        </w:tc>
        <w:tc>
          <w:tcPr>
            <w:tcW w:w="18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60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452,089,642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9215</Words>
  <Characters>53090</Characters>
  <CharactersWithSpaces>64310</CharactersWithSpaces>
  <Paragraphs>5442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