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41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0"/>
              </w:rPr>
              <w:t>Pursuant to Section 13 or 15(d)</w:t>
            </w:r>
          </w:p>
        </w:tc>
        <w:tc>
          <w:tcPr>
            <w:tcW w:w="324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88"/>
              </w:rPr>
              <w:t>of the Securities Exchange Act of 1934</w:t>
            </w:r>
          </w:p>
        </w:tc>
        <w:tc>
          <w:tcPr>
            <w:tcW w:w="3240" w:type="dxa"/>
            <w:vAlign w:val="bottom"/>
          </w:tcPr>
          <w:p>
            <w:pPr>
              <w:spacing w:after="0"/>
              <w:rPr>
                <w:sz w:val="20"/>
                <w:szCs w:val="20"/>
                <w:color w:val="auto"/>
              </w:rPr>
            </w:pPr>
          </w:p>
        </w:tc>
      </w:tr>
      <w:tr>
        <w:trPr>
          <w:trHeight w:val="432"/>
        </w:trPr>
        <w:tc>
          <w:tcPr>
            <w:tcW w:w="8000" w:type="dxa"/>
            <w:vAlign w:val="bottom"/>
            <w:gridSpan w:val="8"/>
          </w:tcPr>
          <w:p>
            <w:pPr>
              <w:jc w:val="center"/>
              <w:ind w:left="315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June 29, 2023</w:t>
            </w:r>
          </w:p>
        </w:tc>
        <w:tc>
          <w:tcPr>
            <w:tcW w:w="3240" w:type="dxa"/>
            <w:vAlign w:val="bottom"/>
          </w:tcPr>
          <w:p>
            <w:pPr>
              <w:spacing w:after="0"/>
              <w:rPr>
                <w:sz w:val="24"/>
                <w:szCs w:val="24"/>
                <w:color w:val="auto"/>
              </w:rPr>
            </w:pPr>
          </w:p>
        </w:tc>
      </w:tr>
      <w:tr>
        <w:trPr>
          <w:trHeight w:val="418"/>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9"/>
              </w:rPr>
              <w:t>SOUNDHOUND AI, INC.</w:t>
            </w:r>
          </w:p>
        </w:tc>
        <w:tc>
          <w:tcPr>
            <w:tcW w:w="324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p>
        </w:tc>
        <w:tc>
          <w:tcPr>
            <w:tcW w:w="4280" w:type="dxa"/>
            <w:vAlign w:val="bottom"/>
            <w:gridSpan w:val="7"/>
          </w:tcPr>
          <w:p>
            <w:pPr>
              <w:jc w:val="center"/>
              <w:ind w:right="4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7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001-40193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85-1286799</w:t>
            </w:r>
          </w:p>
        </w:tc>
      </w:tr>
      <w:tr>
        <w:trPr>
          <w:trHeight w:val="202"/>
        </w:trPr>
        <w:tc>
          <w:tcPr>
            <w:tcW w:w="3720" w:type="dxa"/>
            <w:vAlign w:val="bottom"/>
            <w:tcBorders>
              <w:top w:val="single" w:sz="8" w:color="auto"/>
            </w:tcBorders>
          </w:tcPr>
          <w:p>
            <w:pPr>
              <w:jc w:val="center"/>
              <w:ind w:left="30"/>
              <w:spacing w:after="0" w:line="201" w:lineRule="exact"/>
              <w:rPr>
                <w:sz w:val="20"/>
                <w:szCs w:val="20"/>
                <w:color w:val="auto"/>
              </w:rPr>
            </w:pPr>
            <w:r>
              <w:rPr>
                <w:rFonts w:ascii="Arial" w:cs="Arial" w:eastAsia="Arial" w:hAnsi="Arial"/>
                <w:sz w:val="18"/>
                <w:szCs w:val="18"/>
                <w:color w:val="auto"/>
                <w:w w:val="91"/>
              </w:rPr>
              <w:t>(State or other jurisdiction</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720" w:type="dxa"/>
            <w:vAlign w:val="bottom"/>
          </w:tcPr>
          <w:p>
            <w:pPr>
              <w:jc w:val="center"/>
              <w:ind w:left="10"/>
              <w:spacing w:after="0"/>
              <w:rPr>
                <w:sz w:val="20"/>
                <w:szCs w:val="20"/>
                <w:color w:val="auto"/>
              </w:rPr>
            </w:pPr>
            <w:r>
              <w:rPr>
                <w:rFonts w:ascii="Arial" w:cs="Arial" w:eastAsia="Arial" w:hAnsi="Arial"/>
                <w:sz w:val="18"/>
                <w:szCs w:val="18"/>
                <w:color w:val="auto"/>
                <w:w w:val="93"/>
              </w:rPr>
              <w:t>of incorporation)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720" w:type="dxa"/>
            <w:vAlign w:val="bottom"/>
          </w:tcPr>
          <w:p>
            <w:pPr>
              <w:jc w:val="center"/>
              <w:ind w:left="1810"/>
              <w:spacing w:after="0"/>
              <w:rPr>
                <w:sz w:val="20"/>
                <w:szCs w:val="20"/>
                <w:color w:val="auto"/>
              </w:rPr>
            </w:pPr>
            <w:r>
              <w:rPr>
                <w:rFonts w:ascii="Arial" w:cs="Arial" w:eastAsia="Arial" w:hAnsi="Arial"/>
                <w:sz w:val="18"/>
                <w:szCs w:val="18"/>
                <w:b w:val="1"/>
                <w:bCs w:val="1"/>
                <w:color w:val="auto"/>
                <w:w w:val="88"/>
              </w:rPr>
              <w:t>5400 Betsy Ross Drive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1"/>
        </w:trPr>
        <w:tc>
          <w:tcPr>
            <w:tcW w:w="372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94"/>
              </w:rPr>
              <w:t>Santa Clara, CA</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95054</w:t>
            </w:r>
          </w:p>
        </w:tc>
      </w:tr>
      <w:tr>
        <w:trPr>
          <w:trHeight w:val="230"/>
        </w:trPr>
        <w:tc>
          <w:tcPr>
            <w:tcW w:w="5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7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20" w:type="dxa"/>
            <w:vAlign w:val="bottom"/>
            <w:tcBorders>
              <w:bottom w:val="single" w:sz="8" w:color="CCEEFF"/>
            </w:tcBorders>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3820" w:type="dxa"/>
            <w:vAlign w:val="bottom"/>
          </w:tcPr>
          <w:p>
            <w:pPr>
              <w:jc w:val="center"/>
              <w:spacing w:after="0" w:line="201" w:lineRule="exact"/>
              <w:rPr>
                <w:sz w:val="20"/>
                <w:szCs w:val="20"/>
                <w:color w:val="auto"/>
              </w:rPr>
            </w:pPr>
            <w:r>
              <w:rPr>
                <w:rFonts w:ascii="Arial" w:cs="Arial" w:eastAsia="Arial" w:hAnsi="Arial"/>
                <w:sz w:val="18"/>
                <w:szCs w:val="18"/>
                <w:color w:val="auto"/>
                <w:w w:val="88"/>
              </w:rPr>
              <w:t>Warrants, each exercisable for one share of Class A</w:t>
            </w:r>
          </w:p>
        </w:tc>
        <w:tc>
          <w:tcPr>
            <w:tcW w:w="120" w:type="dxa"/>
            <w:vAlign w:val="bottom"/>
          </w:tcPr>
          <w:p>
            <w:pPr>
              <w:spacing w:after="0"/>
              <w:rPr>
                <w:sz w:val="17"/>
                <w:szCs w:val="17"/>
                <w:color w:val="auto"/>
              </w:rPr>
            </w:pPr>
          </w:p>
        </w:tc>
        <w:tc>
          <w:tcPr>
            <w:tcW w:w="3580" w:type="dxa"/>
            <w:vAlign w:val="bottom"/>
          </w:tcPr>
          <w:p>
            <w:pPr>
              <w:jc w:val="center"/>
              <w:spacing w:after="0" w:line="201" w:lineRule="exact"/>
              <w:rPr>
                <w:sz w:val="20"/>
                <w:szCs w:val="20"/>
                <w:color w:val="auto"/>
              </w:rPr>
            </w:pPr>
            <w:r>
              <w:rPr>
                <w:rFonts w:ascii="Arial" w:cs="Arial" w:eastAsia="Arial" w:hAnsi="Arial"/>
                <w:sz w:val="18"/>
                <w:szCs w:val="18"/>
                <w:color w:val="auto"/>
                <w:w w:val="95"/>
              </w:rPr>
              <w:t>SOUNW</w:t>
            </w:r>
          </w:p>
        </w:tc>
        <w:tc>
          <w:tcPr>
            <w:tcW w:w="12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Common Stock at an exercise price of $11.50 per</w:t>
            </w: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8"/>
              </w:rPr>
              <w:t>share, subject to adjustment</w:t>
            </w: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29, 2023, SoundHound AI, Inc. (the “Company”) completed its 2023 annual meeting of stockholders (the “Annual Meeting”). The number of shares of Class A common stock, par value $0.0001 per share (the “Class A Common Stock”), entitled to vote at the Annual Meeting was 177,656,940 shares and the number of shares of Class B common stock, par value $0.0001 per share (the “Class B Common Stock” and, together with the Class A Common Stock, the “Voting Stock”), entitled to vote at the Annual Meeting was 39,735,408 shares. Stockholders were entitled to one vote for each share of Class A Common Stock owned and 10 votes for each share of Class B Common Stock owned. The number of shares of Voting Stock present or represented by valid proxy at the Annual Meeting was 491,379,597 shares. At the Annual Meeting, the Company’s stockholders (i) re-elected each of Dr. Keyvan Mohajer, James Hom, Larry Marcus, Diana Sroka and Dr. Eric Ball as directors, and (ii) ratified the appointment by the board of directors (the “Board”) of the Company of Armanino LLP as the Company’s independent registered public accounting firm for the fiscal year ending December 31, 2023. The following is a tabulation of the voting on the proposals presented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1 – Election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Dr. Keyvan Mohajer, James Hom, Larry Marcus, Diana Sroka and Dr. Eric Ball were elected to serve until the 2024 annual meeting of stockholders or until his or her successor is duly elected and qualified or until his or her earlier resignation or removal or otherwise is disqualified from serving as a director of the Company. The voting results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Nominee</w:t>
            </w:r>
          </w:p>
        </w:tc>
        <w:tc>
          <w:tcPr>
            <w:tcW w:w="1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 Voted For</w:t>
            </w:r>
          </w:p>
        </w:tc>
        <w:tc>
          <w:tcPr>
            <w:tcW w:w="100" w:type="dxa"/>
            <w:vAlign w:val="bottom"/>
          </w:tcPr>
          <w:p>
            <w:pPr>
              <w:spacing w:after="0"/>
              <w:rPr>
                <w:sz w:val="20"/>
                <w:szCs w:val="20"/>
                <w:color w:val="auto"/>
              </w:rPr>
            </w:pPr>
          </w:p>
        </w:tc>
        <w:tc>
          <w:tcPr>
            <w:tcW w:w="26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Shares Withheld</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Dr. Keyvan Mohajer</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447,629,086</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1,612,862</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42,137,649</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87"/>
              </w:rPr>
              <w:t>James Hom</w:t>
            </w:r>
          </w:p>
        </w:tc>
        <w:tc>
          <w:tcPr>
            <w:tcW w:w="28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447,576,444</w:t>
            </w:r>
          </w:p>
        </w:tc>
        <w:tc>
          <w:tcPr>
            <w:tcW w:w="2720" w:type="dxa"/>
            <w:vAlign w:val="bottom"/>
            <w:gridSpan w:val="2"/>
          </w:tcPr>
          <w:p>
            <w:pPr>
              <w:jc w:val="center"/>
              <w:spacing w:after="0"/>
              <w:rPr>
                <w:sz w:val="20"/>
                <w:szCs w:val="20"/>
                <w:color w:val="auto"/>
              </w:rPr>
            </w:pPr>
            <w:r>
              <w:rPr>
                <w:rFonts w:ascii="Arial" w:cs="Arial" w:eastAsia="Arial" w:hAnsi="Arial"/>
                <w:sz w:val="18"/>
                <w:szCs w:val="18"/>
                <w:color w:val="auto"/>
                <w:w w:val="89"/>
              </w:rPr>
              <w:t>1,665,504</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42,137,649</w:t>
            </w:r>
          </w:p>
        </w:tc>
      </w:tr>
      <w:tr>
        <w:trPr>
          <w:trHeight w:val="216"/>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Larry Marcus</w:t>
            </w:r>
          </w:p>
        </w:tc>
        <w:tc>
          <w:tcPr>
            <w:tcW w:w="2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443,517,658</w:t>
            </w:r>
          </w:p>
        </w:tc>
        <w:tc>
          <w:tcPr>
            <w:tcW w:w="2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5,724,290</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42,137,649</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0"/>
              </w:rPr>
              <w:t>Diana Sroka</w:t>
            </w:r>
          </w:p>
        </w:tc>
        <w:tc>
          <w:tcPr>
            <w:tcW w:w="28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444,142,841</w:t>
            </w:r>
          </w:p>
        </w:tc>
        <w:tc>
          <w:tcPr>
            <w:tcW w:w="2720" w:type="dxa"/>
            <w:vAlign w:val="bottom"/>
            <w:gridSpan w:val="2"/>
          </w:tcPr>
          <w:p>
            <w:pPr>
              <w:jc w:val="center"/>
              <w:spacing w:after="0"/>
              <w:rPr>
                <w:sz w:val="20"/>
                <w:szCs w:val="20"/>
                <w:color w:val="auto"/>
              </w:rPr>
            </w:pPr>
            <w:r>
              <w:rPr>
                <w:rFonts w:ascii="Arial" w:cs="Arial" w:eastAsia="Arial" w:hAnsi="Arial"/>
                <w:sz w:val="18"/>
                <w:szCs w:val="18"/>
                <w:color w:val="auto"/>
                <w:w w:val="89"/>
              </w:rPr>
              <w:t>5,099,107</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42,137,649</w:t>
            </w:r>
          </w:p>
        </w:tc>
      </w:tr>
      <w:tr>
        <w:trPr>
          <w:trHeight w:val="216"/>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Dr. Eric Ball</w:t>
            </w:r>
          </w:p>
        </w:tc>
        <w:tc>
          <w:tcPr>
            <w:tcW w:w="2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448,567,663</w:t>
            </w:r>
          </w:p>
        </w:tc>
        <w:tc>
          <w:tcPr>
            <w:tcW w:w="2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647,285</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42,137,649</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Proposal No. 2 – Ratification of the appointment by the Board of the Company of Armanino LLP as the Company’s independent registered public accounting firm for the fiscal year ending December 31, 2023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ratification of the appointment by the Company’s Board of Armanino LLP as the Company’s independent registered public accounting firm for the fiscal year ending December 31, 2023, was approved. The voting results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490,253,922</w:t>
            </w:r>
          </w:p>
        </w:tc>
        <w:tc>
          <w:tcPr>
            <w:tcW w:w="120" w:type="dxa"/>
            <w:vAlign w:val="bottom"/>
            <w:shd w:val="clear" w:color="auto" w:fill="CCEEFF"/>
          </w:tcPr>
          <w:p>
            <w:pPr>
              <w:spacing w:after="0"/>
              <w:rPr>
                <w:sz w:val="18"/>
                <w:szCs w:val="18"/>
                <w:color w:val="auto"/>
              </w:rPr>
            </w:pPr>
          </w:p>
        </w:tc>
        <w:tc>
          <w:tcPr>
            <w:tcW w:w="336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735,113</w:t>
            </w:r>
          </w:p>
        </w:tc>
        <w:tc>
          <w:tcPr>
            <w:tcW w:w="100" w:type="dxa"/>
            <w:vAlign w:val="bottom"/>
            <w:shd w:val="clear" w:color="auto" w:fill="CCEEFF"/>
          </w:tcPr>
          <w:p>
            <w:pPr>
              <w:spacing w:after="0"/>
              <w:rPr>
                <w:sz w:val="18"/>
                <w:szCs w:val="18"/>
                <w:color w:val="auto"/>
              </w:rPr>
            </w:pPr>
          </w:p>
        </w:tc>
        <w:tc>
          <w:tcPr>
            <w:tcW w:w="36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390,562</w:t>
            </w:r>
          </w:p>
        </w:tc>
        <w:tc>
          <w:tcPr>
            <w:tcW w:w="100" w:type="dxa"/>
            <w:vAlign w:val="bottom"/>
            <w:shd w:val="clear" w:color="auto" w:fill="CCEEFF"/>
          </w:tcPr>
          <w:p>
            <w:pPr>
              <w:spacing w:after="0"/>
              <w:rPr>
                <w:sz w:val="18"/>
                <w:szCs w:val="18"/>
                <w:color w:val="auto"/>
              </w:rPr>
            </w:pPr>
          </w:p>
        </w:tc>
      </w:tr>
      <w:tr>
        <w:trPr>
          <w:trHeight w:val="574"/>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5, 2023</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SoundHound AI,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Keyvan Mohajer</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2023-07-05T16:22:12Z</dcterms:created>
  <dcterms:modified xsi:type="dcterms:W3CDTF">2023-07-05T16:22:12Z</dcterms:modified>
</cp:coreProperties>
</file>