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March 2, 2026</w:t>
      </w:r>
    </w:p>
    <w:p>
      <w:pPr>
        <w:spacing w:after="0" w:line="31" w:lineRule="exact"/>
        <w:rPr>
          <w:sz w:val="24"/>
          <w:szCs w:val="24"/>
          <w:color w:val="auto"/>
        </w:rPr>
      </w:pPr>
    </w:p>
    <w:p>
      <w:pPr>
        <w:ind w:left="8760"/>
        <w:spacing w:after="0"/>
        <w:rPr>
          <w:sz w:val="20"/>
          <w:szCs w:val="20"/>
          <w:color w:val="auto"/>
        </w:rPr>
      </w:pPr>
      <w:r>
        <w:rPr>
          <w:rFonts w:ascii="Times New Roman" w:cs="Times New Roman" w:eastAsia="Times New Roman" w:hAnsi="Times New Roman"/>
          <w:sz w:val="18"/>
          <w:szCs w:val="18"/>
          <w:b w:val="1"/>
          <w:bCs w:val="1"/>
          <w:color w:val="auto"/>
        </w:rPr>
        <w:t>Registration No. 333-_________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 UNDER THE SECURITIES ACT OF 1933</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7660" w:type="dxa"/>
            <w:vAlign w:val="bottom"/>
            <w:gridSpan w:val="3"/>
          </w:tcPr>
          <w:p>
            <w:pPr>
              <w:jc w:val="center"/>
              <w:ind w:right="214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580" w:type="dxa"/>
            <w:vAlign w:val="bottom"/>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86-1286799</w:t>
            </w:r>
          </w:p>
        </w:tc>
      </w:tr>
      <w:tr>
        <w:trPr>
          <w:trHeight w:val="198"/>
        </w:trPr>
        <w:tc>
          <w:tcPr>
            <w:tcW w:w="55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220" w:type="dxa"/>
            <w:vAlign w:val="bottom"/>
          </w:tcPr>
          <w:p>
            <w:pPr>
              <w:spacing w:after="0"/>
              <w:rPr>
                <w:sz w:val="17"/>
                <w:szCs w:val="17"/>
                <w:color w:val="auto"/>
              </w:rPr>
            </w:pPr>
          </w:p>
        </w:tc>
        <w:tc>
          <w:tcPr>
            <w:tcW w:w="1920" w:type="dxa"/>
            <w:vAlign w:val="bottom"/>
            <w:tcBorders>
              <w:top w:val="single" w:sz="8" w:color="auto"/>
            </w:tcBorders>
          </w:tcPr>
          <w:p>
            <w:pPr>
              <w:spacing w:after="0"/>
              <w:rPr>
                <w:sz w:val="17"/>
                <w:szCs w:val="17"/>
                <w:color w:val="auto"/>
              </w:rPr>
            </w:pPr>
          </w:p>
        </w:tc>
        <w:tc>
          <w:tcPr>
            <w:tcW w:w="3580" w:type="dxa"/>
            <w:vAlign w:val="bottom"/>
            <w:tcBorders>
              <w:top w:val="single" w:sz="8" w:color="auto"/>
            </w:tcBorders>
          </w:tcPr>
          <w:p>
            <w:pPr>
              <w:jc w:val="center"/>
              <w:ind w:right="1830"/>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7660" w:type="dxa"/>
            <w:vAlign w:val="bottom"/>
            <w:gridSpan w:val="3"/>
          </w:tcPr>
          <w:p>
            <w:pPr>
              <w:jc w:val="center"/>
              <w:ind w:right="214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580" w:type="dxa"/>
            <w:vAlign w:val="bottom"/>
          </w:tcPr>
          <w:p>
            <w:pPr>
              <w:jc w:val="center"/>
              <w:ind w:right="18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7660" w:type="dxa"/>
            <w:vAlign w:val="bottom"/>
            <w:gridSpan w:val="3"/>
          </w:tcPr>
          <w:p>
            <w:pPr>
              <w:jc w:val="center"/>
              <w:ind w:right="2120"/>
              <w:spacing w:after="0"/>
              <w:rPr>
                <w:sz w:val="20"/>
                <w:szCs w:val="20"/>
                <w:color w:val="auto"/>
              </w:rPr>
            </w:pPr>
            <w:r>
              <w:rPr>
                <w:rFonts w:ascii="Times New Roman" w:cs="Times New Roman" w:eastAsia="Times New Roman" w:hAnsi="Times New Roman"/>
                <w:sz w:val="18"/>
                <w:szCs w:val="18"/>
                <w:b w:val="1"/>
                <w:bCs w:val="1"/>
                <w:color w:val="auto"/>
                <w:w w:val="99"/>
              </w:rPr>
              <w:t>5400 Betsy Ross Drive</w:t>
            </w:r>
          </w:p>
        </w:tc>
        <w:tc>
          <w:tcPr>
            <w:tcW w:w="3580" w:type="dxa"/>
            <w:vAlign w:val="bottom"/>
          </w:tcPr>
          <w:p>
            <w:pPr>
              <w:spacing w:after="0"/>
              <w:rPr>
                <w:sz w:val="24"/>
                <w:szCs w:val="24"/>
                <w:color w:val="auto"/>
              </w:rPr>
            </w:pPr>
          </w:p>
        </w:tc>
      </w:tr>
      <w:tr>
        <w:trPr>
          <w:trHeight w:val="245"/>
        </w:trPr>
        <w:tc>
          <w:tcPr>
            <w:tcW w:w="7660" w:type="dxa"/>
            <w:vAlign w:val="bottom"/>
            <w:gridSpan w:val="3"/>
          </w:tcPr>
          <w:p>
            <w:pPr>
              <w:jc w:val="center"/>
              <w:ind w:right="2140"/>
              <w:spacing w:after="0"/>
              <w:rPr>
                <w:sz w:val="20"/>
                <w:szCs w:val="20"/>
                <w:color w:val="auto"/>
              </w:rPr>
            </w:pPr>
            <w:r>
              <w:rPr>
                <w:rFonts w:ascii="Times New Roman" w:cs="Times New Roman" w:eastAsia="Times New Roman" w:hAnsi="Times New Roman"/>
                <w:sz w:val="18"/>
                <w:szCs w:val="18"/>
                <w:b w:val="1"/>
                <w:bCs w:val="1"/>
                <w:color w:val="auto"/>
              </w:rPr>
              <w:t>Santa Clara, CA</w:t>
            </w:r>
          </w:p>
        </w:tc>
        <w:tc>
          <w:tcPr>
            <w:tcW w:w="3580" w:type="dxa"/>
            <w:vAlign w:val="bottom"/>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95054</w:t>
            </w:r>
          </w:p>
        </w:tc>
      </w:tr>
      <w:tr>
        <w:trPr>
          <w:trHeight w:val="234"/>
        </w:trPr>
        <w:tc>
          <w:tcPr>
            <w:tcW w:w="5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20" w:type="dxa"/>
            <w:vAlign w:val="bottom"/>
          </w:tcPr>
          <w:p>
            <w:pPr>
              <w:spacing w:after="0"/>
              <w:rPr>
                <w:sz w:val="20"/>
                <w:szCs w:val="20"/>
                <w:color w:val="auto"/>
              </w:rPr>
            </w:pPr>
          </w:p>
        </w:tc>
        <w:tc>
          <w:tcPr>
            <w:tcW w:w="1920" w:type="dxa"/>
            <w:vAlign w:val="bottom"/>
            <w:tcBorders>
              <w:top w:val="single" w:sz="8" w:color="auto"/>
            </w:tcBorders>
          </w:tcPr>
          <w:p>
            <w:pPr>
              <w:spacing w:after="0"/>
              <w:rPr>
                <w:sz w:val="20"/>
                <w:szCs w:val="20"/>
                <w:color w:val="auto"/>
              </w:rPr>
            </w:pPr>
          </w:p>
        </w:tc>
        <w:tc>
          <w:tcPr>
            <w:tcW w:w="3580" w:type="dxa"/>
            <w:vAlign w:val="bottom"/>
            <w:tcBorders>
              <w:top w:val="single" w:sz="8" w:color="auto"/>
            </w:tcBorders>
          </w:tcPr>
          <w:p>
            <w:pPr>
              <w:jc w:val="center"/>
              <w:ind w:right="1810"/>
              <w:spacing w:after="0"/>
              <w:rPr>
                <w:sz w:val="20"/>
                <w:szCs w:val="20"/>
                <w:color w:val="auto"/>
              </w:rPr>
            </w:pPr>
            <w:r>
              <w:rPr>
                <w:rFonts w:ascii="Times New Roman" w:cs="Times New Roman" w:eastAsia="Times New Roman" w:hAnsi="Times New Roman"/>
                <w:sz w:val="18"/>
                <w:szCs w:val="18"/>
                <w:color w:val="auto"/>
              </w:rPr>
              <w:t>(Zip Code)</w:t>
            </w:r>
          </w:p>
        </w:tc>
      </w:tr>
      <w:tr>
        <w:trPr>
          <w:trHeight w:val="395"/>
        </w:trPr>
        <w:tc>
          <w:tcPr>
            <w:tcW w:w="7660" w:type="dxa"/>
            <w:vAlign w:val="bottom"/>
            <w:gridSpan w:val="3"/>
          </w:tcPr>
          <w:p>
            <w:pPr>
              <w:jc w:val="center"/>
              <w:ind w:left="3450"/>
              <w:spacing w:after="0"/>
              <w:rPr>
                <w:sz w:val="20"/>
                <w:szCs w:val="20"/>
                <w:color w:val="auto"/>
              </w:rPr>
            </w:pPr>
            <w:r>
              <w:rPr>
                <w:rFonts w:ascii="Times New Roman" w:cs="Times New Roman" w:eastAsia="Times New Roman" w:hAnsi="Times New Roman"/>
                <w:sz w:val="18"/>
                <w:szCs w:val="18"/>
                <w:b w:val="1"/>
                <w:bCs w:val="1"/>
                <w:color w:val="auto"/>
                <w:w w:val="99"/>
              </w:rPr>
              <w:t>SoundHound AI, Inc. 2022 Equity Incentive Plan</w:t>
            </w:r>
          </w:p>
        </w:tc>
        <w:tc>
          <w:tcPr>
            <w:tcW w:w="3580" w:type="dxa"/>
            <w:vAlign w:val="bottom"/>
          </w:tcPr>
          <w:p>
            <w:pPr>
              <w:spacing w:after="0"/>
              <w:rPr>
                <w:sz w:val="24"/>
                <w:szCs w:val="24"/>
                <w:color w:val="auto"/>
              </w:rPr>
            </w:pPr>
          </w:p>
        </w:tc>
      </w:tr>
      <w:tr>
        <w:trPr>
          <w:trHeight w:val="234"/>
        </w:trPr>
        <w:tc>
          <w:tcPr>
            <w:tcW w:w="7660" w:type="dxa"/>
            <w:vAlign w:val="bottom"/>
            <w:gridSpan w:val="3"/>
          </w:tcPr>
          <w:p>
            <w:pPr>
              <w:jc w:val="center"/>
              <w:ind w:left="3510"/>
              <w:spacing w:after="0"/>
              <w:rPr>
                <w:sz w:val="20"/>
                <w:szCs w:val="20"/>
                <w:color w:val="auto"/>
              </w:rPr>
            </w:pPr>
            <w:r>
              <w:rPr>
                <w:rFonts w:ascii="Times New Roman" w:cs="Times New Roman" w:eastAsia="Times New Roman" w:hAnsi="Times New Roman"/>
                <w:sz w:val="18"/>
                <w:szCs w:val="18"/>
                <w:color w:val="auto"/>
                <w:w w:val="99"/>
              </w:rPr>
              <w:t>(Full Title of the Plan)</w:t>
            </w:r>
          </w:p>
        </w:tc>
        <w:tc>
          <w:tcPr>
            <w:tcW w:w="3580" w:type="dxa"/>
            <w:vAlign w:val="bottom"/>
          </w:tcPr>
          <w:p>
            <w:pPr>
              <w:spacing w:after="0"/>
              <w:rPr>
                <w:sz w:val="20"/>
                <w:szCs w:val="20"/>
                <w:color w:val="auto"/>
              </w:rPr>
            </w:pPr>
          </w:p>
        </w:tc>
      </w:tr>
      <w:tr>
        <w:trPr>
          <w:trHeight w:val="410"/>
        </w:trPr>
        <w:tc>
          <w:tcPr>
            <w:tcW w:w="7660" w:type="dxa"/>
            <w:vAlign w:val="bottom"/>
            <w:gridSpan w:val="3"/>
          </w:tcPr>
          <w:p>
            <w:pPr>
              <w:jc w:val="center"/>
              <w:ind w:left="3510"/>
              <w:spacing w:after="0"/>
              <w:rPr>
                <w:sz w:val="20"/>
                <w:szCs w:val="20"/>
                <w:color w:val="auto"/>
              </w:rPr>
            </w:pPr>
            <w:r>
              <w:rPr>
                <w:rFonts w:ascii="Times New Roman" w:cs="Times New Roman" w:eastAsia="Times New Roman" w:hAnsi="Times New Roman"/>
                <w:sz w:val="18"/>
                <w:szCs w:val="18"/>
                <w:b w:val="1"/>
                <w:bCs w:val="1"/>
                <w:color w:val="auto"/>
                <w:w w:val="98"/>
              </w:rPr>
              <w:t>Dr. Keyvan Mohajer</w:t>
            </w:r>
          </w:p>
        </w:tc>
        <w:tc>
          <w:tcPr>
            <w:tcW w:w="3580" w:type="dxa"/>
            <w:vAlign w:val="bottom"/>
          </w:tcPr>
          <w:p>
            <w:pPr>
              <w:spacing w:after="0"/>
              <w:rPr>
                <w:sz w:val="24"/>
                <w:szCs w:val="24"/>
                <w:color w:val="auto"/>
              </w:rPr>
            </w:pPr>
          </w:p>
        </w:tc>
      </w:tr>
      <w:tr>
        <w:trPr>
          <w:trHeight w:val="216"/>
        </w:trPr>
        <w:tc>
          <w:tcPr>
            <w:tcW w:w="7660" w:type="dxa"/>
            <w:vAlign w:val="bottom"/>
            <w:gridSpan w:val="3"/>
          </w:tcPr>
          <w:p>
            <w:pPr>
              <w:jc w:val="center"/>
              <w:ind w:left="3490"/>
              <w:spacing w:after="0"/>
              <w:rPr>
                <w:sz w:val="20"/>
                <w:szCs w:val="20"/>
                <w:color w:val="auto"/>
              </w:rPr>
            </w:pPr>
            <w:r>
              <w:rPr>
                <w:rFonts w:ascii="Times New Roman" w:cs="Times New Roman" w:eastAsia="Times New Roman" w:hAnsi="Times New Roman"/>
                <w:sz w:val="18"/>
                <w:szCs w:val="18"/>
                <w:b w:val="1"/>
                <w:bCs w:val="1"/>
                <w:color w:val="auto"/>
                <w:w w:val="99"/>
              </w:rPr>
              <w:t>SoundHound AI, Inc.</w:t>
            </w:r>
          </w:p>
        </w:tc>
        <w:tc>
          <w:tcPr>
            <w:tcW w:w="3580" w:type="dxa"/>
            <w:vAlign w:val="bottom"/>
          </w:tcPr>
          <w:p>
            <w:pPr>
              <w:spacing w:after="0"/>
              <w:rPr>
                <w:sz w:val="18"/>
                <w:szCs w:val="18"/>
                <w:color w:val="auto"/>
              </w:rPr>
            </w:pPr>
          </w:p>
        </w:tc>
      </w:tr>
      <w:tr>
        <w:trPr>
          <w:trHeight w:val="216"/>
        </w:trPr>
        <w:tc>
          <w:tcPr>
            <w:tcW w:w="7660" w:type="dxa"/>
            <w:vAlign w:val="bottom"/>
            <w:gridSpan w:val="3"/>
          </w:tcPr>
          <w:p>
            <w:pPr>
              <w:jc w:val="center"/>
              <w:ind w:left="3510"/>
              <w:spacing w:after="0"/>
              <w:rPr>
                <w:sz w:val="20"/>
                <w:szCs w:val="20"/>
                <w:color w:val="auto"/>
              </w:rPr>
            </w:pPr>
            <w:r>
              <w:rPr>
                <w:rFonts w:ascii="Times New Roman" w:cs="Times New Roman" w:eastAsia="Times New Roman" w:hAnsi="Times New Roman"/>
                <w:sz w:val="18"/>
                <w:szCs w:val="18"/>
                <w:b w:val="1"/>
                <w:bCs w:val="1"/>
                <w:color w:val="auto"/>
                <w:w w:val="99"/>
              </w:rPr>
              <w:t>5400 Betsy Ross Drive</w:t>
            </w:r>
          </w:p>
        </w:tc>
        <w:tc>
          <w:tcPr>
            <w:tcW w:w="3580" w:type="dxa"/>
            <w:vAlign w:val="bottom"/>
          </w:tcPr>
          <w:p>
            <w:pPr>
              <w:spacing w:after="0"/>
              <w:rPr>
                <w:sz w:val="18"/>
                <w:szCs w:val="18"/>
                <w:color w:val="auto"/>
              </w:rPr>
            </w:pPr>
          </w:p>
        </w:tc>
      </w:tr>
      <w:tr>
        <w:trPr>
          <w:trHeight w:val="220"/>
        </w:trPr>
        <w:tc>
          <w:tcPr>
            <w:tcW w:w="7660" w:type="dxa"/>
            <w:vAlign w:val="bottom"/>
            <w:gridSpan w:val="3"/>
          </w:tcPr>
          <w:p>
            <w:pPr>
              <w:jc w:val="center"/>
              <w:ind w:left="3490"/>
              <w:spacing w:after="0"/>
              <w:rPr>
                <w:sz w:val="20"/>
                <w:szCs w:val="20"/>
                <w:color w:val="auto"/>
              </w:rPr>
            </w:pPr>
            <w:r>
              <w:rPr>
                <w:rFonts w:ascii="Times New Roman" w:cs="Times New Roman" w:eastAsia="Times New Roman" w:hAnsi="Times New Roman"/>
                <w:sz w:val="18"/>
                <w:szCs w:val="18"/>
                <w:b w:val="1"/>
                <w:bCs w:val="1"/>
                <w:color w:val="auto"/>
                <w:w w:val="99"/>
              </w:rPr>
              <w:t>Santa Clara, CA 95054</w:t>
            </w:r>
          </w:p>
        </w:tc>
        <w:tc>
          <w:tcPr>
            <w:tcW w:w="3580" w:type="dxa"/>
            <w:vAlign w:val="bottom"/>
          </w:tcPr>
          <w:p>
            <w:pPr>
              <w:spacing w:after="0"/>
              <w:rPr>
                <w:sz w:val="19"/>
                <w:szCs w:val="19"/>
                <w:color w:val="auto"/>
              </w:rPr>
            </w:pPr>
          </w:p>
        </w:tc>
      </w:tr>
      <w:tr>
        <w:trPr>
          <w:trHeight w:val="234"/>
        </w:trPr>
        <w:tc>
          <w:tcPr>
            <w:tcW w:w="7660" w:type="dxa"/>
            <w:vAlign w:val="bottom"/>
            <w:gridSpan w:val="3"/>
          </w:tcPr>
          <w:p>
            <w:pPr>
              <w:jc w:val="center"/>
              <w:ind w:left="3490"/>
              <w:spacing w:after="0"/>
              <w:rPr>
                <w:sz w:val="20"/>
                <w:szCs w:val="20"/>
                <w:color w:val="auto"/>
              </w:rPr>
            </w:pPr>
            <w:r>
              <w:rPr>
                <w:rFonts w:ascii="Times New Roman" w:cs="Times New Roman" w:eastAsia="Times New Roman" w:hAnsi="Times New Roman"/>
                <w:sz w:val="18"/>
                <w:szCs w:val="18"/>
                <w:color w:val="auto"/>
                <w:w w:val="99"/>
              </w:rPr>
              <w:t>(Name and Address of Agent For Service)</w:t>
            </w:r>
          </w:p>
        </w:tc>
        <w:tc>
          <w:tcPr>
            <w:tcW w:w="358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(408) 441-3200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Telephone Number, Including Area Code of Agent For Service.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Copy to:</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Douglas Ellenoff, Esq.</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Matthew Bernstein, Esq.</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Ellenoff Grossman &amp; Schole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1345 Avenue of the Americas, 11th Floor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10105</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 (212) 370-1300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Facsimile: (212) 370-7889</w:t>
      </w:r>
    </w:p>
    <w:p>
      <w:pPr>
        <w:spacing w:after="0" w:line="207"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860" w:type="dxa"/>
            <w:vAlign w:val="bottom"/>
          </w:tcPr>
          <w:p>
            <w:pPr>
              <w:ind w:left="1480"/>
              <w:spacing w:after="0" w:line="181" w:lineRule="exact"/>
              <w:rPr>
                <w:sz w:val="20"/>
                <w:szCs w:val="20"/>
                <w:color w:val="auto"/>
              </w:rPr>
            </w:pPr>
            <w:r>
              <w:rPr>
                <w:rFonts w:ascii="MS PGothic" w:cs="MS PGothic" w:eastAsia="MS PGothic" w:hAnsi="MS PGothic"/>
                <w:sz w:val="18"/>
                <w:szCs w:val="18"/>
                <w:color w:val="auto"/>
              </w:rPr>
              <w:t>☒</w:t>
            </w:r>
          </w:p>
        </w:tc>
        <w:tc>
          <w:tcPr>
            <w:tcW w:w="4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Accelerated filer</w:t>
            </w:r>
          </w:p>
        </w:tc>
        <w:tc>
          <w:tcPr>
            <w:tcW w:w="1960" w:type="dxa"/>
            <w:vAlign w:val="bottom"/>
          </w:tcPr>
          <w:p>
            <w:pPr>
              <w:ind w:left="18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860" w:type="dxa"/>
            <w:vAlign w:val="bottom"/>
          </w:tcPr>
          <w:p>
            <w:pPr>
              <w:ind w:left="1480"/>
              <w:spacing w:after="0" w:line="181" w:lineRule="exact"/>
              <w:rPr>
                <w:sz w:val="20"/>
                <w:szCs w:val="20"/>
                <w:color w:val="auto"/>
              </w:rPr>
            </w:pPr>
            <w:r>
              <w:rPr>
                <w:rFonts w:ascii="MS PGothic" w:cs="MS PGothic" w:eastAsia="MS PGothic" w:hAnsi="MS PGothic"/>
                <w:sz w:val="18"/>
                <w:szCs w:val="18"/>
                <w:color w:val="auto"/>
              </w:rPr>
              <w:t>☐</w:t>
            </w:r>
          </w:p>
        </w:tc>
        <w:tc>
          <w:tcPr>
            <w:tcW w:w="4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960" w:type="dxa"/>
            <w:vAlign w:val="bottom"/>
          </w:tcPr>
          <w:p>
            <w:pPr>
              <w:ind w:left="18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3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4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Emerging growth company</w:t>
            </w:r>
          </w:p>
        </w:tc>
        <w:tc>
          <w:tcPr>
            <w:tcW w:w="1960" w:type="dxa"/>
            <w:vAlign w:val="bottom"/>
          </w:tcPr>
          <w:p>
            <w:pPr>
              <w:ind w:left="18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OF ADDITIONAL SECURITIES PURSUANT TO GENERAL INSTRUCTION E OF FORM S-8</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This Registration Statement is being filed by SoundHound AI, Inc., a Delaware corporation (the “Registrant,” the “Company,” “us,” “our,” or “we”), to register an additional 19,495,859 shares of our Class A common stock, par value $0.0001 per share (the “Common Stock”), which may be offered and sold pursuant to the SoundHound AI, Inc. 2022 Equity Incentive Plan (the “2022 Incentive Plan”) in connection with an increase in the number of shares available for issuance under such plan pursuant to the evergreen provision included therein. In accordance with the instructional note to Part I of Form S-8 as promulgated by the Securities and Exchange Commission (the “Commission”), the information specified by Part I of the Form S-8 has been omitted from this Registration Statement.</w:t>
      </w:r>
    </w:p>
    <w:p>
      <w:pPr>
        <w:spacing w:after="0" w:line="187" w:lineRule="exact"/>
        <w:rPr>
          <w:sz w:val="20"/>
          <w:szCs w:val="20"/>
          <w:color w:val="auto"/>
        </w:rPr>
      </w:pPr>
    </w:p>
    <w:p>
      <w:pPr>
        <w:jc w:val="both"/>
        <w:ind w:firstLine="324"/>
        <w:spacing w:after="0" w:line="256" w:lineRule="auto"/>
        <w:rPr>
          <w:rFonts w:ascii="Times New Roman" w:cs="Times New Roman" w:eastAsia="Times New Roman" w:hAnsi="Times New Roman"/>
          <w:sz w:val="18"/>
          <w:szCs w:val="18"/>
          <w:color w:val="000000"/>
        </w:rPr>
      </w:pPr>
      <w:r>
        <w:rPr>
          <w:rFonts w:ascii="Times New Roman" w:cs="Times New Roman" w:eastAsia="Times New Roman" w:hAnsi="Times New Roman"/>
          <w:sz w:val="18"/>
          <w:szCs w:val="18"/>
          <w:color w:val="auto"/>
        </w:rPr>
        <w:t xml:space="preserve">The Registrant previously registered shares of its Common Stock for issuance under the 2022 Incentive Plan, the SoundHound AI, Inc. 2022 Employee Stock Purchase Plan, the SoundHound, Inc. 2016 Equity Incentive Plan, and the Melodis Corporation 2006 Stock Plan on a Registration Statement on </w:t>
      </w:r>
      <w:hyperlink r:id="rId13">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filed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with the Commission on July 20, 2022 (File No. 333-266239), a Registration Statement on</w:t>
      </w:r>
      <w:r>
        <w:rPr>
          <w:rFonts w:ascii="Times New Roman" w:cs="Times New Roman" w:eastAsia="Times New Roman" w:hAnsi="Times New Roman"/>
          <w:sz w:val="18"/>
          <w:szCs w:val="18"/>
          <w:color w:val="0000EE"/>
        </w:rPr>
        <w:t xml:space="preserve"> </w:t>
      </w:r>
      <w:hyperlink r:id="rId14">
        <w:r>
          <w:rPr>
            <w:rFonts w:ascii="Times New Roman" w:cs="Times New Roman" w:eastAsia="Times New Roman" w:hAnsi="Times New Roman"/>
            <w:sz w:val="18"/>
            <w:szCs w:val="18"/>
            <w:u w:val="single" w:color="auto"/>
            <w:color w:val="0000EE"/>
          </w:rPr>
          <w:t xml:space="preserve">Form S-8 </w:t>
        </w:r>
      </w:hyperlink>
      <w:r>
        <w:rPr>
          <w:rFonts w:ascii="Times New Roman" w:cs="Times New Roman" w:eastAsia="Times New Roman" w:hAnsi="Times New Roman"/>
          <w:sz w:val="18"/>
          <w:szCs w:val="18"/>
          <w:color w:val="000000"/>
        </w:rPr>
        <w:t>filed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with the Commission on April 8,</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 xml:space="preserve">2024 (File No. 333-278547), and a Registration Statement on </w:t>
      </w:r>
      <w:hyperlink r:id="rId15">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000000"/>
          </w:rPr>
          <w:t xml:space="preserve"> </w:t>
        </w:r>
      </w:hyperlink>
      <w:r>
        <w:rPr>
          <w:rFonts w:ascii="Times New Roman" w:cs="Times New Roman" w:eastAsia="Times New Roman" w:hAnsi="Times New Roman"/>
          <w:sz w:val="18"/>
          <w:szCs w:val="18"/>
          <w:color w:val="000000"/>
        </w:rPr>
        <w:t>filed with the Commission on August 11, 2025 (File No. 333-289498) (collectively, the “Prior Registration Statements”). Pursuant to General Instruction E to Form S-8, this Registration Statement hereby incorporates by reference the contents of the Prior Registration Statements.</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are “incorporating by reference” in this prospectus certain documents we file with the Commission, which means that we can disclose important information to you by referring you to those documents. The information in the documents incorporated by reference is considered to be part of this prospectus. Statements contained in documents that we file with the Commission and that are incorporated by reference in this prospectus will automatically update and supersede information contained in this prospectus, including information in previously filed documents or reports that have been incorporated by reference in this prospectus, to the extent the new information differs from or is inconsistent with the old information. We have filed or may file the following documents with the Commission and they are incorporated herein by reference as of their respective dates of filing.</w:t>
      </w:r>
    </w:p>
    <w:p>
      <w:pPr>
        <w:spacing w:after="0" w:line="187"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17">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2025, filed on March 2, 2026 (“Form 10-K”);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description of our Common Stock contained in Exhibit 4.6 to Form 10-K.</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All documents that we filed with the Commission pursuant to Sections 13(a), 13(c), 14, and 15(d) of the Securities Exchange Act of 1934, as amended (the “Exchange Act”) subsequent to the date of this prospectus that indicates that all securities offered under this prospectus have been sold, or that deregisters all securities then remaining unsold, will be deemed to be incorporated in this prospectus by reference and to be a part hereof from the date of filing of such documents.</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Any statement contained in a document incorporated or deemed to be incorporated by reference in this prospectus shall be deemed modified, superseded or replaced for purposes of this prospectus to the extent that a statement contained in this prospectus, or in any subsequently filed document that also is deemed to be incorporated by reference in this prospectus, modifies, supersedes or replaces such statement. Any statement so modified, superseded or replaced shall not be deemed, except as so modified, superseded or replaced, to constitute a part of this prospectus. None of the information that we disclose under Items 2.02 or 7.01 of any Current Report on Form 8-K or any corresponding information, either furnished under Item 9.01 or included as an exhibit therein, that we may from time to time furnish to the Commission will be incorporated by reference into, or otherwise included in, this prospectus, except as otherwise expressly set forth in the relevant document. Subject to the foregoing, all information appearing in this prospectus is qualified in its entirety by the information appearing in the documents incorporated by reference.</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You may request, orally or in writing, a copy of these documents, which will be provided to you at no cost (other than exhibits, unless such exhibits are specifically incorporated by reference), by contacting Corporate Secretary, c/o SoundHound AI, Inc., at 5400 Betsy Ross Drive, Santa Clara, CA 95054. Our telephone number is (408) 441-3200. Information about us is also available at our website at http://www.soundhound.com. However, the information on our website is not a part of this prospectus and is not incorporated by reference.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Description of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Interests of Named Experts and Counsel</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Item 6. Indemnification of Officers and Directors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permitted by Section 102 of the Delaware General Corporation Law, we have adopted provisions in our Restated Certificate of Incorporation and our Amended and Restated Bylaws that limit or eliminate the personal liability of our directors for a breach of their fiduciary duty of care as a director. The duty of care generally requires that, when acting on behalf of the corporation, directors exercise an informed business judgment based on all material information reasonably available to them. Consequently, a director will not be personally liable to us or our stockholders for monetary damages for breach of fiduciary duty as a director, except for liability for:</w:t>
      </w:r>
    </w:p>
    <w:p>
      <w:pPr>
        <w:spacing w:after="0" w:line="183"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 director’s duty of loyalty to us or our stockholders;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or omission not in good faith or that involves intentional misconduct or a knowing violation of law;</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related to unlawful stock repurchases, redemptions or other distributions or payment of dividends;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 director derived an improper personal benefit.</w:t>
      </w:r>
    </w:p>
    <w:p>
      <w:pPr>
        <w:spacing w:after="0" w:line="22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addition to the foregoing, we have adopted provisions in our Restated Certificate of Incorporation to provide limit or eliminate monetary liability of certain officers of the Company for certain breaches of the fiduciary duty of care to the fullest extent permitted by the Delaware General Corporation Law. In accordance with Delaware law, our Restated Certificate of Incorporation exculpates certain officers only in connection with direct claims brought by stockholders, including class actions, and does not eliminate or limit liability for breaches of the duty of loyalty, acts or omissions not in good faith or that involve intentional misconduct or a knowing violation of law, or any transaction in which the officer derived an improper personal benefit. Nor does our Restated Certificate of Incorporation exculpate such officers from liability for claims brought by or in the right of the corporation, such as derivative claims.</w:t>
      </w:r>
    </w:p>
    <w:p>
      <w:pPr>
        <w:spacing w:after="0" w:line="18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These limitations of liability do not affect the availability of equitable remedies such as injunctive relief or rescission. Our Restated Certificate of Incorporation also authorizes us to indemnify our officers, directors and other agents to the fullest extent permitted under Delaware law.</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permitted by Section 145 of the Delaware General Corporation Law, our Amended and Restated Bylaws provide that:</w:t>
      </w:r>
    </w:p>
    <w:p>
      <w:pPr>
        <w:spacing w:after="0" w:line="225" w:lineRule="exact"/>
        <w:rPr>
          <w:sz w:val="20"/>
          <w:szCs w:val="20"/>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indemnify our directors, officers and employees to the fullest extent permitted by the Delaware General Corporation Law, subject to limited exceptions;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advance expenses to our directors, officers and employees in connection with a legal proceeding to the fullest extent permitted by the Delaware General Corporation Law, subject to limited exceptions;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provided in our Amended Bylaws are not exclusive.</w:t>
      </w:r>
    </w:p>
    <w:p>
      <w:pPr>
        <w:spacing w:after="0" w:line="22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Restated Certificate of Incorporation and our Amended and Restated Bylaws provide for the indemnification provisions described above and elsewhere herein. We have entered or will enter into, and intend to continue to enter into, separate indemnification agreements with our directors and certain of our officers that may be broader than the specific indemnification provisions contained in the Delaware General Corporation Law. These indemnification agreements generally require us, among other things, to indemnify our officers and directors against certain liabilities that may arise by reason of their status or service as directors or officers, other than liabilities arising from willful misconduct. These indemnification agreements also generally require us to advance any expenses incurred by the directors or officers as a result of any proceeding against them as to which they could be indemnified. These indemnification provisions and the indemnification agreements may be sufficiently broad to permit indemnification of our officers and directors for liabilities, including reimbursement of expenses incurred, arising under the Securities Act of 1933, as amended (the “Securities Act”).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both"/>
        <w:ind w:right="20" w:firstLine="324"/>
        <w:spacing w:after="0" w:line="312" w:lineRule="auto"/>
        <w:rPr>
          <w:sz w:val="20"/>
          <w:szCs w:val="20"/>
          <w:color w:val="auto"/>
        </w:rPr>
      </w:pPr>
      <w:r>
        <w:rPr>
          <w:rFonts w:ascii="Times New Roman" w:cs="Times New Roman" w:eastAsia="Times New Roman" w:hAnsi="Times New Roman"/>
          <w:sz w:val="17"/>
          <w:szCs w:val="17"/>
          <w:color w:val="auto"/>
        </w:rPr>
        <w:t>The Registrant has purchased and currently intends to maintain insurance on behalf of each and every person who is or was a director or officer of the Registrant against any loss arising from any claim asserted against him or her and incurred by him or her in any such capacity, subject to certain exclusions.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Exemption from Registration Claimed</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exhibits are filed with this Registration Statement.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2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3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r>
      <w:tr>
        <w:trPr>
          <w:trHeight w:val="223"/>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5420" w:type="dxa"/>
            <w:vAlign w:val="bottom"/>
            <w:gridSpan w:val="8"/>
          </w:tcPr>
          <w:p>
            <w:pPr>
              <w:ind w:left="220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Filing Date</w:t>
            </w:r>
          </w:p>
        </w:tc>
      </w:tr>
      <w:tr>
        <w:trPr>
          <w:trHeight w:val="216"/>
        </w:trPr>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9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r>
      <w:tr>
        <w:trPr>
          <w:trHeight w:val="19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bottom w:val="single" w:sz="8" w:color="CCEEFF"/>
            </w:tcBorders>
            <w:shd w:val="clear" w:color="auto" w:fill="CCEEFF"/>
          </w:tcPr>
          <w:p>
            <w:pPr>
              <w:spacing w:after="0"/>
              <w:rPr>
                <w:sz w:val="17"/>
                <w:szCs w:val="17"/>
                <w:color w:val="auto"/>
              </w:rPr>
            </w:pPr>
          </w:p>
        </w:tc>
        <w:tc>
          <w:tcPr>
            <w:tcW w:w="3600" w:type="dxa"/>
            <w:vAlign w:val="bottom"/>
            <w:tcBorders>
              <w:bottom w:val="single" w:sz="8" w:color="0000EE"/>
            </w:tcBorders>
            <w:gridSpan w:val="5"/>
            <w:shd w:val="clear" w:color="auto" w:fill="CCEEFF"/>
          </w:tcPr>
          <w:p>
            <w:pPr>
              <w:spacing w:after="0" w:line="176" w:lineRule="exact"/>
              <w:rPr>
                <w:rFonts w:ascii="Times New Roman" w:cs="Times New Roman" w:eastAsia="Times New Roman" w:hAnsi="Times New Roman"/>
                <w:sz w:val="18"/>
                <w:szCs w:val="18"/>
                <w:color w:val="0000EE"/>
                <w:w w:val="99"/>
              </w:rPr>
            </w:pPr>
            <w:hyperlink r:id="rId20">
              <w:r>
                <w:rPr>
                  <w:rFonts w:ascii="Times New Roman" w:cs="Times New Roman" w:eastAsia="Times New Roman" w:hAnsi="Times New Roman"/>
                  <w:sz w:val="18"/>
                  <w:szCs w:val="18"/>
                  <w:color w:val="0000EE"/>
                  <w:w w:val="99"/>
                </w:rPr>
                <w:t>SoundHound AI, Inc. 2022 Incentive Award Plan.</w:t>
              </w:r>
            </w:hyperlink>
          </w:p>
        </w:tc>
        <w:tc>
          <w:tcPr>
            <w:tcW w:w="1820" w:type="dxa"/>
            <w:vAlign w:val="bottom"/>
            <w:tcBorders>
              <w:bottom w:val="single" w:sz="8" w:color="CCEEFF"/>
            </w:tcBorders>
            <w:gridSpan w:val="3"/>
            <w:shd w:val="clear" w:color="auto" w:fill="CCEEFF"/>
          </w:tcPr>
          <w:p>
            <w:pPr>
              <w:spacing w:after="0"/>
              <w:rPr>
                <w:sz w:val="17"/>
                <w:szCs w:val="17"/>
                <w:color w:val="auto"/>
              </w:rPr>
            </w:pPr>
          </w:p>
        </w:tc>
        <w:tc>
          <w:tcPr>
            <w:tcW w:w="1780" w:type="dxa"/>
            <w:vAlign w:val="bottom"/>
            <w:tcBorders>
              <w:bottom w:val="single" w:sz="8" w:color="CCEEFF"/>
            </w:tcBorders>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8"/>
              </w:rPr>
              <w:t>Proxy Statement</w:t>
            </w:r>
          </w:p>
        </w:tc>
        <w:tc>
          <w:tcPr>
            <w:tcW w:w="1220" w:type="dxa"/>
            <w:vAlign w:val="bottom"/>
            <w:tcBorders>
              <w:bottom w:val="single" w:sz="8" w:color="CCEEFF"/>
            </w:tcBorders>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7"/>
              </w:rPr>
              <w:t>Annex D</w:t>
            </w:r>
          </w:p>
        </w:tc>
        <w:tc>
          <w:tcPr>
            <w:tcW w:w="16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April 8, 2022</w:t>
            </w: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5"/>
                <w:szCs w:val="15"/>
                <w:color w:val="auto"/>
              </w:rPr>
            </w:pPr>
          </w:p>
        </w:tc>
        <w:tc>
          <w:tcPr>
            <w:tcW w:w="5420" w:type="dxa"/>
            <w:vAlign w:val="bottom"/>
            <w:gridSpan w:val="8"/>
          </w:tcPr>
          <w:p>
            <w:pPr>
              <w:spacing w:after="0" w:line="176" w:lineRule="exact"/>
              <w:rPr>
                <w:rFonts w:ascii="Times New Roman" w:cs="Times New Roman" w:eastAsia="Times New Roman" w:hAnsi="Times New Roman"/>
                <w:sz w:val="18"/>
                <w:szCs w:val="18"/>
                <w:color w:val="0000EE"/>
              </w:rPr>
            </w:pPr>
            <w:hyperlink r:id="rId21">
              <w:r>
                <w:rPr>
                  <w:rFonts w:ascii="Times New Roman" w:cs="Times New Roman" w:eastAsia="Times New Roman" w:hAnsi="Times New Roman"/>
                  <w:sz w:val="18"/>
                  <w:szCs w:val="18"/>
                  <w:color w:val="0000EE"/>
                </w:rPr>
                <w:t>Form of Restricted Stock Unit Agreement.</w:t>
              </w:r>
            </w:hyperlink>
          </w:p>
        </w:tc>
        <w:tc>
          <w:tcPr>
            <w:tcW w:w="178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7"/>
              </w:rPr>
              <w:t>Form 8-K</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15"/>
                <w:szCs w:val="15"/>
                <w:color w:val="auto"/>
              </w:rPr>
            </w:pPr>
          </w:p>
        </w:tc>
        <w:tc>
          <w:tcPr>
            <w:tcW w:w="16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May 2, 2022</w:t>
            </w: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120" w:type="dxa"/>
            <w:vAlign w:val="bottom"/>
            <w:tcBorders>
              <w:bottom w:val="single" w:sz="8" w:color="CCEEFF"/>
            </w:tcBorders>
            <w:shd w:val="clear" w:color="auto" w:fill="CCEEFF"/>
          </w:tcPr>
          <w:p>
            <w:pPr>
              <w:spacing w:after="0"/>
              <w:rPr>
                <w:sz w:val="17"/>
                <w:szCs w:val="17"/>
                <w:color w:val="auto"/>
              </w:rPr>
            </w:pPr>
          </w:p>
        </w:tc>
        <w:tc>
          <w:tcPr>
            <w:tcW w:w="3000" w:type="dxa"/>
            <w:vAlign w:val="bottom"/>
            <w:tcBorders>
              <w:bottom w:val="single" w:sz="8" w:color="0000EE"/>
            </w:tcBorders>
            <w:gridSpan w:val="2"/>
            <w:shd w:val="clear" w:color="auto" w:fill="CCEEFF"/>
          </w:tcPr>
          <w:p>
            <w:pPr>
              <w:spacing w:after="0" w:line="176" w:lineRule="exact"/>
              <w:rPr>
                <w:rFonts w:ascii="Times New Roman" w:cs="Times New Roman" w:eastAsia="Times New Roman" w:hAnsi="Times New Roman"/>
                <w:sz w:val="18"/>
                <w:szCs w:val="18"/>
                <w:color w:val="0000EE"/>
                <w:w w:val="98"/>
              </w:rPr>
            </w:pPr>
            <w:hyperlink r:id="rId22">
              <w:r>
                <w:rPr>
                  <w:rFonts w:ascii="Times New Roman" w:cs="Times New Roman" w:eastAsia="Times New Roman" w:hAnsi="Times New Roman"/>
                  <w:sz w:val="18"/>
                  <w:szCs w:val="18"/>
                  <w:color w:val="0000EE"/>
                  <w:w w:val="98"/>
                </w:rPr>
                <w:t>Form of Stock Option Award Agreement.</w:t>
              </w:r>
            </w:hyperlink>
          </w:p>
        </w:tc>
        <w:tc>
          <w:tcPr>
            <w:tcW w:w="2420" w:type="dxa"/>
            <w:vAlign w:val="bottom"/>
            <w:tcBorders>
              <w:bottom w:val="single" w:sz="8" w:color="CCEEFF"/>
            </w:tcBorders>
            <w:gridSpan w:val="6"/>
            <w:shd w:val="clear" w:color="auto" w:fill="CCEEFF"/>
          </w:tcPr>
          <w:p>
            <w:pPr>
              <w:spacing w:after="0"/>
              <w:rPr>
                <w:sz w:val="17"/>
                <w:szCs w:val="17"/>
                <w:color w:val="auto"/>
              </w:rPr>
            </w:pPr>
          </w:p>
        </w:tc>
        <w:tc>
          <w:tcPr>
            <w:tcW w:w="1780" w:type="dxa"/>
            <w:vAlign w:val="bottom"/>
            <w:tcBorders>
              <w:bottom w:val="single" w:sz="8" w:color="CCEEFF"/>
            </w:tcBorders>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7"/>
              </w:rPr>
              <w:t>Form 8-K</w:t>
            </w: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10.9</w:t>
            </w:r>
          </w:p>
        </w:tc>
        <w:tc>
          <w:tcPr>
            <w:tcW w:w="10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May 2, 2022</w:t>
            </w: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15"/>
                <w:szCs w:val="15"/>
                <w:color w:val="auto"/>
              </w:rPr>
            </w:pPr>
          </w:p>
        </w:tc>
        <w:tc>
          <w:tcPr>
            <w:tcW w:w="542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Opinion of Ellenoff Grossman &amp; Schole LLP</w:t>
            </w: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7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23.1*</w:t>
            </w:r>
          </w:p>
        </w:tc>
        <w:tc>
          <w:tcPr>
            <w:tcW w:w="120" w:type="dxa"/>
            <w:vAlign w:val="bottom"/>
            <w:shd w:val="clear" w:color="auto" w:fill="CCEEFF"/>
          </w:tcPr>
          <w:p>
            <w:pPr>
              <w:spacing w:after="0"/>
              <w:rPr>
                <w:sz w:val="15"/>
                <w:szCs w:val="15"/>
                <w:color w:val="auto"/>
              </w:rPr>
            </w:pPr>
          </w:p>
        </w:tc>
        <w:tc>
          <w:tcPr>
            <w:tcW w:w="542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Consent of PricewaterhouseCoopers LLP</w:t>
            </w:r>
          </w:p>
        </w:tc>
        <w:tc>
          <w:tcPr>
            <w:tcW w:w="1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9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23.2</w:t>
            </w:r>
          </w:p>
        </w:tc>
        <w:tc>
          <w:tcPr>
            <w:tcW w:w="120" w:type="dxa"/>
            <w:vAlign w:val="bottom"/>
          </w:tcPr>
          <w:p>
            <w:pPr>
              <w:spacing w:after="0"/>
              <w:rPr>
                <w:sz w:val="15"/>
                <w:szCs w:val="15"/>
                <w:color w:val="auto"/>
              </w:rPr>
            </w:pPr>
          </w:p>
        </w:tc>
        <w:tc>
          <w:tcPr>
            <w:tcW w:w="5100" w:type="dxa"/>
            <w:vAlign w:val="bottom"/>
            <w:tcBorders>
              <w:bottom w:val="single" w:sz="8" w:color="0000EE"/>
            </w:tcBorders>
            <w:gridSpan w:val="6"/>
          </w:tcPr>
          <w:p>
            <w:pPr>
              <w:spacing w:after="0" w:line="176" w:lineRule="exact"/>
              <w:rPr>
                <w:sz w:val="20"/>
                <w:szCs w:val="20"/>
                <w:color w:val="auto"/>
              </w:rPr>
            </w:pPr>
            <w:r>
              <w:rPr>
                <w:rFonts w:ascii="Times New Roman" w:cs="Times New Roman" w:eastAsia="Times New Roman" w:hAnsi="Times New Roman"/>
                <w:sz w:val="18"/>
                <w:szCs w:val="18"/>
                <w:color w:val="0000EE"/>
                <w:w w:val="99"/>
              </w:rPr>
              <w:t>Consent of Ellenoff Grossman &amp; Schole LLP (included in Exhibit 5.1)</w:t>
            </w:r>
          </w:p>
        </w:tc>
        <w:tc>
          <w:tcPr>
            <w:tcW w:w="320" w:type="dxa"/>
            <w:vAlign w:val="bottom"/>
            <w:gridSpan w:val="2"/>
          </w:tcPr>
          <w:p>
            <w:pPr>
              <w:spacing w:after="0"/>
              <w:rPr>
                <w:sz w:val="15"/>
                <w:szCs w:val="15"/>
                <w:color w:val="auto"/>
              </w:rPr>
            </w:pP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r>
    </w:tbl>
    <w:p>
      <w:pPr>
        <w:spacing w:after="0" w:line="9" w:lineRule="exact"/>
        <w:rPr>
          <w:sz w:val="20"/>
          <w:szCs w:val="20"/>
          <w:color w:val="auto"/>
        </w:rPr>
      </w:pPr>
    </w:p>
    <w:p>
      <w:pPr>
        <w:ind w:left="1140" w:hanging="1132"/>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Powers of Attorney (included on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107*</w:t>
      </w:r>
      <w:r>
        <w:rPr>
          <w:sz w:val="20"/>
          <w:szCs w:val="20"/>
          <w:color w:val="auto"/>
        </w:rPr>
        <w:tab/>
      </w:r>
      <w:r>
        <w:rPr>
          <w:rFonts w:ascii="Times New Roman" w:cs="Times New Roman" w:eastAsia="Times New Roman" w:hAnsi="Times New Roman"/>
          <w:sz w:val="18"/>
          <w:szCs w:val="18"/>
          <w:u w:val="single" w:color="auto"/>
          <w:color w:val="0000EE"/>
        </w:rPr>
        <w:t>Calculation of Filing Fees Table</w:t>
      </w:r>
    </w:p>
    <w:p>
      <w:pPr>
        <w:spacing w:after="0" w:line="207" w:lineRule="exact"/>
        <w:rPr>
          <w:sz w:val="20"/>
          <w:szCs w:val="20"/>
          <w:color w:val="auto"/>
        </w:rPr>
      </w:pPr>
    </w:p>
    <w:p>
      <w:pPr>
        <w:ind w:left="520" w:hanging="512"/>
        <w:spacing w:after="0"/>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or furnished herewith</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Undertakings.</w:t>
      </w:r>
    </w:p>
    <w:p>
      <w:pPr>
        <w:spacing w:after="0" w:line="229" w:lineRule="exact"/>
        <w:rPr>
          <w:sz w:val="20"/>
          <w:szCs w:val="20"/>
          <w:color w:val="auto"/>
        </w:rPr>
      </w:pPr>
    </w:p>
    <w:p>
      <w:pPr>
        <w:ind w:left="260" w:hanging="252"/>
        <w:spacing w:after="0"/>
        <w:tabs>
          <w:tab w:leader="none" w:pos="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25"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55" w:lineRule="auto"/>
        <w:tabs>
          <w:tab w:leader="none" w:pos="1585"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188" w:lineRule="exact"/>
        <w:rPr>
          <w:rFonts w:ascii="Times New Roman" w:cs="Times New Roman" w:eastAsia="Times New Roman" w:hAnsi="Times New Roman"/>
          <w:sz w:val="18"/>
          <w:szCs w:val="18"/>
          <w:color w:val="auto"/>
        </w:rPr>
      </w:pPr>
    </w:p>
    <w:p>
      <w:pPr>
        <w:ind w:left="660" w:firstLine="644"/>
        <w:spacing w:after="0" w:line="282" w:lineRule="auto"/>
        <w:tabs>
          <w:tab w:leader="none" w:pos="1632"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6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paragraphs (a)(1)(i) and (a)(1)(ii) do not apply if the registration statement is on Form S-8, and the information required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included in a post-effective amendment by those paragraphs is contained in periodic reports filed with or furnished to the SEC by the Registrant pursuant to Section 13 or Section 15(d) of the Exchange Act that are incorporated by reference herein.</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jc w:val="both"/>
        <w:ind w:firstLine="656"/>
        <w:spacing w:after="0" w:line="266" w:lineRule="auto"/>
        <w:tabs>
          <w:tab w:leader="none" w:pos="915"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93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1" w:lineRule="exact"/>
        <w:rPr>
          <w:rFonts w:ascii="Times New Roman" w:cs="Times New Roman" w:eastAsia="Times New Roman" w:hAnsi="Times New Roman"/>
          <w:sz w:val="18"/>
          <w:szCs w:val="18"/>
          <w:color w:val="auto"/>
        </w:rPr>
      </w:pPr>
    </w:p>
    <w:p>
      <w:pPr>
        <w:jc w:val="both"/>
        <w:ind w:firstLine="8"/>
        <w:spacing w:after="0" w:line="258" w:lineRule="auto"/>
        <w:tabs>
          <w:tab w:leader="none" w:pos="27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183" w:lineRule="exact"/>
        <w:rPr>
          <w:rFonts w:ascii="Times New Roman" w:cs="Times New Roman" w:eastAsia="Times New Roman" w:hAnsi="Times New Roman"/>
          <w:sz w:val="18"/>
          <w:szCs w:val="18"/>
          <w:color w:val="auto"/>
        </w:rPr>
      </w:pPr>
    </w:p>
    <w:p>
      <w:pPr>
        <w:jc w:val="both"/>
        <w:ind w:firstLine="8"/>
        <w:spacing w:after="0" w:line="255" w:lineRule="auto"/>
        <w:tabs>
          <w:tab w:leader="none" w:pos="24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on March 2,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Dr. Keyvan Mohajer</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Dr. Keyvan Mohajer</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KNOW ALL MEN BY THESE PRESENTS, that each person whose signature appears below constitutes and appoints Dr. Keyvan Mohajer his true and lawful attorney-in-fact, with full power of substitution and resubstitution for him and in his name, place and stead, in any and all capacities to sign any and all amendments including post-effective amendments to this registration statement, and to file the same, with all exhibits thereto, and other documents in connection therewith, with the Commission, hereby ratifying and confirming all that said attorney-in-fact or his substitute, each acting alone, may lawfully do or cause to be done by virtue thereof.</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in the capacities and on the dates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40" w:type="dxa"/>
            <w:vAlign w:val="bottom"/>
          </w:tcPr>
          <w:p>
            <w:pPr>
              <w:spacing w:after="0"/>
              <w:rPr>
                <w:sz w:val="21"/>
                <w:szCs w:val="21"/>
                <w:color w:val="auto"/>
              </w:rPr>
            </w:pPr>
          </w:p>
        </w:tc>
        <w:tc>
          <w:tcPr>
            <w:tcW w:w="5380" w:type="dxa"/>
            <w:vAlign w:val="bottom"/>
            <w:tcBorders>
              <w:bottom w:val="single" w:sz="8" w:color="auto"/>
            </w:tcBorders>
          </w:tcPr>
          <w:p>
            <w:pPr>
              <w:ind w:left="2380"/>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100" w:type="dxa"/>
            <w:vAlign w:val="bottom"/>
          </w:tcPr>
          <w:p>
            <w:pPr>
              <w:spacing w:after="0"/>
              <w:rPr>
                <w:sz w:val="21"/>
                <w:szCs w:val="21"/>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39"/>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Dr. Keyvan Mohajer</w:t>
            </w:r>
          </w:p>
        </w:tc>
        <w:tc>
          <w:tcPr>
            <w:tcW w:w="56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 2026</w:t>
            </w:r>
          </w:p>
        </w:tc>
      </w:tr>
      <w:tr>
        <w:trPr>
          <w:trHeight w:val="23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Dr. Keyvan Mohajer</w:t>
            </w:r>
          </w:p>
        </w:tc>
        <w:tc>
          <w:tcPr>
            <w:tcW w:w="56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680" w:type="dxa"/>
            <w:vAlign w:val="bottom"/>
          </w:tcPr>
          <w:p>
            <w:pPr>
              <w:spacing w:after="0"/>
              <w:rPr>
                <w:sz w:val="20"/>
                <w:szCs w:val="20"/>
                <w:color w:val="auto"/>
              </w:rPr>
            </w:pPr>
          </w:p>
        </w:tc>
      </w:tr>
      <w:tr>
        <w:trPr>
          <w:trHeight w:val="421"/>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Nitesh Sharan</w:t>
            </w:r>
          </w:p>
        </w:tc>
        <w:tc>
          <w:tcPr>
            <w:tcW w:w="56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Chief Financial Officer</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 2026</w:t>
            </w:r>
          </w:p>
        </w:tc>
      </w:tr>
      <w:tr>
        <w:trPr>
          <w:trHeight w:val="23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Nitesh Sharan</w:t>
            </w:r>
          </w:p>
        </w:tc>
        <w:tc>
          <w:tcPr>
            <w:tcW w:w="56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1680" w:type="dxa"/>
            <w:vAlign w:val="bottom"/>
          </w:tcPr>
          <w:p>
            <w:pPr>
              <w:spacing w:after="0"/>
              <w:rPr>
                <w:sz w:val="20"/>
                <w:szCs w:val="20"/>
                <w:color w:val="auto"/>
              </w:rPr>
            </w:pPr>
          </w:p>
        </w:tc>
      </w:tr>
      <w:tr>
        <w:trPr>
          <w:trHeight w:val="421"/>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Hom</w:t>
            </w:r>
          </w:p>
        </w:tc>
        <w:tc>
          <w:tcPr>
            <w:tcW w:w="56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 2026</w:t>
            </w:r>
          </w:p>
        </w:tc>
      </w:tr>
      <w:tr>
        <w:trPr>
          <w:trHeight w:val="23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James Hom</w:t>
            </w:r>
          </w:p>
        </w:tc>
        <w:tc>
          <w:tcPr>
            <w:tcW w:w="14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21"/>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Dr. Eric Ball</w:t>
            </w:r>
          </w:p>
        </w:tc>
        <w:tc>
          <w:tcPr>
            <w:tcW w:w="56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 2026</w:t>
            </w:r>
          </w:p>
        </w:tc>
      </w:tr>
      <w:tr>
        <w:trPr>
          <w:trHeight w:val="23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Dr. Eric Ball</w:t>
            </w:r>
          </w:p>
        </w:tc>
        <w:tc>
          <w:tcPr>
            <w:tcW w:w="14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21"/>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Larry Marcus</w:t>
            </w:r>
          </w:p>
        </w:tc>
        <w:tc>
          <w:tcPr>
            <w:tcW w:w="56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 2026</w:t>
            </w:r>
          </w:p>
        </w:tc>
      </w:tr>
      <w:tr>
        <w:trPr>
          <w:trHeight w:val="23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Larry Marcus</w:t>
            </w:r>
          </w:p>
        </w:tc>
        <w:tc>
          <w:tcPr>
            <w:tcW w:w="14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21"/>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Diana Sroka</w:t>
            </w:r>
          </w:p>
        </w:tc>
        <w:tc>
          <w:tcPr>
            <w:tcW w:w="56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 2026</w:t>
            </w:r>
          </w:p>
        </w:tc>
      </w:tr>
      <w:tr>
        <w:trPr>
          <w:trHeight w:val="23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Diana Sroka</w:t>
            </w:r>
          </w:p>
        </w:tc>
        <w:tc>
          <w:tcPr>
            <w:tcW w:w="14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637"/>
        </w:trPr>
        <w:tc>
          <w:tcPr>
            <w:tcW w:w="3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gridSpan w:val="2"/>
          </w:tcPr>
          <w:p>
            <w:pPr>
              <w:ind w:left="1400"/>
              <w:spacing w:after="0"/>
              <w:rPr>
                <w:sz w:val="20"/>
                <w:szCs w:val="20"/>
                <w:color w:val="auto"/>
              </w:rPr>
            </w:pPr>
            <w:r>
              <w:rPr>
                <w:rFonts w:ascii="Times New Roman" w:cs="Times New Roman" w:eastAsia="Times New Roman" w:hAnsi="Times New Roman"/>
                <w:sz w:val="18"/>
                <w:szCs w:val="18"/>
                <w:color w:val="auto"/>
              </w:rPr>
              <w:t>II-5</w:t>
            </w:r>
          </w:p>
        </w:tc>
        <w:tc>
          <w:tcPr>
            <w:tcW w:w="1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17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1345 AVENUE OF THE AMERICAS, 11</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134235" cy="8229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2134235" cy="822960"/>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8"/>
          <w:szCs w:val="18"/>
          <w:color w:val="auto"/>
        </w:rPr>
        <w:t>NEW YORK, NEW YORK 10017</w:t>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TELEPHONE: (212) 370-1300</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FACSIMILE: (212) 370-7889</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www.egsllp.com</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Soundhound AI,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5400 Betsy Ross Drive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Santa Clara, CA 95054</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Re: </w:t>
      </w:r>
      <w:r>
        <w:rPr>
          <w:rFonts w:ascii="Times New Roman" w:cs="Times New Roman" w:eastAsia="Times New Roman" w:hAnsi="Times New Roman"/>
          <w:sz w:val="18"/>
          <w:szCs w:val="18"/>
          <w:u w:val="single" w:color="auto"/>
          <w:color w:val="auto"/>
        </w:rPr>
        <w:t>Registration Statement on Form S-8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Gentlemen:</w:t>
      </w:r>
    </w:p>
    <w:p>
      <w:pPr>
        <w:spacing w:after="0" w:line="22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We have acted as counsel to Soundhound AI,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in connection with the preparation of the Company’s Registration Statement on Form S-8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being filed with the Securities and Exchange Commission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The Registration Statement has been filed to register an additional 19,495,859 shares (the “</w:t>
      </w:r>
      <w:r>
        <w:rPr>
          <w:rFonts w:ascii="Times New Roman" w:cs="Times New Roman" w:eastAsia="Times New Roman" w:hAnsi="Times New Roman"/>
          <w:sz w:val="18"/>
          <w:szCs w:val="18"/>
          <w:b w:val="1"/>
          <w:bCs w:val="1"/>
          <w:color w:val="auto"/>
        </w:rPr>
        <w:t>Plan Shares</w:t>
      </w:r>
      <w:r>
        <w:rPr>
          <w:rFonts w:ascii="Times New Roman" w:cs="Times New Roman" w:eastAsia="Times New Roman" w:hAnsi="Times New Roman"/>
          <w:sz w:val="18"/>
          <w:szCs w:val="18"/>
          <w:color w:val="auto"/>
        </w:rPr>
        <w:t>”) of Company’s Class A common stock, par value $0.0001 per share (the “</w:t>
      </w:r>
      <w:r>
        <w:rPr>
          <w:rFonts w:ascii="Times New Roman" w:cs="Times New Roman" w:eastAsia="Times New Roman" w:hAnsi="Times New Roman"/>
          <w:sz w:val="18"/>
          <w:szCs w:val="18"/>
          <w:b w:val="1"/>
          <w:bCs w:val="1"/>
          <w:color w:val="auto"/>
        </w:rPr>
        <w:t>Class A Common Stock</w:t>
      </w:r>
      <w:r>
        <w:rPr>
          <w:rFonts w:ascii="Times New Roman" w:cs="Times New Roman" w:eastAsia="Times New Roman" w:hAnsi="Times New Roman"/>
          <w:sz w:val="18"/>
          <w:szCs w:val="18"/>
          <w:color w:val="auto"/>
        </w:rPr>
        <w:t>”), to be issued pursuant to the Company’s 2022 Equity Incentive Plan (the “</w:t>
      </w:r>
      <w:r>
        <w:rPr>
          <w:rFonts w:ascii="Times New Roman" w:cs="Times New Roman" w:eastAsia="Times New Roman" w:hAnsi="Times New Roman"/>
          <w:sz w:val="18"/>
          <w:szCs w:val="18"/>
          <w:b w:val="1"/>
          <w:bCs w:val="1"/>
          <w:color w:val="auto"/>
        </w:rPr>
        <w:t>2022 Incentive Plan</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arriving at the opinion expressed below, we have examined and relied on the following documents:</w:t>
      </w:r>
    </w:p>
    <w:p>
      <w:pPr>
        <w:spacing w:after="0" w:line="225" w:lineRule="exact"/>
        <w:rPr>
          <w:sz w:val="20"/>
          <w:szCs w:val="20"/>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Restated Certificate of Incorporation and the Amended and Restated Bylaws of the Company, each as in effect as of the date hereof;</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2022 Incentive Plan;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records of meetings and consents of the Board of Directors of the Company provided to us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we have examined and relied on the originals or copies certified or otherwise identified to our satisfaction of all such corporate records of the Company and such other instruments and other certificates of public officials, officers and representatives of the Company and such other persons, and we have made such investigations of law, as we have deemed appropriate as a basis for the opinion expressed below. In such examination, we have assumed, without independent verification, the genuineness of all signatures (whether original or photostatic), the accuracy and completeness of each document submitted to us, the authenticity of all documents submitted to us as originals, the conformity to original documents of all documents submitted to us as facsimile, electronic, certified, conformed or photostatic copies thereof. We have further assumed the legal capacity of natural persons, that persons identified to us as officers of the Company are actually serving in such capacity, that the representations of officers and employees of the Company are correct as to questions of fact and that each party to the documents we have examined or relied on (other than the Company) has the power, corporate or other, to enter into and perform all obligations thereunder and also have assumed the due authorization by all requisite action, corporate or other, of the execution and delivery by such parties of such documents, and the validity and binding effect thereon on such parties. We have also assumed that the Company will not in the future issue or otherwise make available so many shares of its Class A Common Stock that there are insufficient authorized and unissued shares of Class A Common Stock for issuance of the shares issuable upon exercise of the options and vesting of the restricted stock units and any other awards being registered in the Registration Statement. We have not independently verified any of these assumptions.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opinions expressed in this opinion letter are limited to the General Corporation Law of the State of Delaware. We are not opining on, and we assume no responsibility for, the applicability or effect on any of the matters covered herein of: (a) any other laws; (b) the laws of any other jurisdiction; or</w:t>
      </w:r>
    </w:p>
    <w:p>
      <w:pPr>
        <w:ind w:firstLine="8"/>
        <w:spacing w:after="0" w:line="260" w:lineRule="auto"/>
        <w:tabs>
          <w:tab w:leader="none" w:pos="25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laws of any country, municipality or other political subdivision or local government agency or authority. The opinions set forth below are rendered as of the date of this opinion letter. We assume no obligation to update or supplement such opinions to reflect any change of law or fact that may occur.</w:t>
      </w:r>
    </w:p>
    <w:p>
      <w:pPr>
        <w:spacing w:after="0" w:line="18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Based upon and subject to the foregoing, it is our opinion that the Plan Shares have been duly authorized and, upon issuance and payment therefor in accordance with the terms of the 2022 Incentive Plan, and the awards, agreements or certificates issued thereunder, will be validly issued, fully paid and nonassessable.</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to the Registration Statement. In giving such consent, we do not thereby admit that we are experts with respect to any part of the Registration Statement within the meaning of the term “expert” as used in Section 11 of the Securities Act or the rules and regulations promulgated thereunder by the Securities and Exchange Commission, nor do we admit that we are within the category of persons whose consent is required under Section 7 of the Securities Act or the rules and regulations of the Securities and Exchange Commission promulgated thereunder.</w:t>
      </w:r>
    </w:p>
    <w:p>
      <w:pPr>
        <w:spacing w:after="0" w:line="18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Ellenoff Grossman &amp; Schole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Registration Statement on Form S-8 of SoundHound AI, Inc. of our report dated March 2, 2026 relating to the financial statements and the effectiveness of internal control over financial reporting, which appears in SoundHound AI, Inc.'s Annual Report on Form 10-K for the year ended December 31,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 2026</w:t>
      </w:r>
    </w:p>
    <w:p>
      <w:pPr>
        <w:sectPr>
          <w:pgSz w:w="11900" w:h="16838" w:orient="portrait"/>
          <w:cols w:equalWidth="0" w:num="1">
            <w:col w:w="11240"/>
          </w:cols>
          <w:pgMar w:left="320" w:top="117" w:right="3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22"/>
          <w:szCs w:val="22"/>
          <w:b w:val="1"/>
          <w:bCs w:val="1"/>
          <w:color w:val="auto"/>
        </w:rPr>
        <w:t>Ex-Filing Fees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CALCULATION OF FILING FEE TABLES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S-8</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SoundHound AI,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Table 1: Newly Registered Securities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Proposed</w:t>
            </w:r>
          </w:p>
        </w:tc>
        <w:tc>
          <w:tcPr>
            <w:tcW w:w="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Fee</w:t>
            </w: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60" w:type="dxa"/>
            <w:vAlign w:val="bottom"/>
          </w:tcPr>
          <w:p>
            <w:pPr>
              <w:spacing w:after="0"/>
              <w:rPr>
                <w:sz w:val="12"/>
                <w:szCs w:val="12"/>
                <w:color w:val="auto"/>
              </w:rPr>
            </w:pPr>
          </w:p>
        </w:tc>
        <w:tc>
          <w:tcPr>
            <w:tcW w:w="13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48"/>
        </w:trPr>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1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6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Security Type</w:t>
            </w:r>
          </w:p>
        </w:tc>
        <w:tc>
          <w:tcPr>
            <w:tcW w:w="100" w:type="dxa"/>
            <w:vAlign w:val="bottom"/>
            <w:vMerge w:val="restart"/>
          </w:tcPr>
          <w:p>
            <w:pPr>
              <w:spacing w:after="0"/>
              <w:rPr>
                <w:sz w:val="12"/>
                <w:szCs w:val="12"/>
                <w:color w:val="auto"/>
              </w:rPr>
            </w:pPr>
          </w:p>
        </w:tc>
        <w:tc>
          <w:tcPr>
            <w:tcW w:w="2460" w:type="dxa"/>
            <w:vAlign w:val="bottom"/>
            <w:vMerge w:val="restart"/>
          </w:tcPr>
          <w:p>
            <w:pPr>
              <w:ind w:left="640"/>
              <w:spacing w:after="0"/>
              <w:rPr>
                <w:sz w:val="20"/>
                <w:szCs w:val="20"/>
                <w:color w:val="auto"/>
              </w:rPr>
            </w:pPr>
            <w:r>
              <w:rPr>
                <w:rFonts w:ascii="Times New Roman" w:cs="Times New Roman" w:eastAsia="Times New Roman" w:hAnsi="Times New Roman"/>
                <w:sz w:val="14"/>
                <w:szCs w:val="14"/>
                <w:b w:val="1"/>
                <w:bCs w:val="1"/>
                <w:color w:val="auto"/>
              </w:rPr>
              <w:t>Security Class Title</w:t>
            </w:r>
          </w:p>
        </w:tc>
        <w:tc>
          <w:tcPr>
            <w:tcW w:w="100" w:type="dxa"/>
            <w:vAlign w:val="bottom"/>
            <w:vMerge w:val="restart"/>
          </w:tcPr>
          <w:p>
            <w:pPr>
              <w:spacing w:after="0"/>
              <w:rPr>
                <w:sz w:val="12"/>
                <w:szCs w:val="12"/>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20" w:type="dxa"/>
            <w:vAlign w:val="bottom"/>
            <w:vMerge w:val="restart"/>
          </w:tcPr>
          <w:p>
            <w:pPr>
              <w:spacing w:after="0"/>
              <w:rPr>
                <w:sz w:val="12"/>
                <w:szCs w:val="12"/>
                <w:color w:val="auto"/>
              </w:rPr>
            </w:pPr>
          </w:p>
        </w:tc>
        <w:tc>
          <w:tcPr>
            <w:tcW w:w="10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Calculation</w:t>
            </w:r>
          </w:p>
        </w:tc>
        <w:tc>
          <w:tcPr>
            <w:tcW w:w="1180" w:type="dxa"/>
            <w:vAlign w:val="bottom"/>
            <w:gridSpan w:val="2"/>
            <w:vMerge w:val="continue"/>
          </w:tcPr>
          <w:p>
            <w:pPr>
              <w:spacing w:after="0"/>
              <w:rPr>
                <w:sz w:val="12"/>
                <w:szCs w:val="12"/>
                <w:color w:val="auto"/>
              </w:rPr>
            </w:pPr>
          </w:p>
        </w:tc>
        <w:tc>
          <w:tcPr>
            <w:tcW w:w="7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60" w:type="dxa"/>
            <w:vAlign w:val="bottom"/>
          </w:tcPr>
          <w:p>
            <w:pPr>
              <w:spacing w:after="0"/>
              <w:rPr>
                <w:sz w:val="12"/>
                <w:szCs w:val="12"/>
                <w:color w:val="auto"/>
              </w:rPr>
            </w:pPr>
          </w:p>
        </w:tc>
        <w:tc>
          <w:tcPr>
            <w:tcW w:w="13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Aggregate Offering</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Fee Rate</w:t>
            </w:r>
          </w:p>
        </w:tc>
        <w:tc>
          <w:tcPr>
            <w:tcW w:w="100" w:type="dxa"/>
            <w:vAlign w:val="bottom"/>
            <w:vMerge w:val="restart"/>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Registration</w:t>
            </w:r>
          </w:p>
        </w:tc>
        <w:tc>
          <w:tcPr>
            <w:tcW w:w="0" w:type="dxa"/>
            <w:vAlign w:val="bottom"/>
          </w:tcPr>
          <w:p>
            <w:pPr>
              <w:spacing w:after="0"/>
              <w:rPr>
                <w:sz w:val="1"/>
                <w:szCs w:val="1"/>
                <w:color w:val="auto"/>
              </w:rPr>
            </w:pPr>
          </w:p>
        </w:tc>
      </w:tr>
      <w:tr>
        <w:trPr>
          <w:trHeight w:val="173"/>
        </w:trPr>
        <w:tc>
          <w:tcPr>
            <w:tcW w:w="166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246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Rule</w:t>
            </w:r>
          </w:p>
        </w:tc>
        <w:tc>
          <w:tcPr>
            <w:tcW w:w="120" w:type="dxa"/>
            <w:vAlign w:val="bottom"/>
          </w:tcPr>
          <w:p>
            <w:pPr>
              <w:spacing w:after="0"/>
              <w:rPr>
                <w:sz w:val="15"/>
                <w:szCs w:val="15"/>
                <w:color w:val="auto"/>
              </w:rPr>
            </w:pPr>
          </w:p>
        </w:tc>
        <w:tc>
          <w:tcPr>
            <w:tcW w:w="10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Registered</w:t>
            </w:r>
          </w:p>
        </w:tc>
        <w:tc>
          <w:tcPr>
            <w:tcW w:w="100" w:type="dxa"/>
            <w:vAlign w:val="bottom"/>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Unit</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00" w:type="dxa"/>
            <w:vAlign w:val="bottom"/>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Fee</w:t>
            </w:r>
          </w:p>
        </w:tc>
        <w:tc>
          <w:tcPr>
            <w:tcW w:w="0" w:type="dxa"/>
            <w:vAlign w:val="bottom"/>
          </w:tcPr>
          <w:p>
            <w:pPr>
              <w:spacing w:after="0"/>
              <w:rPr>
                <w:sz w:val="1"/>
                <w:szCs w:val="1"/>
                <w:color w:val="auto"/>
              </w:rPr>
            </w:pPr>
          </w:p>
        </w:tc>
      </w:tr>
      <w:tr>
        <w:trPr>
          <w:trHeight w:val="232"/>
        </w:trPr>
        <w:tc>
          <w:tcPr>
            <w:tcW w:w="1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w:t>
            </w:r>
          </w:p>
        </w:tc>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Class A Common Stock, $0.0001</w:t>
            </w:r>
          </w:p>
        </w:tc>
        <w:tc>
          <w:tcPr>
            <w:tcW w:w="720" w:type="dxa"/>
            <w:vAlign w:val="bottom"/>
          </w:tcPr>
          <w:p>
            <w:pPr>
              <w:jc w:val="right"/>
              <w:ind w:right="159"/>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Other</w:t>
            </w:r>
          </w:p>
        </w:tc>
        <w:tc>
          <w:tcPr>
            <w:tcW w:w="11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19,495,859</w:t>
            </w:r>
          </w:p>
        </w:tc>
        <w:tc>
          <w:tcPr>
            <w:tcW w:w="7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rPr>
              <w:t>$   8.66</w:t>
            </w:r>
          </w:p>
        </w:tc>
        <w:tc>
          <w:tcPr>
            <w:tcW w:w="140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8"/>
              </w:rPr>
              <w:t>$ 168,834,138.94</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0.0001381</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$ 23,315.99</w:t>
            </w:r>
          </w:p>
        </w:tc>
        <w:tc>
          <w:tcPr>
            <w:tcW w:w="0" w:type="dxa"/>
            <w:vAlign w:val="bottom"/>
          </w:tcPr>
          <w:p>
            <w:pPr>
              <w:spacing w:after="0"/>
              <w:rPr>
                <w:sz w:val="1"/>
                <w:szCs w:val="1"/>
                <w:color w:val="auto"/>
              </w:rPr>
            </w:pPr>
          </w:p>
        </w:tc>
      </w:tr>
      <w:tr>
        <w:trPr>
          <w:trHeight w:val="234"/>
        </w:trPr>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 value</w:t>
            </w: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1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960" w:type="dxa"/>
            <w:vAlign w:val="bottom"/>
            <w:gridSpan w:val="5"/>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Total Offering Amounts:</w:t>
            </w:r>
          </w:p>
        </w:tc>
        <w:tc>
          <w:tcPr>
            <w:tcW w:w="1240" w:type="dxa"/>
            <w:vAlign w:val="bottom"/>
            <w:tcBorders>
              <w:bottom w:val="single" w:sz="8" w:color="auto"/>
            </w:tcBorders>
          </w:tcPr>
          <w:p>
            <w:pPr>
              <w:spacing w:after="0"/>
              <w:rPr>
                <w:sz w:val="7"/>
                <w:szCs w:val="7"/>
                <w:color w:val="auto"/>
              </w:rPr>
            </w:pPr>
          </w:p>
        </w:tc>
        <w:tc>
          <w:tcPr>
            <w:tcW w:w="100" w:type="dxa"/>
            <w:vAlign w:val="bottom"/>
            <w:vMerge w:val="restart"/>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60" w:type="dxa"/>
            <w:vAlign w:val="bottom"/>
            <w:gridSpan w:val="5"/>
            <w:vMerge w:val="continue"/>
          </w:tcPr>
          <w:p>
            <w:pPr>
              <w:spacing w:after="0"/>
              <w:rPr>
                <w:sz w:val="16"/>
                <w:szCs w:val="16"/>
                <w:color w:val="auto"/>
              </w:rPr>
            </w:pPr>
          </w:p>
        </w:tc>
        <w:tc>
          <w:tcPr>
            <w:tcW w:w="12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$ 168,834,138.94</w:t>
            </w:r>
          </w:p>
        </w:tc>
        <w:tc>
          <w:tcPr>
            <w:tcW w:w="100" w:type="dxa"/>
            <w:vAlign w:val="bottom"/>
            <w:vMerge w:val="continue"/>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23,315.99</w:t>
            </w:r>
          </w:p>
        </w:tc>
        <w:tc>
          <w:tcPr>
            <w:tcW w:w="0" w:type="dxa"/>
            <w:vAlign w:val="bottom"/>
          </w:tcPr>
          <w:p>
            <w:pPr>
              <w:spacing w:after="0"/>
              <w:rPr>
                <w:sz w:val="1"/>
                <w:szCs w:val="1"/>
                <w:color w:val="auto"/>
              </w:rPr>
            </w:pPr>
          </w:p>
        </w:tc>
      </w:tr>
      <w:tr>
        <w:trPr>
          <w:trHeight w:val="234"/>
        </w:trPr>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Total Fee Offsets:</w:t>
            </w:r>
          </w:p>
        </w:tc>
        <w:tc>
          <w:tcPr>
            <w:tcW w:w="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0"/>
        </w:trPr>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Net Fee Due:</w:t>
            </w:r>
          </w:p>
        </w:tc>
        <w:tc>
          <w:tcPr>
            <w:tcW w:w="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$ 23,315.99</w:t>
            </w: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Offering Note(s)</w:t>
      </w:r>
    </w:p>
    <w:p>
      <w:pPr>
        <w:spacing w:after="0" w:line="84" w:lineRule="exact"/>
        <w:rPr>
          <w:sz w:val="20"/>
          <w:szCs w:val="20"/>
          <w:color w:val="auto"/>
        </w:rPr>
      </w:pPr>
    </w:p>
    <w:p>
      <w:pPr>
        <w:jc w:val="both"/>
        <w:ind w:left="360" w:hanging="292"/>
        <w:spacing w:after="0" w:line="261" w:lineRule="auto"/>
        <w:tabs>
          <w:tab w:leader="none" w:pos="3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 under the Securities Act of 1933, as amended (the “Securities Act”), this Registration Statement on Form S-8 shall also cover any additional shares of the Registrant’s Class A common stock that become issuable in respect of the securities identified in the above table by reason of any stock dividend, stock split, recapitalization or other similar transaction effected without the Registrant’s receipt of consideration which results in an increase in the number of the outstanding shares of the Registrant’s Class A common stock.</w:t>
      </w:r>
    </w:p>
    <w:p>
      <w:pPr>
        <w:spacing w:after="0" w:line="179" w:lineRule="exact"/>
        <w:rPr>
          <w:rFonts w:ascii="Times New Roman" w:cs="Times New Roman" w:eastAsia="Times New Roman" w:hAnsi="Times New Roman"/>
          <w:sz w:val="18"/>
          <w:szCs w:val="18"/>
          <w:color w:val="auto"/>
        </w:rPr>
      </w:pPr>
    </w:p>
    <w:p>
      <w:pPr>
        <w:ind w:left="3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Class A common stock represents the number of additional shares available for issuance pursuant to the SoundHound AI, Inc. 2022 Equity Incentive Plan pursuant to the evergreen provision of such plan.</w:t>
      </w:r>
    </w:p>
    <w:p>
      <w:pPr>
        <w:spacing w:after="0" w:line="161" w:lineRule="exact"/>
        <w:rPr>
          <w:rFonts w:ascii="Times New Roman" w:cs="Times New Roman" w:eastAsia="Times New Roman" w:hAnsi="Times New Roman"/>
          <w:sz w:val="18"/>
          <w:szCs w:val="18"/>
          <w:color w:val="auto"/>
        </w:rPr>
      </w:pPr>
    </w:p>
    <w:p>
      <w:pPr>
        <w:jc w:val="both"/>
        <w:ind w:left="3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registration fee pursuant to Rules 457(c) and 457(h) of the Securities Act, based on $8.66, the average of the high and low sales price of a share of the Registrant’s Class A common stock as reported on the Nasdaq Global Market on February 25, 2026.</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lowerRoman"/>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1"/>
      <w:numFmt w:val="decimal"/>
      <w:start w:val="24"/>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6">
    <w:nsid w:val="5BD062C2"/>
    <w:multiLevelType w:val="hybridMultilevel"/>
    <w:lvl w:ilvl="0">
      <w:lvlJc w:val="left"/>
      <w:lvlText w:val="%1"/>
      <w:numFmt w:val="lowerLetter"/>
      <w:start w:val="1"/>
    </w:lvl>
    <w:lvl w:ilvl="1">
      <w:lvlJc w:val="left"/>
      <w:lvlText w:val="(%2)"/>
      <w:numFmt w:val="decimal"/>
      <w:start w:val="2"/>
    </w:lvl>
  </w:abstractNum>
  <w:abstractNum w:abstractNumId="7">
    <w:nsid w:val="12200854"/>
    <w:multiLevelType w:val="hybridMultilevel"/>
    <w:lvl w:ilvl="0">
      <w:lvlJc w:val="left"/>
      <w:lvlText w:val="(%1)"/>
      <w:numFmt w:val="lowerLetter"/>
      <w:start w:val="2"/>
    </w:lvl>
    <w:lvl w:ilvl="1">
      <w:lvlJc w:val="left"/>
      <w:lvlText w:val="%2"/>
      <w:numFmt w:val="decimal"/>
      <w:start w:val="1"/>
    </w:lvl>
  </w:abstractNum>
  <w:abstractNum w:abstractNumId="8">
    <w:nsid w:val="4DB127F8"/>
    <w:multiLevelType w:val="hybridMultilevel"/>
    <w:lvl w:ilvl="0">
      <w:lvlJc w:val="left"/>
      <w:lvlText w:val="(%1)"/>
      <w:numFmt w:val="decimal"/>
      <w:start w:val="1"/>
    </w:lvl>
  </w:abstractNum>
  <w:abstractNum w:abstractNumId="9">
    <w:nsid w:val="216231B"/>
    <w:multiLevelType w:val="hybridMultilevel"/>
    <w:lvl w:ilvl="0">
      <w:lvlJc w:val="left"/>
      <w:lvlText w:val="(%1)"/>
      <w:numFmt w:val="lowerLetter"/>
      <w:start w:val="3"/>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jpe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13" Type="http://schemas.openxmlformats.org/officeDocument/2006/relationships/hyperlink" Target="http://www.sec.gov/Archives/edgar/data/1840856/000121390022040524/ea162667-s8_soundhound.htm" TargetMode="External"/><Relationship Id="rId14" Type="http://schemas.openxmlformats.org/officeDocument/2006/relationships/hyperlink" Target="https://www.sec.gov/Archives/edgar/data/1840856/000121390024030955/ea0203363-s8_soundhound.htm" TargetMode="External"/><Relationship Id="rId15" Type="http://schemas.openxmlformats.org/officeDocument/2006/relationships/hyperlink" Target="http://www.sec.gov/Archives/edgar/data/1840856/000121390025074398/ea0252547-s8_soundhound.htm" TargetMode="External"/><Relationship Id="rId17" Type="http://schemas.openxmlformats.org/officeDocument/2006/relationships/hyperlink" Target="https://www.sec.gov/ix?doc=/Archives/edgar/data/1840856/000184085626000006/soun-20251231.htm" TargetMode="External"/><Relationship Id="rId20" Type="http://schemas.openxmlformats.org/officeDocument/2006/relationships/hyperlink" Target="https://www.sec.gov/Archives/edgar/data/1840856/000121390022018967/f424b30422_archimedes.htm#T601" TargetMode="External"/><Relationship Id="rId21" Type="http://schemas.openxmlformats.org/officeDocument/2006/relationships/hyperlink" Target="https://www.sec.gov/Archives/edgar/data/1840856/000121390022023274/ea159193ex10-8_soundhound.htm" TargetMode="External"/><Relationship Id="rId22" Type="http://schemas.openxmlformats.org/officeDocument/2006/relationships/hyperlink" Target="http://www.sec.gov/Archives/edgar/data/1840856/000121390022023274/ea159193ex10-9_soundhoun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2026-03-02T16:42:30Z</dcterms:created>
  <dcterms:modified xsi:type="dcterms:W3CDTF">2026-03-02T16:42:30Z</dcterms:modified>
</cp:coreProperties>
</file>